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黑体"/>
          <w:sz w:val="36"/>
          <w:szCs w:val="36"/>
        </w:rPr>
      </w:pPr>
      <w:r>
        <w:rPr>
          <w:rFonts w:hint="eastAsia" w:ascii="黑体" w:hAnsi="黑体" w:eastAsia="黑体" w:cs="黑体"/>
          <w:sz w:val="36"/>
          <w:szCs w:val="36"/>
        </w:rPr>
        <w:t>北京市商务局2021年度部门</w:t>
      </w:r>
    </w:p>
    <w:p>
      <w:pPr>
        <w:jc w:val="center"/>
        <w:rPr>
          <w:rFonts w:ascii="黑体" w:hAnsi="黑体" w:eastAsia="黑体" w:cs="黑体"/>
          <w:szCs w:val="30"/>
        </w:rPr>
      </w:pPr>
      <w:r>
        <w:rPr>
          <w:rFonts w:hint="eastAsia" w:ascii="黑体" w:hAnsi="黑体" w:eastAsia="黑体" w:cs="黑体"/>
          <w:sz w:val="36"/>
          <w:szCs w:val="36"/>
        </w:rPr>
        <w:t>绩效评价情况</w:t>
      </w:r>
    </w:p>
    <w:p>
      <w:pPr>
        <w:spacing w:line="600" w:lineRule="exact"/>
        <w:ind w:firstLine="640" w:firstLineChars="200"/>
        <w:rPr>
          <w:rFonts w:ascii="黑体" w:hAnsi="黑体" w:eastAsia="黑体" w:cs="宋体"/>
          <w:color w:val="000000"/>
          <w:kern w:val="0"/>
          <w:sz w:val="32"/>
          <w:szCs w:val="32"/>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一、部门整体绩效评价报告</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（一）部门概况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w:t>
      </w:r>
      <w:r>
        <w:rPr>
          <w:rFonts w:hint="eastAsia" w:ascii="仿宋_GB2312" w:eastAsia="仿宋_GB2312"/>
          <w:b/>
          <w:sz w:val="32"/>
          <w:szCs w:val="32"/>
        </w:rPr>
        <w:t>机构设置及职责工作任务情况</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根据《中共北京市委办公厅 北京市人民政府办公厅关于印发&lt;北京市商务局职能配置、内设机构和人员编制规定&gt;的通知》（京办字〔2019〕44号），北京市商务局（简称市商务局）是市政府组成部门，为正局级，加挂北京市人民政府口岸办公室（简称市政府口岸办）牌子。北京市商务局设办公室、综合协调处、规划建设处等34个内设机构，并设有机关党委、机关纪委、工会和离退休干部处。</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除市商务局本级外，纳入市商务局2021年度部门决算的还有13家所属二级预算单位，具体是：北京市国际服务贸易事务中心、北京市商务局机关后勤服务中心、北京市商务局离退休干部活动中心、北京市商务局信息中心、北京市商务局行政事务服务中心、北京市商务局教育中心、北京市商务局应急储备保障中心、北京市商务举报投诉中心、北京市流通经济研究中心</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世界贸易网点联盟北京中心、北京市人民政府口岸办公室综合管理服务中心、首都联合职工大学及北京市进出口协调发展中心。</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北京市商务局行政编制268人，实有在编252人；事业单位编制数为492人，实有在编404人</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离退休人员507人</w:t>
      </w:r>
      <w:r>
        <w:rPr>
          <w:rFonts w:hint="eastAsia" w:ascii="仿宋_GB2312" w:hAnsi="Calibri" w:eastAsia="仿宋_GB2312" w:cs="仿宋_GB2312"/>
          <w:bCs/>
          <w:sz w:val="32"/>
          <w:szCs w:val="32"/>
          <w:lang w:eastAsia="zh-CN"/>
        </w:rPr>
        <w:t>（其中，</w:t>
      </w:r>
      <w:r>
        <w:rPr>
          <w:rFonts w:hint="eastAsia" w:ascii="仿宋_GB2312" w:hAnsi="Calibri" w:eastAsia="仿宋_GB2312" w:cs="仿宋_GB2312"/>
          <w:bCs/>
          <w:sz w:val="32"/>
          <w:szCs w:val="32"/>
        </w:rPr>
        <w:t>离休干部8人，退休干部406人，退休工勤人员93人</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部门主要职责如下：</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（1）起草本市相关地方性法规草案、政府规章草案，研究内外贸易、外商投资、对外经济合作和口岸工作的发展战略，提出中长期发展规划及年度计划并组织实施。</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负责推进本市流通产业结构调整，指导流通企业改革，促进商贸服务业和社区商业发展，提出促进商贸中小企业发展的政策建议，推动流通标准化和连锁经营、商业特许经营、物流配送、电子商务等现代流通方式的发展。</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3）促进本市城乡市场发展，会同有关部门组织编制本市商品流通和生活性服务业（不含住宿业）重点设施的布局规划并组织实施。协调推进市级商业中心、特色商业街区、大型批发零售商业设施等流通基础设施和重大项目建设。推进商业体系和农村流通现代化体系建设。牵头负责生活性服务业品质提升工作及相关行业发展促进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（4）会同有关部门负责本市消费促进工作，研究制定促消费政策措施并组织实施，指导市有关部门、各区开展促消费工作。监测消费市场和批发业运行情况。</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（5）承担牵头协调本市整顿和规范流通秩序工作的责任。提出提升商业服务质量和规范流通秩序的政策建议。参与推动商务领域信用建设，指导商业信用销售，按照有关规定对特殊流通行业进行监督管理。</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6）承担组织实施本市重要消费品市场调控和有关重要生产资料流通管理的责任。负责建立健全生活必需品市场供应应急管理机制，监测分析市场运行、商品供求状况，调查分析商品价格信息，进行预测预警和信息引导，按分工负责重要消费品储备管理和市场调控工作。按照有关规定对成品油流通进行监督管理。组织落实中央及本市重大会议活动的商品供应和相关服务保障工作。</w:t>
      </w:r>
    </w:p>
    <w:p>
      <w:pPr>
        <w:spacing w:line="360" w:lineRule="auto"/>
        <w:ind w:firstLine="640" w:firstLineChars="200"/>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7）统筹推进本市商务服务业发展，会同有关部门拟订商务服务业发展规划、政策并组织实施。会同有关部门组织编制本市物流配送重点设施布局规划，拟订相关政策措施并组织实施，协调物流园区的规划和建设。负责推进会展业发展，会同有关部门拟订会展业发展规划、政策、标准并组织实施。</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8）负责本市货物进出口相关管理工作，拟订促进外贸发展规划，提出促进外贸稳增长调结构的政策措施并组织实施。监测分析外贸运行情况。贯彻落实国家相关支持政策措施。负责进出口企业经营资格备案、进出口许可证签发等行政管理工作。监督和协调本市机电产品的国际招标投标活动。负责海关特殊监管区域、保税监管场所的相关行业指导工作。指导开发区外贸、外商投资和对外经济合作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9）负责本市技术贸易工作，执行国家对外技术贸易、进出口管制以及鼓励技术和成套设备进出口的贸易政策，推进进出口贸易标准化工作，依法监督技术引进、设备进口、国家限制出口技术的工作，依法颁发两用物项和技术进出口许可证。</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10）牵头拟订本市服务贸易发展规划并开展相关工作，会同有关部门制定促进服务贸易和服务外包发展的政策措施并组织实施，推动服务贸易公共服务平台建设。会同有关方面拟订促进对外文化贸易发展的规划、政策并组织实施，负责对外文化贸易统计分析等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（11）协助承担本市与对外贸易有关的知识产权保护工作。负责涉及本市的世界贸易组织有关事务的综合协调工作。协助承担本市进出口公平贸易、产业损害调查及产业安全应对工作。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12）负责本市外商投资相关管理及投资促进工作，拟订外商投资及投资促进政策并组织实施，依法负责外商投资企业设立、变更以及外国投资者并购境内企业设立外商投资企业的审批工作，依法监督检查外商投资企业执行有关法律法规规章、合同章程的情况并协调解决有关问题，指导本市外商投资企业备案工作。加强与港澳台地区的经济合作交流。</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13）负责本市对外经济合作工作，研究提出对外经济合作发展的政策措施，负责与国外多双边经济、技术援助的有关工作，依法管理和监督对外投资、对外承包工程、对外劳务合作等，负责牵头外派劳务人员的权益保护工作，按权限依法核准对外劳务合作经营资格。</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14）负责依法指导、协调商务领域安全生产管理工作，指导督促商务领域重点单位贯彻落实有关安全法律法规，配合有关部门对违反有关安全法律法规的行为进行查处，并承担相应的管理责任。依法对本市成品油流通等方面的安全工作承担相应的管理责任。</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15）起草本市关于口岸工作方面的地方性法规草案、政府规章草案。研究提出口岸发展规划及政策措施并组织实施。负责口岸综合协调管理和通关便利化工作。负责拟订本市电子口岸建设规划并组织实施。组织实施北京国际贸易“单一窗口”工作。负责京津冀口岸协同发展相关工作。组织协调首都机场地区精神文明建设和社会治安综合治理、食品药品安全等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（16）负责本市商业服务业人才工作的宏观管理，引导、推动并组织协调商业服务业人才队伍建设及老字号传承人才培养工作。</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（17）管理市粮食和储备局。</w:t>
      </w:r>
      <w:r>
        <w:rPr>
          <w:rFonts w:hint="eastAsia" w:ascii="仿宋_GB2312" w:hAnsi="Calibri" w:eastAsia="仿宋_GB2312" w:cs="仿宋_GB2312"/>
          <w:bCs/>
          <w:sz w:val="32"/>
          <w:szCs w:val="32"/>
        </w:rPr>
        <w:br w:type="textWrapping"/>
      </w:r>
      <w:r>
        <w:rPr>
          <w:rFonts w:hint="eastAsia" w:ascii="仿宋_GB2312" w:hAnsi="Calibri" w:eastAsia="仿宋_GB2312" w:cs="仿宋_GB2312"/>
          <w:bCs/>
          <w:sz w:val="32"/>
          <w:szCs w:val="32"/>
        </w:rPr>
        <w:t>　　（18）完成市委、市政府交办的其他事项。</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w:t>
      </w:r>
      <w:r>
        <w:rPr>
          <w:rFonts w:hint="eastAsia" w:ascii="仿宋_GB2312" w:eastAsia="仿宋_GB2312"/>
          <w:b/>
          <w:sz w:val="32"/>
          <w:szCs w:val="32"/>
        </w:rPr>
        <w:t>部门整体绩效目标设立情况</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部门绩效目标：</w:t>
      </w:r>
    </w:p>
    <w:p>
      <w:pPr>
        <w:spacing w:line="360" w:lineRule="auto"/>
        <w:ind w:firstLine="640" w:firstLineChars="200"/>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贯彻党的十九届五中全会及中央经济会议精神，按照全国商务工作电视电话会议和市委、市政府的部署，贯彻新发展理念，坚持以首都发展为统领，坚持系统观念，统筹安全和商务发展，在常态化疫情防控前提下，更加奋发有为地推动“两区”建设和促消费、稳外贸、稳外资工作，高水平举办服贸会，积极探索构建新发展格局的有效路径，努力实现“十四五”商务发展良好开局。2021年全市商务工作的主要目标是：市场总消费增长7.5%左右</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其中社会消费品零售总额增长5%左右</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,餐饮业营业额增长7%左右,货物进出口实现“位次不减、结构优化”,服务进出口实现持平增长,实际利用外资稳中有增,对外投资合作平稳有序健康发展。</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绩效指标：</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着力推进“两区”和服贸会平台建设，打造改革开放的“北京样板”。一是差异化探索制度创新。聚焦科技创新、服务业开放、数字经济、区域协同开放“四大特色”集成改革。二是示范性打造特色园区。坚持“产业+区域”并行突破，统筹推动指导各区聚焦重点产业、重点园区，打造一批开放特色产业和特色园区。三是系统性推进项目落地。以政策清单、空间资源清单和目标企业清单“三单”管理为抓手，加大招商引资力度。四是创新性谋划开放政策。突出北京优势领域，系统梳理产业发展堵点痛点，探索全产业链创新。五是高水平办好2021年服贸会。</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着力推动消费高品质发展，助力畅通国内大循环。一是实施商业设施提质行动。制定实施“十四五”时期商业服务业发展规划，优化商业设施。二是实施多元消费培育行动。支持品牌首店，开启品牌首店服务“绿色通道”。三是实施消费品牌培育行动。孵化培育新消费品牌，探索孵化机制，加速培育消费新品牌、新模式。四是实施数字赋能行动。倡导智能消费，拓展社交电商、网络直播卖货、云逛街等消费新体验。</w:t>
      </w:r>
      <w:r>
        <w:rPr>
          <w:rFonts w:hint="eastAsia" w:ascii="仿宋_GB2312" w:hAnsi="Calibri" w:eastAsia="仿宋_GB2312" w:cs="仿宋_GB2312"/>
          <w:bCs/>
          <w:sz w:val="32"/>
          <w:szCs w:val="32"/>
          <w:highlight w:val="none"/>
        </w:rPr>
        <w:t>五是实施国际化消费提升行动。推进北京跨境电商零售进口药品试点</w:t>
      </w:r>
      <w:r>
        <w:rPr>
          <w:rFonts w:hint="eastAsia" w:ascii="仿宋_GB2312" w:hAnsi="Calibri" w:eastAsia="仿宋_GB2312" w:cs="仿宋_GB2312"/>
          <w:bCs/>
          <w:sz w:val="32"/>
          <w:szCs w:val="32"/>
          <w:highlight w:val="none"/>
          <w:lang w:eastAsia="zh-CN"/>
        </w:rPr>
        <w:t>，</w:t>
      </w:r>
      <w:r>
        <w:rPr>
          <w:rFonts w:hint="eastAsia" w:ascii="仿宋_GB2312" w:hAnsi="Calibri" w:eastAsia="仿宋_GB2312" w:cs="仿宋_GB2312"/>
          <w:bCs/>
          <w:sz w:val="32"/>
          <w:szCs w:val="32"/>
          <w:highlight w:val="none"/>
        </w:rPr>
        <w:t>扩大离境退税“即买即退”试点范围。</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着力稳住外贸外资基本盘，为国内国际双循环相互促进创造良好条件。一是推进贸易创新发展。稳住底盘，探索组建促进出口联盟，重点关注大型央企和有产业基础的地方龙头企业。二是健全外资促进体系。强化平台招商和精准对接，用好服贸会、进博会、京港洽谈会等展会平台，发挥自贸试验区各组团、综保区、重点功能区、产业园区示范导向作用，办好北京双向投资论坛暨国别日系列活动，加强投资促进资源和信息的整合和共享，着力引入科技服务等高技术服务类、商务服务等高端服务类、智能装备等高精尖制造类外资。三是优化投资管理服务体系。发挥稳外资工作专班机制作用，滚动梳理合同外资大项目台账和重点在谈潜在项目台账，“区+行业部门”协调推动潜在外资项目在京落地。四是完善对外投资合作体系。推动我市企业积极参与“一带一路”经贸合作，央地企业携手、产业链上下游联动“抱团出海”。</w:t>
      </w:r>
    </w:p>
    <w:p>
      <w:pPr>
        <w:spacing w:line="360" w:lineRule="auto"/>
        <w:ind w:firstLine="640" w:firstLineChars="200"/>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4）着力提升服务和保障水平，为“四个服务”贡献商务力量。一是加强便民商业体系建设。实施社区商业提升行动，落实进一步促进社区商业发展的若干措施，发布实施社区商业网点规划建设指南，对照街区商业生态配置标准，加强便民网点精准补建。鼓励各区发展生活服务业特色小</w:t>
      </w:r>
    </w:p>
    <w:p>
      <w:pPr>
        <w:spacing w:line="360" w:lineRule="auto"/>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店，引导连锁超市在社区新建直营门店。鼓励发展社区便民商业新模式，探索设立移动餐饮售卖车、智能厢式便利设施等非固定网点。规范蔬菜直通车管理。推进家政服务“持码上岗”。实施早餐提升行动，启动系列“+早餐”计划，利</w:t>
      </w:r>
    </w:p>
    <w:p>
      <w:pPr>
        <w:spacing w:line="360" w:lineRule="auto"/>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用更多便民商业设施和电商平台，增加和优化早餐服务。提升末端配送集约化水平，鼓励电商、快递企业与超市、便利店、社区商业综合体、商务楼宇等合作开展末端共同配送服务。实现每百万人口拥有连锁便利店（社区超市）300个左右，连锁化、品牌化、规范化的基本便民商业服务功能城市社区覆盖率100%。二是构建优质商务服务业体系。统筹优化全市商务服务业促进体系。聚焦会计、法律、广告、会展、总部、人力资源、旅行社和安保服务等行业，持续创新工作机制，形成部门、市区合力，共促行业健康发展。提升商务服务业际化水平。鼓励国际知名商务服务企业在京落地、</w:t>
      </w:r>
    </w:p>
    <w:p>
      <w:pPr>
        <w:spacing w:line="360" w:lineRule="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提升管理能级。打造商务服务业领军品牌。引导高端商务服务企业参加服贸会等在京举办的国际知名展会和国家级展会。开发线上商务服务新模式。鼓励会计、法律等专业服务企业利用云计算、大数据等新兴信息技术对传统业务改造提升，拓展线上商务服务业务，加速数字化转型发展。三是做好供应服务保障。紧紧围绕服务党和国家发展大局，强化重大国事活动服务保障的常态化机制。</w:t>
      </w:r>
    </w:p>
    <w:p>
      <w:pPr>
        <w:numPr>
          <w:ilvl w:val="0"/>
          <w:numId w:val="1"/>
        </w:numPr>
        <w:spacing w:line="360" w:lineRule="auto"/>
        <w:ind w:firstLine="640" w:firstLineChars="200"/>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着力增强商务工作效能，统筹好发展和安全。一是强化政治引领。增强“四个意识”，坚定“四个自信”，</w:t>
      </w:r>
    </w:p>
    <w:p>
      <w:pPr>
        <w:numPr>
          <w:numId w:val="0"/>
        </w:numPr>
        <w:spacing w:line="360" w:lineRule="auto"/>
        <w:rPr>
          <w:rFonts w:ascii="仿宋_GB2312" w:hAnsi="Calibri" w:eastAsia="仿宋_GB2312" w:cs="仿宋_GB2312"/>
          <w:bCs/>
          <w:sz w:val="32"/>
          <w:szCs w:val="32"/>
        </w:rPr>
      </w:pPr>
      <w:bookmarkStart w:id="9" w:name="_GoBack"/>
      <w:bookmarkEnd w:id="9"/>
      <w:r>
        <w:rPr>
          <w:rFonts w:hint="eastAsia" w:ascii="仿宋_GB2312" w:hAnsi="Calibri" w:eastAsia="仿宋_GB2312" w:cs="仿宋_GB2312"/>
          <w:bCs/>
          <w:sz w:val="32"/>
          <w:szCs w:val="32"/>
        </w:rPr>
        <w:t>做到“两个维护”，不折不扣落实党中央要求和市委、市政府决策部署。二是统筹安全和商务发展。牢牢守住安全发展底线，继续抓好常态化疫情防控，围绕商业服务企业、促消费活动、群体性聚餐、我市境外企业人员等重点方面落实防控措施。三是不断增强工作效能。高质量编制完成“十四五”时期商务发展的各项规划。</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（二）当年预算执行情况</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度本年支出合计262998.36万元，比上年379035.12万元，减少116036.76万元，下降30.61%，其中：基本支出26414.9万元，占支出合计的10.04%；项目支出236582.29万元，占支出合计的89.95%;经营支出1.17万元，占支出合计的0.01%。</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（三）整体绩效目标实现情况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1.产出完成情况分析</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（1）产出数量</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度，北京市商务局紧紧围绕“五子”发力，统筹全市“两区”和国际消费中心城市建设，成功举办2021年服贸会，全力做好商务领域防疫保供稳价和“一促两稳”等各项工作，承担的36项绩效任务、22项日常履职考核清单任务全部完成。具体包括：</w:t>
      </w:r>
    </w:p>
    <w:p>
      <w:pPr>
        <w:spacing w:line="360" w:lineRule="auto"/>
        <w:ind w:firstLine="640" w:firstLineChars="200"/>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两区”建设。2021年“两区”建设任务全部落地实施，40多项全国或全市首创、首批政策率先实施，20余项体制机制创新在京推出，90余项配套文件推动出台。通过“两区”带动，全市新设外资企业增长53.2%，自贸试验区以千分之七的面积贡献了全市12%的进出口和约三成的外资企业增</w:t>
      </w:r>
    </w:p>
    <w:p>
      <w:pPr>
        <w:spacing w:line="360" w:lineRule="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量。</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国际消费中心城市建设。2021年度建立了任务、项目、政策、企业和活动工作推进框架，173项任务年度目标已完成，31个年度项目全部落地。“10个专项+17个区域”配套实施方案全面推出，61项市级政策出台实施，22个传统商圈和20家传统商场升级改造基本完成，全城联动开展“北京消费季”商旅文体活动3000余项。</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2021年服贸会。常态化设立服贸会组委会和执委会，建立“事业单位+企业集团”运作模式。吸引了153个国家和地区的1.2万家企业线上线下参展参会。组建全球服贸联盟取得阶段性成效。</w:t>
      </w:r>
    </w:p>
    <w:p>
      <w:pPr>
        <w:spacing w:line="360" w:lineRule="auto"/>
        <w:ind w:firstLine="640" w:firstLineChars="200"/>
        <w:rPr>
          <w:rFonts w:hint="eastAsia" w:ascii="仿宋_GB2312" w:hAnsi="Calibri" w:eastAsia="仿宋_GB2312" w:cs="仿宋_GB2312"/>
          <w:bCs/>
          <w:sz w:val="32"/>
          <w:szCs w:val="32"/>
          <w:lang w:eastAsia="zh-CN"/>
        </w:rPr>
      </w:pPr>
      <w:r>
        <w:rPr>
          <w:rFonts w:hint="eastAsia" w:ascii="仿宋_GB2312" w:hAnsi="Calibri" w:eastAsia="仿宋_GB2312" w:cs="仿宋_GB2312"/>
          <w:bCs/>
          <w:sz w:val="32"/>
          <w:szCs w:val="32"/>
        </w:rPr>
        <w:t>抓消费促回暖。出台商圈发展、首店2.0版等6项支持政策；901家首店（含旗舰店）在京落地，增长近</w:t>
      </w:r>
      <w:r>
        <w:rPr>
          <w:rFonts w:hint="eastAsia" w:ascii="仿宋_GB2312" w:hAnsi="Calibri" w:eastAsia="仿宋_GB2312" w:cs="仿宋_GB2312"/>
          <w:bCs/>
          <w:sz w:val="32"/>
          <w:szCs w:val="32"/>
          <w:lang w:val="en-US" w:eastAsia="zh-CN"/>
        </w:rPr>
        <w:t>4</w:t>
      </w:r>
      <w:r>
        <w:rPr>
          <w:rFonts w:hint="eastAsia" w:ascii="仿宋_GB2312" w:hAnsi="Calibri" w:eastAsia="仿宋_GB2312" w:cs="仿宋_GB2312"/>
          <w:bCs/>
          <w:sz w:val="32"/>
          <w:szCs w:val="32"/>
        </w:rPr>
        <w:t>倍；6个新消费品牌孵化试点基地挂牌运营。跨境电商零售进口药品试点规模超上年4倍，717家离境退税商店居全国首位。</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稳外贸稳外资。实施推进贸易高质量发展的34项行动措施。着力培育8个国家级转型升级基地和13个市级外贸基地。支持科技防疫物资出口，</w:t>
      </w:r>
      <w:r>
        <w:rPr>
          <w:rFonts w:hint="eastAsia" w:ascii="仿宋_GB2312" w:hAnsi="Calibri" w:eastAsia="仿宋_GB2312" w:cs="仿宋_GB2312"/>
          <w:bCs/>
          <w:sz w:val="32"/>
          <w:szCs w:val="32"/>
          <w:lang w:eastAsia="zh-CN"/>
        </w:rPr>
        <w:t>全年</w:t>
      </w:r>
      <w:r>
        <w:rPr>
          <w:rFonts w:hint="eastAsia" w:ascii="仿宋_GB2312" w:hAnsi="Calibri" w:eastAsia="仿宋_GB2312" w:cs="仿宋_GB2312"/>
          <w:bCs/>
          <w:sz w:val="32"/>
          <w:szCs w:val="32"/>
        </w:rPr>
        <w:t>增长超过1倍，出口占比</w:t>
      </w:r>
      <w:r>
        <w:rPr>
          <w:rFonts w:hint="eastAsia" w:ascii="仿宋_GB2312" w:hAnsi="Calibri" w:eastAsia="仿宋_GB2312" w:cs="仿宋_GB2312"/>
          <w:bCs/>
          <w:sz w:val="32"/>
          <w:szCs w:val="32"/>
          <w:lang w:eastAsia="zh-CN"/>
        </w:rPr>
        <w:t>达</w:t>
      </w:r>
      <w:r>
        <w:rPr>
          <w:rFonts w:hint="eastAsia" w:ascii="仿宋_GB2312" w:hAnsi="Calibri" w:eastAsia="仿宋_GB2312" w:cs="仿宋_GB2312"/>
          <w:bCs/>
          <w:sz w:val="32"/>
          <w:szCs w:val="32"/>
        </w:rPr>
        <w:t>五分之一。促进数字贸易高质量发展，在全国率先开展数字贸易统计，出台20条数字贸易支持措施，数字贸易试验区错位发展格局初步显现。出台进一步加强稳外资工作的若干措施，修订外资企业投诉管理办法，全面清理与外商投资法不符的法规规章，开展线上线下招商推介超百场。出台首个支持综保区高质量发展的市级政策文件。</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商务营商环境优化。开展空港口岸跨境贸易营商环境“百日攻坚”行动，通关物流实现全流程全链条数据共享。《北京市单用途预付卡管理条例》经市人大审议通过。深化商务领域“放管服”改革，继续推行“不见面审批”“容缺办理”等便民措施，精简证明事项3项。按照市政务服务局统计数据，2021年度实行告知承诺事项完成比例38.8%，高出全市要求8.8个百分点。</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重大活动重要节日服务保障。高质量完成建党100周年庆祝活动食品原材料供应。高标准开展冬奥会和冬残奥会餐饮原材料服务保障，配合完善配套商业服务。制定市民群众在京过年实施方案，开展家政春节保供行动。</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着力赋能增效，推动商务治理能力实现新提升。完成“我为群众办实事”清单51项实事。推进商务系统廉政建设，见人见事进行警示教育2次。向重点批发市场选派驻场员52人次，在疫情防控等重点工作中培养锻炼年轻干部；办理人大代表建议和政协委员提案合计150件。突出“接诉即办”解决率，4次自办诉求、行业诉求综合考评全市第一。发挥规划导向作用，本市“十四五”时期开放型经济发展规划、农产品流通体系发展规划等印发实施。</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（2）产出质量</w:t>
      </w:r>
    </w:p>
    <w:p>
      <w:pPr>
        <w:spacing w:line="360" w:lineRule="auto"/>
        <w:ind w:firstLine="640" w:firstLineChars="200"/>
        <w:rPr>
          <w:rFonts w:hint="eastAsia" w:ascii="仿宋_GB2312" w:hAnsi="Calibri" w:eastAsia="仿宋_GB2312" w:cs="仿宋_GB2312"/>
          <w:bCs/>
          <w:sz w:val="32"/>
          <w:szCs w:val="32"/>
          <w:lang w:eastAsia="zh-CN"/>
        </w:rPr>
      </w:pPr>
      <w:r>
        <w:rPr>
          <w:rFonts w:hint="eastAsia" w:ascii="仿宋_GB2312" w:hAnsi="Calibri" w:eastAsia="仿宋_GB2312" w:cs="仿宋_GB2312"/>
          <w:bCs/>
          <w:sz w:val="32"/>
          <w:szCs w:val="32"/>
        </w:rPr>
        <w:t>全年工作着力</w:t>
      </w:r>
      <w:r>
        <w:rPr>
          <w:rFonts w:hint="eastAsia" w:ascii="仿宋_GB2312" w:hAnsi="Calibri" w:eastAsia="仿宋_GB2312" w:cs="仿宋_GB2312"/>
          <w:bCs/>
          <w:sz w:val="32"/>
          <w:szCs w:val="32"/>
          <w:lang w:eastAsia="zh-CN"/>
        </w:rPr>
        <w:t>融入</w:t>
      </w:r>
      <w:r>
        <w:rPr>
          <w:rFonts w:hint="eastAsia" w:ascii="仿宋_GB2312" w:hAnsi="Calibri" w:eastAsia="仿宋_GB2312" w:cs="仿宋_GB2312"/>
          <w:bCs/>
          <w:sz w:val="32"/>
          <w:szCs w:val="32"/>
        </w:rPr>
        <w:t>“五子”，为高质量发展注入强劲新动力。高位统筹工作推进机制进一步得到强化。建立了书记、市长亲自挂帅的“两区”建设工作推进体系，20位市领导联系服务20家“两区”重点园区（组团），以“双调研”“大拉练”“月点评”等方式部署推动。建立市长挂帅的国际消费中心城市建设工作机制，20位市领导“一对一”联系19个重点商圈，周调度、月部署、项目化清单化推进。强化市领导牵头的稳外资、农产品流通和物流基地等工作机制，上下联动一体化推进</w:t>
      </w:r>
      <w:r>
        <w:rPr>
          <w:rFonts w:hint="eastAsia" w:ascii="仿宋_GB2312" w:hAnsi="Calibri" w:eastAsia="仿宋_GB2312" w:cs="仿宋_GB2312"/>
          <w:bCs/>
          <w:sz w:val="32"/>
          <w:szCs w:val="32"/>
          <w:lang w:eastAsia="zh-CN"/>
        </w:rPr>
        <w:t>。</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落实财政预算绩效管理要求，认真完成中央内外贸资金绩效自评，开展2020年部门项目绩效自评及2021年部门预算绩效运行监控管理工作。</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（3）产出进度</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2021年市商务局严格按照年初制定的全年工作计划，在市委、市政府领导和各区各部门的大力支持下，各项工作稳步推进，全年工作进度落实执行情况良好。</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 xml:space="preserve">（4）产出成本 </w:t>
      </w:r>
    </w:p>
    <w:p>
      <w:pPr>
        <w:spacing w:line="360" w:lineRule="auto"/>
        <w:ind w:firstLine="640" w:firstLineChars="200"/>
        <w:rPr>
          <w:rFonts w:ascii="仿宋_GB2312" w:eastAsia="仿宋_GB2312"/>
          <w:sz w:val="32"/>
          <w:szCs w:val="32"/>
        </w:rPr>
      </w:pPr>
      <w:r>
        <w:rPr>
          <w:rFonts w:hint="eastAsia" w:ascii="仿宋_GB2312" w:hAnsi="Calibri" w:eastAsia="仿宋_GB2312" w:cs="仿宋_GB2312"/>
          <w:bCs/>
          <w:sz w:val="32"/>
          <w:szCs w:val="32"/>
        </w:rPr>
        <w:t>2021年市商务局全年预算支出数262998.36万元。</w:t>
      </w:r>
      <w:r>
        <w:rPr>
          <w:rFonts w:hint="eastAsia" w:ascii="仿宋_GB2312" w:eastAsia="仿宋_GB2312"/>
          <w:sz w:val="32"/>
          <w:szCs w:val="32"/>
        </w:rPr>
        <w:t xml:space="preserve">                           </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2.效果实现情况分析</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（1）经济效益</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2021年，全市社会消费品零售额同比增长</w:t>
      </w:r>
      <w:r>
        <w:rPr>
          <w:rFonts w:hint="eastAsia" w:ascii="仿宋_GB2312" w:hAnsi="Calibri" w:eastAsia="仿宋_GB2312" w:cs="仿宋_GB2312"/>
          <w:bCs/>
          <w:sz w:val="32"/>
          <w:szCs w:val="32"/>
          <w:lang w:val="en-US" w:eastAsia="zh-CN"/>
        </w:rPr>
        <w:t>8</w:t>
      </w:r>
      <w:r>
        <w:rPr>
          <w:rFonts w:hint="eastAsia" w:ascii="仿宋_GB2312" w:hAnsi="Calibri" w:eastAsia="仿宋_GB2312" w:cs="仿宋_GB2312"/>
          <w:bCs/>
          <w:sz w:val="32"/>
          <w:szCs w:val="32"/>
        </w:rPr>
        <w:t>.4%。网上零售额在社零额中占比达36.</w:t>
      </w:r>
      <w:r>
        <w:rPr>
          <w:rFonts w:hint="eastAsia" w:ascii="仿宋_GB2312" w:hAnsi="Calibri" w:eastAsia="仿宋_GB2312" w:cs="仿宋_GB2312"/>
          <w:bCs/>
          <w:sz w:val="32"/>
          <w:szCs w:val="32"/>
          <w:lang w:val="en-US" w:eastAsia="zh-CN"/>
        </w:rPr>
        <w:t>3</w:t>
      </w:r>
      <w:r>
        <w:rPr>
          <w:rFonts w:hint="eastAsia" w:ascii="仿宋_GB2312" w:hAnsi="Calibri" w:eastAsia="仿宋_GB2312" w:cs="仿宋_GB2312"/>
          <w:bCs/>
          <w:sz w:val="32"/>
          <w:szCs w:val="32"/>
        </w:rPr>
        <w:t>%，创历史新高。餐饮收入增长</w:t>
      </w:r>
      <w:r>
        <w:rPr>
          <w:rFonts w:hint="eastAsia" w:ascii="仿宋_GB2312" w:hAnsi="Calibri" w:eastAsia="仿宋_GB2312" w:cs="仿宋_GB2312"/>
          <w:bCs/>
          <w:sz w:val="32"/>
          <w:szCs w:val="32"/>
          <w:lang w:val="en-US" w:eastAsia="zh-CN"/>
        </w:rPr>
        <w:t>27.5</w:t>
      </w:r>
      <w:r>
        <w:rPr>
          <w:rFonts w:hint="eastAsia" w:ascii="仿宋_GB2312" w:hAnsi="Calibri" w:eastAsia="仿宋_GB2312" w:cs="仿宋_GB2312"/>
          <w:bCs/>
          <w:sz w:val="32"/>
          <w:szCs w:val="32"/>
        </w:rPr>
        <w:t>%，高于全国</w:t>
      </w:r>
      <w:r>
        <w:rPr>
          <w:rFonts w:hint="eastAsia" w:ascii="仿宋_GB2312" w:hAnsi="Calibri" w:eastAsia="仿宋_GB2312" w:cs="仿宋_GB2312"/>
          <w:bCs/>
          <w:sz w:val="32"/>
          <w:szCs w:val="32"/>
          <w:lang w:val="en-US" w:eastAsia="zh-CN"/>
        </w:rPr>
        <w:t>8.9</w:t>
      </w:r>
      <w:r>
        <w:rPr>
          <w:rFonts w:hint="eastAsia" w:ascii="仿宋_GB2312" w:hAnsi="Calibri" w:eastAsia="仿宋_GB2312" w:cs="仿宋_GB2312"/>
          <w:bCs/>
          <w:sz w:val="32"/>
          <w:szCs w:val="32"/>
        </w:rPr>
        <w:t>个百分点。对外贸易创历史新高，全年货物进出口达3.04万亿元</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“双自主”企业出口占比达25%。双向投资结构优化，服务业扩大开放重点领域引资占比超八成。2021年服贸会达成各类成果1672个，成果数量和交易金额均超上届。</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（2）社会效益</w:t>
      </w:r>
    </w:p>
    <w:p>
      <w:pPr>
        <w:spacing w:line="360" w:lineRule="auto"/>
        <w:ind w:firstLine="640" w:firstLineChars="200"/>
        <w:rPr>
          <w:rFonts w:hint="eastAsia" w:ascii="仿宋_GB2312" w:hAnsi="Calibri" w:eastAsia="仿宋_GB2312" w:cs="仿宋_GB2312"/>
          <w:bCs/>
          <w:sz w:val="32"/>
          <w:szCs w:val="32"/>
          <w:lang w:eastAsia="zh-CN"/>
        </w:rPr>
      </w:pPr>
      <w:r>
        <w:rPr>
          <w:rFonts w:hint="eastAsia" w:ascii="仿宋_GB2312" w:hAnsi="Calibri" w:eastAsia="仿宋_GB2312" w:cs="仿宋_GB2312"/>
          <w:bCs/>
          <w:sz w:val="32"/>
          <w:szCs w:val="32"/>
        </w:rPr>
        <w:t>全市建设提升蔬菜零售等八大类基本便民商业网点612个，平均每百万人拥有连锁便利店（社区超市）由上年的282个提高到310个，超额完成民生实事任务</w:t>
      </w:r>
      <w:r>
        <w:rPr>
          <w:rFonts w:hint="eastAsia" w:ascii="仿宋_GB2312" w:hAnsi="Calibri" w:eastAsia="仿宋_GB2312" w:cs="仿宋_GB2312"/>
          <w:bCs/>
          <w:sz w:val="32"/>
          <w:szCs w:val="32"/>
          <w:lang w:eastAsia="zh-CN"/>
        </w:rPr>
        <w:t>。</w:t>
      </w:r>
      <w:r>
        <w:rPr>
          <w:rFonts w:hint="eastAsia" w:ascii="仿宋_GB2312" w:hAnsi="Calibri" w:eastAsia="仿宋_GB2312" w:cs="仿宋_GB2312"/>
          <w:bCs/>
          <w:sz w:val="32"/>
          <w:szCs w:val="32"/>
        </w:rPr>
        <w:t>王府井步行街获评国家级示范步行街，前门大栅栏商圈改造提升加快推进</w:t>
      </w:r>
      <w:r>
        <w:rPr>
          <w:rFonts w:hint="eastAsia" w:ascii="仿宋_GB2312" w:hAnsi="Calibri" w:eastAsia="仿宋_GB2312" w:cs="仿宋_GB2312"/>
          <w:bCs/>
          <w:sz w:val="32"/>
          <w:szCs w:val="32"/>
          <w:lang w:eastAsia="zh-CN"/>
        </w:rPr>
        <w:t>。</w:t>
      </w:r>
    </w:p>
    <w:p>
      <w:pPr>
        <w:spacing w:line="360" w:lineRule="auto"/>
        <w:ind w:firstLine="640" w:firstLineChars="200"/>
        <w:rPr>
          <w:rFonts w:hint="eastAsia" w:ascii="仿宋_GB2312" w:hAnsi="Calibri" w:eastAsia="仿宋_GB2312" w:cs="仿宋_GB2312"/>
          <w:bCs/>
          <w:sz w:val="32"/>
          <w:szCs w:val="32"/>
          <w:lang w:eastAsia="zh-CN"/>
        </w:rPr>
      </w:pPr>
      <w:r>
        <w:rPr>
          <w:rFonts w:hint="eastAsia" w:ascii="仿宋_GB2312" w:hAnsi="Calibri" w:eastAsia="仿宋_GB2312" w:cs="仿宋_GB2312"/>
          <w:bCs/>
          <w:sz w:val="32"/>
          <w:szCs w:val="32"/>
        </w:rPr>
        <w:t>疫情防控下市民生活便利度提升，科学优化商业服务业常态化防控措施，更新商超、餐饮等12个行业防控指引，加强进口货品疫情防控督促检查力度，全市社区菜市场“数字赋能”改造试点行动启动实施，百余处便利店、书屋、药店等便民服务设施已在北京地铁开业</w:t>
      </w:r>
      <w:r>
        <w:rPr>
          <w:rFonts w:hint="eastAsia" w:ascii="仿宋_GB2312" w:hAnsi="Calibri" w:eastAsia="仿宋_GB2312" w:cs="仿宋_GB2312"/>
          <w:bCs/>
          <w:sz w:val="32"/>
          <w:szCs w:val="32"/>
          <w:lang w:eastAsia="zh-CN"/>
        </w:rPr>
        <w:t>。</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生活必需品保供稳价体系持续完善，全环节发力，加强货源组织，强化末端网点“哨点”作用，政企合力、快速响应的生活必需品供给机制有效运行，在多次局部疫情反复中经受住实战考验。我市生活必需品量价稳定，蔬菜价格持续低位运行。</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（3）环境效益</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不涉及</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（4）可持续性影响</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度市商务局贯彻党的十九届五中全会及中央经济会议精神，按照全国商务工作电视电话会议和市委、市政府的部署，贯彻新发展理念，坚持以首都发展为统领，坚持系统观念，统筹安全和商务发展，在常态化疫情防控前提下，通过全年工作的开展，为推动“两区”建设和促消费、稳外贸、稳外资工作，高水平举办服贸会，积极探索构建新发展格局的有效路径，努力实现“十四五”商务发展良好开局等方面的可持续发展与提升起到了良好的效果。</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（5）服务对象满意度</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市商务局2021年度以构建新发展格局为引领，坚持稳字当头、稳中求进，统筹疫情防控和商务发展，扎实做好各项商务工作，全年工作得到了市委市政府、上级部门及企业与广大市民的认可与肯定。</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（四）预算管理情况分析</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w:t>
      </w:r>
      <w:r>
        <w:rPr>
          <w:rFonts w:hint="eastAsia" w:ascii="仿宋_GB2312" w:eastAsia="仿宋_GB2312"/>
          <w:b/>
          <w:sz w:val="32"/>
          <w:szCs w:val="32"/>
        </w:rPr>
        <w:t>财务管理</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（1）财务管理制度健全性</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市商务局为加强内部控制中的财务管理，结合部门工作实际需求，建立了“以预算管理为主线、以资金管控为核心”的内部财务管理控制体系，实现内部财务管理控制体系的系统化与常态化。对预算管理、资金支出等领域业务流程的控制节点、提出了重要风险点的控制措施，进一步规范了单位财务管理的流程与监管。</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2.资金使用合规性和安全性</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部门预算执行过程中，预算管理决策主要依据《单位内控制度》执行，年度资金决策过程依据充分，资金执行流程规范、资金管理过程留痕清晰，资金的整体使用按照内控管理制度的相关要求落实到位。确保了全年各预算项目在决策、管理、执行过程中的资金安全性与使用严谨性，进一步科学合理地规避了财政资金使用的风险。</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3.会计基础信息完善性</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市商务局内部控制机制健全，形成了较为明确的工作管理目标及管理模式。在实际管理过程中能够做到严格执行，保证了财政资金的高效、规范管理和使用。项目经费支出按照制度进行严格的审核与审批，做到了专户管理、专款专用、独立核算。全年会计资料的保管与会计账簿记录完整，财务基础工作的规范性与会计信息的准确性执行情况良好。</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w:t>
      </w:r>
      <w:r>
        <w:rPr>
          <w:rFonts w:hint="eastAsia" w:ascii="仿宋_GB2312" w:eastAsia="仿宋_GB2312"/>
          <w:b/>
          <w:sz w:val="32"/>
          <w:szCs w:val="32"/>
        </w:rPr>
        <w:t>资产管理</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为了加强单位固定资产的管理，提高固定资产管理水平，市商务局依据《政府会计制度》、《行政事业单位国有资产管理办法》、《行政事业单位国有资产处置管理办法》等相关文件，制定并完善了市商务局资产管理的相关制度。</w:t>
      </w:r>
    </w:p>
    <w:p>
      <w:pPr>
        <w:spacing w:line="360" w:lineRule="auto"/>
        <w:ind w:firstLine="640" w:firstLineChars="200"/>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截至2021年12月31日，市商务局固定资产数为74465项，账面原值为113795.13万元。在资产的管理使用过程中，市商务局设置了固定资产总账、财政动态库和固定资产卡</w:t>
      </w:r>
    </w:p>
    <w:p>
      <w:pPr>
        <w:spacing w:line="360" w:lineRule="auto"/>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片，并设专人负责固定资产实物管理，登记固定资产卡片，作为固定资产入账凭证之一。明确固定资产购置程序，建立验收、入库、登记制度。明确固定资产调拨程序，完善调拨手续。建立固定资产报废制度，明确统一由固定资产归口部门负责，根据固定资产使用年限、固定资产使用状态及各处室报废申请等，依法依规办理核销手续。资产信息化动态管</w:t>
      </w:r>
    </w:p>
    <w:p>
      <w:pPr>
        <w:spacing w:line="360" w:lineRule="auto"/>
        <w:jc w:val="both"/>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理过程中，进一步规范了固定资产增加、减少、使用和处置工作流程；进一步加强了资产动态与预算管理相结合，为预算编制提供了真实、完整、准确的基础数据；进一步加强了</w:t>
      </w:r>
      <w:r>
        <w:rPr>
          <w:rFonts w:hint="eastAsia" w:ascii="仿宋_GB2312" w:hAnsi="Calibri" w:eastAsia="仿宋_GB2312" w:cs="仿宋_GB2312"/>
          <w:bCs/>
          <w:sz w:val="32"/>
          <w:szCs w:val="32"/>
        </w:rPr>
        <w:t>日常资产管理和资产清查工作相结合，确保资产管理做到“账证、账实、账账”相符的要求。</w:t>
      </w:r>
    </w:p>
    <w:p>
      <w:pPr>
        <w:spacing w:line="600" w:lineRule="exact"/>
        <w:ind w:firstLine="643" w:firstLineChars="200"/>
        <w:rPr>
          <w:rFonts w:ascii="仿宋_GB2312" w:eastAsia="仿宋_GB2312"/>
          <w:b/>
          <w:sz w:val="32"/>
          <w:szCs w:val="32"/>
        </w:rPr>
      </w:pPr>
      <w:r>
        <w:rPr>
          <w:rFonts w:ascii="仿宋_GB2312" w:eastAsia="仿宋_GB2312"/>
          <w:b/>
          <w:sz w:val="32"/>
          <w:szCs w:val="32"/>
        </w:rPr>
        <w:t>3.</w:t>
      </w:r>
      <w:r>
        <w:rPr>
          <w:rFonts w:hint="eastAsia" w:ascii="仿宋_GB2312" w:eastAsia="仿宋_GB2312"/>
          <w:b/>
          <w:sz w:val="32"/>
          <w:szCs w:val="32"/>
        </w:rPr>
        <w:t>绩效</w:t>
      </w:r>
      <w:r>
        <w:rPr>
          <w:rFonts w:ascii="仿宋_GB2312" w:eastAsia="仿宋_GB2312"/>
          <w:b/>
          <w:sz w:val="32"/>
          <w:szCs w:val="32"/>
        </w:rPr>
        <w:t>管理</w:t>
      </w:r>
    </w:p>
    <w:p>
      <w:pPr>
        <w:spacing w:line="360" w:lineRule="auto"/>
        <w:ind w:firstLine="640" w:firstLineChars="200"/>
        <w:jc w:val="distribute"/>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市商务局为了实现2021年度部门整体工作目标，填报了部门整体支出绩效目标申报表，设置了明确的年度总体绩效目标，并结合总体部门对各项具体指标进行了分解。各项产出指标依据年度重点工作任务、重大事项、及大额资金的使用进行设置，在机关内部进行充分研究后，按照集体决策程序进行研究审批，部门整体支出绩效目标的决策过程规</w:t>
      </w:r>
    </w:p>
    <w:p>
      <w:pPr>
        <w:spacing w:line="360" w:lineRule="auto"/>
        <w:jc w:val="both"/>
        <w:rPr>
          <w:rFonts w:ascii="仿宋_GB2312" w:hAnsi="Calibri" w:eastAsia="仿宋_GB2312" w:cs="仿宋_GB2312"/>
          <w:bCs/>
          <w:sz w:val="32"/>
          <w:szCs w:val="32"/>
        </w:rPr>
      </w:pPr>
      <w:r>
        <w:rPr>
          <w:rFonts w:hint="eastAsia" w:ascii="仿宋_GB2312" w:hAnsi="Calibri" w:eastAsia="仿宋_GB2312" w:cs="仿宋_GB2312"/>
          <w:bCs/>
          <w:sz w:val="32"/>
          <w:szCs w:val="32"/>
        </w:rPr>
        <w:t>范、有效。通过多年来财政预算绩效管理相关工作的开展，对市商务局各方面工作均起到了明显的提高与促进作用。2021年度市商务局高度重视绩效管理工作，明确了全年绩效管理的主要工作内容和总体工作计划，不定期对重点项目的进展、绩效实现和资金支付等情况进行了解，对绩效目标不明确或有偏差的及时给予指导完善调整。并加强了重点环节的检查，按照各项目预期的时间节点，对照预算申报时确定的项目内容、绩效目标和实施计划进行重点跟踪检查，认真查找项目组织管理实施中与年度目标计划存在的差异，以及当前已实现的实际绩效与年度目标绩效间的差异，分析差异形成的原因，提出改进的要求。</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市商务局全年严格落实财政预算绩效管理的要求，认真完成中央内外贸资金绩效自评工作，组织开展了对2020年部门项目绩效自评及2021年部门预算绩效运行监控管理工作。</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4</w:t>
      </w:r>
      <w:r>
        <w:rPr>
          <w:rFonts w:ascii="仿宋_GB2312" w:eastAsia="仿宋_GB2312"/>
          <w:b/>
          <w:sz w:val="32"/>
          <w:szCs w:val="32"/>
        </w:rPr>
        <w:t>.</w:t>
      </w:r>
      <w:r>
        <w:rPr>
          <w:rFonts w:hint="eastAsia" w:ascii="仿宋_GB2312" w:eastAsia="仿宋_GB2312"/>
          <w:b/>
          <w:sz w:val="32"/>
          <w:szCs w:val="32"/>
        </w:rPr>
        <w:t>结转结余率</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结转结余率=结转结余总额/支出预算数×100%。</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2021年度结转结余资金总额23004.74万元，全年预算支出数286003.26万元。结转结余率8.04%</w:t>
      </w:r>
    </w:p>
    <w:p>
      <w:pPr>
        <w:spacing w:line="600" w:lineRule="exact"/>
        <w:ind w:firstLine="643" w:firstLineChars="200"/>
        <w:rPr>
          <w:rFonts w:ascii="楷体_GB2312" w:eastAsia="楷体_GB2312"/>
          <w:b/>
          <w:sz w:val="32"/>
          <w:szCs w:val="32"/>
        </w:rPr>
      </w:pPr>
      <w:r>
        <w:rPr>
          <w:rFonts w:hint="eastAsia" w:ascii="仿宋_GB2312" w:eastAsia="仿宋_GB2312"/>
          <w:b/>
          <w:sz w:val="32"/>
          <w:szCs w:val="32"/>
        </w:rPr>
        <w:t>5</w:t>
      </w:r>
      <w:r>
        <w:rPr>
          <w:rFonts w:ascii="仿宋_GB2312" w:eastAsia="仿宋_GB2312"/>
          <w:b/>
          <w:sz w:val="32"/>
          <w:szCs w:val="32"/>
        </w:rPr>
        <w:t>.</w:t>
      </w:r>
      <w:r>
        <w:rPr>
          <w:rFonts w:hint="eastAsia" w:ascii="仿宋_GB2312" w:eastAsia="仿宋_GB2312"/>
          <w:b/>
          <w:sz w:val="32"/>
          <w:szCs w:val="32"/>
        </w:rPr>
        <w:t>部门</w:t>
      </w:r>
      <w:r>
        <w:rPr>
          <w:rFonts w:ascii="仿宋_GB2312" w:eastAsia="仿宋_GB2312"/>
          <w:b/>
          <w:sz w:val="32"/>
          <w:szCs w:val="32"/>
        </w:rPr>
        <w:t>预决算差异率</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2021年预算数：资金总额198021.09万元，其中，基本支出预算数25710.23万元，项目支出预算数172310.86万元。</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2021年决算数：资金总额262998.36万元，其中，基本支出26414.91万元，项目支出236582.29万元，其他支出1.16万元。部门预决算差异率为32.81%</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差异原因分析：全年预算执行主要因疫情影响及部分工作任务调整的原因，存在部分调整与变化，导致部门预决算存在差异。</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（五）总体</w:t>
      </w:r>
      <w:r>
        <w:rPr>
          <w:rFonts w:ascii="仿宋_GB2312" w:eastAsia="仿宋_GB2312"/>
          <w:b/>
          <w:sz w:val="32"/>
          <w:szCs w:val="32"/>
        </w:rPr>
        <w:t>评价结论</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1</w:t>
      </w:r>
      <w:r>
        <w:rPr>
          <w:rFonts w:ascii="仿宋_GB2312" w:eastAsia="仿宋_GB2312"/>
          <w:b/>
          <w:sz w:val="32"/>
          <w:szCs w:val="32"/>
        </w:rPr>
        <w:t>.</w:t>
      </w:r>
      <w:r>
        <w:rPr>
          <w:rFonts w:hint="eastAsia" w:ascii="仿宋_GB2312" w:eastAsia="仿宋_GB2312"/>
          <w:b/>
          <w:sz w:val="32"/>
          <w:szCs w:val="32"/>
        </w:rPr>
        <w:t>评价</w:t>
      </w:r>
      <w:r>
        <w:rPr>
          <w:rFonts w:ascii="仿宋_GB2312" w:eastAsia="仿宋_GB2312"/>
          <w:b/>
          <w:sz w:val="32"/>
          <w:szCs w:val="32"/>
        </w:rPr>
        <w:t>得分</w:t>
      </w:r>
      <w:r>
        <w:rPr>
          <w:rFonts w:hint="eastAsia" w:ascii="仿宋_GB2312" w:eastAsia="仿宋_GB2312"/>
          <w:b/>
          <w:sz w:val="32"/>
          <w:szCs w:val="32"/>
        </w:rPr>
        <w:t>情况</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根据2021年度部门整体支出绩效评价指标体系，经评价，市商务局2021年度机关本</w:t>
      </w:r>
      <w:r>
        <w:rPr>
          <w:rFonts w:hint="eastAsia" w:ascii="仿宋_GB2312" w:hAnsi="Calibri" w:eastAsia="仿宋_GB2312" w:cs="仿宋_GB2312"/>
          <w:bCs/>
          <w:sz w:val="32"/>
          <w:szCs w:val="32"/>
          <w:lang w:eastAsia="zh-CN"/>
        </w:rPr>
        <w:t>级</w:t>
      </w:r>
      <w:r>
        <w:rPr>
          <w:rFonts w:hint="eastAsia" w:ascii="仿宋_GB2312" w:hAnsi="Calibri" w:eastAsia="仿宋_GB2312" w:cs="仿宋_GB2312"/>
          <w:bCs/>
          <w:sz w:val="32"/>
          <w:szCs w:val="32"/>
        </w:rPr>
        <w:t>部门整体绩效评价得分为93.50分，评分等级为“优秀”。其中当年预算执行情况总分为20分，评价得分为18分；整体绩效目标实现情况总分为60分，评价得分为57分；预算管理情况总分为20分，评价得分为18.50分。</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2</w:t>
      </w:r>
      <w:r>
        <w:rPr>
          <w:rFonts w:ascii="仿宋_GB2312" w:eastAsia="仿宋_GB2312"/>
          <w:b/>
          <w:sz w:val="32"/>
          <w:szCs w:val="32"/>
        </w:rPr>
        <w:t>.</w:t>
      </w:r>
      <w:r>
        <w:rPr>
          <w:rFonts w:hint="eastAsia" w:ascii="仿宋_GB2312" w:eastAsia="仿宋_GB2312"/>
          <w:b/>
          <w:sz w:val="32"/>
          <w:szCs w:val="32"/>
        </w:rPr>
        <w:t>存在的问题及原因分析</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2021年度，各预算申报项目绩效目标填报的规范性及合理性较上年有所规范，指标内容具备了较为清晰的的细化与量化程度。但个别项目的绩效目标填报仍存在科学性不足的情况，项目总体目标中关于项目实施的依据、实施的内容以及预期达到的效果归纳与阐述有所不足，具体产出指标中三级指标及指标值的设定还不够清晰明确。</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（2）部分项目在组织实施和过程管理的精细化水平有待进一步提升。部分项目实施方案的完整性与指导性仍有待加强，项目实施过程的管理资料以及服务对象满意度调查资料的归集与整理情况依然存在不足。</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截止2021年底，“两区”制度创新的集成化与成效显示度还不够充分；国际消费中心城市建设创新政策的精准度、系统性、覆盖面还有所不足；服贸会国际化、专业化、市场化水平仍有进一步提升的空间；在服务群众方面存在短板。</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（六）措施建议</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通过对2021年度部门本</w:t>
      </w:r>
      <w:r>
        <w:rPr>
          <w:rFonts w:hint="eastAsia" w:ascii="仿宋_GB2312" w:hAnsi="Calibri" w:eastAsia="仿宋_GB2312" w:cs="仿宋_GB2312"/>
          <w:bCs/>
          <w:sz w:val="32"/>
          <w:szCs w:val="32"/>
          <w:lang w:eastAsia="zh-CN"/>
        </w:rPr>
        <w:t>级</w:t>
      </w:r>
      <w:r>
        <w:rPr>
          <w:rFonts w:hint="eastAsia" w:ascii="仿宋_GB2312" w:hAnsi="Calibri" w:eastAsia="仿宋_GB2312" w:cs="仿宋_GB2312"/>
          <w:bCs/>
          <w:sz w:val="32"/>
          <w:szCs w:val="32"/>
        </w:rPr>
        <w:t>开展的绩效自评工作，本</w:t>
      </w:r>
      <w:r>
        <w:rPr>
          <w:rFonts w:hint="eastAsia" w:ascii="仿宋_GB2312" w:hAnsi="Calibri" w:eastAsia="仿宋_GB2312" w:cs="仿宋_GB2312"/>
          <w:bCs/>
          <w:sz w:val="32"/>
          <w:szCs w:val="32"/>
          <w:lang w:eastAsia="zh-CN"/>
        </w:rPr>
        <w:t>级</w:t>
      </w:r>
      <w:r>
        <w:rPr>
          <w:rFonts w:hint="eastAsia" w:ascii="仿宋_GB2312" w:hAnsi="Calibri" w:eastAsia="仿宋_GB2312" w:cs="仿宋_GB2312"/>
          <w:bCs/>
          <w:sz w:val="32"/>
          <w:szCs w:val="32"/>
        </w:rPr>
        <w:t>机关各处室、各部门的预算管理意识均有所增强，各财政预算项目在执行绩效管理工作的过程中均能够严格按照财政批复的范围和用途落实资金的使用，专款专用。但在本次自评工作中也发现个别项目在绩效管理工作中存在的不足，将作为下一步重点关注与改进的方面。</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1.进一步提高项目的绩效管理水平，规范科学编制绩效目标表，提高项目绩效目标和指标编制的合理性。进一步强化项目绩效意识，科学、合理、规范设定项目绩效目标申报表，根据市财政局有关绩效目标管理的要求，结合项目内容，规范填报预期绩效目标申报表。填报的总体绩效目标申报表中应包含项目的立项背景和需求、实施的主要内容、年度计划实现的绩效成果等关键要素。填报的具体指标应细化、量化，通过填报科学规范的绩效目标申报表，进一步提高项目绩效目标的可考量性。</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2.严格落实项目的管理流程，提高项目精细化管理水平。加强项目实施方案的研究工作，规范编制项目实施方案，结合项目的特点，从项目的组织机构、人员分工、项目具体组织实施、相关执行标准、项目的过程控制、资金支付监管及项目总结验收等方面制定相关的措施，确保项目实施的闭环管理。同时，还应加强项目资金的支出进度计划的编制，合理安排支出进度，避免因支出进度滞后导致项目的调整或延期，提高部门整体支出的效率。</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3.重视项目绩效资料的留存与收集。在项目执行环节应注重及时收集项目绩效资料，加强对相关数据的汇总分析和历史比对，从多方面反映项目绩效成果的实现程度，全面展示项目实施效果。在项目执行过程中督促项目负责人及时组织开展满意度调查，分层分级科学设计调查问卷，深入分析项目实施的效果和不足，通过对调查问卷的统计分析和结果应用，持续推进项目绩效的跟进和提升。</w:t>
      </w:r>
    </w:p>
    <w:p>
      <w:pPr>
        <w:spacing w:line="360" w:lineRule="auto"/>
        <w:ind w:firstLine="640" w:firstLineChars="200"/>
        <w:rPr>
          <w:rFonts w:ascii="仿宋_GB2312" w:hAnsi="Calibri" w:eastAsia="仿宋_GB2312" w:cs="仿宋_GB2312"/>
          <w:bCs/>
          <w:sz w:val="32"/>
          <w:szCs w:val="32"/>
        </w:rPr>
      </w:pPr>
      <w:r>
        <w:rPr>
          <w:rFonts w:hint="eastAsia" w:ascii="仿宋_GB2312" w:hAnsi="Calibri" w:eastAsia="仿宋_GB2312" w:cs="仿宋_GB2312"/>
          <w:bCs/>
          <w:sz w:val="32"/>
          <w:szCs w:val="32"/>
        </w:rPr>
        <w:t>4.结合自评工作，总结分析预算绩效管理有益做法和经验。针对发现的过程管理中规范性不足的问题，提出改进意见。对项目预算目标执行情况进行统计分析，分析预算支出进度及绩效目标的实现，及时提醒项目相关人员加强项目管理，控制项目风险，保证项目质量，将细节管理落实到项目实施的各个环节。</w:t>
      </w:r>
    </w:p>
    <w:p>
      <w:pPr>
        <w:spacing w:line="360" w:lineRule="auto"/>
        <w:ind w:firstLine="640" w:firstLineChars="200"/>
        <w:rPr>
          <w:rFonts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360" w:lineRule="auto"/>
        <w:ind w:firstLine="640" w:firstLineChars="200"/>
        <w:rPr>
          <w:rFonts w:hint="eastAsia" w:ascii="仿宋_GB2312" w:hAnsi="Calibri" w:eastAsia="仿宋_GB2312" w:cs="仿宋_GB2312"/>
          <w:bCs/>
          <w:sz w:val="32"/>
          <w:szCs w:val="32"/>
        </w:rPr>
      </w:pPr>
    </w:p>
    <w:p>
      <w:pPr>
        <w:spacing w:line="600" w:lineRule="exact"/>
        <w:ind w:firstLine="640" w:firstLineChars="200"/>
        <w:rPr>
          <w:rFonts w:ascii="黑体" w:hAnsi="黑体" w:eastAsia="黑体" w:cs="宋体"/>
          <w:color w:val="000000"/>
          <w:kern w:val="0"/>
          <w:sz w:val="32"/>
          <w:szCs w:val="32"/>
        </w:rPr>
      </w:pPr>
      <w:r>
        <w:rPr>
          <w:rFonts w:hint="eastAsia" w:ascii="黑体" w:hAnsi="黑体" w:eastAsia="黑体" w:cs="宋体"/>
          <w:color w:val="000000"/>
          <w:kern w:val="0"/>
          <w:sz w:val="32"/>
          <w:szCs w:val="32"/>
        </w:rPr>
        <w:t>二、2021年生活必需品等政府储备费用补贴项目支出绩效评价报告</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w:t>
      </w:r>
    </w:p>
    <w:p>
      <w:pPr>
        <w:spacing w:line="600" w:lineRule="exact"/>
        <w:ind w:left="105" w:leftChars="50" w:firstLine="482" w:firstLineChars="150"/>
        <w:rPr>
          <w:rFonts w:ascii="仿宋_GB2312" w:eastAsia="仿宋_GB2312"/>
          <w:b/>
          <w:sz w:val="32"/>
          <w:szCs w:val="32"/>
        </w:rPr>
      </w:pPr>
      <w:r>
        <w:rPr>
          <w:rFonts w:hint="eastAsia" w:ascii="仿宋_GB2312" w:eastAsia="仿宋_GB2312"/>
          <w:b/>
          <w:sz w:val="32"/>
          <w:szCs w:val="32"/>
        </w:rPr>
        <w:t>1.项目概况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（1）项目实施背景与主要实施内容：</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2021年，市商务局储备调控处按照生活必需品等政府储备的有关要求，协同承储企业克服疫情期间货源组织、人力调配、交通运输等方面的困难，坚持“宁可备而不用，宁可多备少用”原则，依据职能和市政府有关要求，组织实施2021年度生活必需品等政府储备费用补贴项目。项目具体实施内容包括：</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①2021年生活必需品等政府储备（常规）项目</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为保障市场经济条件下生活必需品市场的稳定供应，应对突发事件等不利因素对生活必需品应急需要。2021年常规储备项目依据《北京市市级重要商品政府储备管理办法》，计划通过公开招标采购，委托中标企业落实了猪牛羊活体、冻猪牛羊肉、鸡蛋（含冷藏）、</w:t>
      </w:r>
      <w:r>
        <w:rPr>
          <w:rFonts w:hint="eastAsia" w:ascii="仿宋_GB2312" w:hAnsi="Calibri" w:eastAsia="仿宋_GB2312" w:cs="仿宋_GB2312"/>
          <w:bCs/>
          <w:sz w:val="32"/>
          <w:szCs w:val="32"/>
          <w:lang w:eastAsia="zh-CN"/>
        </w:rPr>
        <w:t>蔬菜、食糖、食盐、</w:t>
      </w:r>
      <w:r>
        <w:rPr>
          <w:rFonts w:hint="eastAsia" w:ascii="仿宋_GB2312" w:hAnsi="Calibri" w:eastAsia="仿宋_GB2312" w:cs="仿宋_GB2312"/>
          <w:bCs/>
          <w:sz w:val="32"/>
          <w:szCs w:val="32"/>
        </w:rPr>
        <w:t>方便面</w:t>
      </w:r>
      <w:r>
        <w:rPr>
          <w:rFonts w:hint="eastAsia" w:ascii="仿宋_GB2312" w:hAnsi="Calibri" w:eastAsia="仿宋_GB2312" w:cs="仿宋_GB2312"/>
          <w:bCs/>
          <w:sz w:val="32"/>
          <w:szCs w:val="32"/>
          <w:lang w:eastAsia="zh-CN"/>
        </w:rPr>
        <w:t>等</w:t>
      </w:r>
      <w:r>
        <w:rPr>
          <w:rFonts w:hint="eastAsia" w:ascii="仿宋_GB2312" w:hAnsi="Calibri" w:eastAsia="仿宋_GB2312" w:cs="仿宋_GB2312"/>
          <w:bCs/>
          <w:sz w:val="32"/>
          <w:szCs w:val="32"/>
        </w:rPr>
        <w:t>政府储备任务。</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②2021年1-6月新增生活必需品政府储备项目</w:t>
      </w:r>
    </w:p>
    <w:p>
      <w:pPr>
        <w:wordWrap/>
        <w:adjustRightInd/>
        <w:snapToGrid/>
        <w:spacing w:line="580" w:lineRule="exact"/>
        <w:ind w:right="0" w:firstLine="640" w:firstLineChars="200"/>
        <w:textAlignment w:val="auto"/>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rPr>
        <w:t>为应对2021年新冠及非洲猪瘟疫情，根据疫情发展的不确定性，落实了经市政府批准的《2021年1-6月份生活必需品应急保供调控计划》，计划委托承储企业新增（延期）</w:t>
      </w:r>
      <w:r>
        <w:rPr>
          <w:rFonts w:hint="eastAsia" w:ascii="仿宋_GB2312" w:hAnsi="Calibri" w:eastAsia="仿宋_GB2312" w:cs="仿宋_GB2312"/>
          <w:bCs/>
          <w:sz w:val="32"/>
          <w:szCs w:val="32"/>
          <w:highlight w:val="none"/>
        </w:rPr>
        <w:t>冻肉、鸡蛋、瓶装饮用水、方便面等11种临时储备。</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③2021年政府猪肉临时储备（第一轮）项目</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根据政府猪肉储备调节响应机制，为抑制猪肉市场价格快速大跌的态势，根据市领导在《北京市发展和改革委员会 北京市商务局 北京市财政局关于启动政府猪肉临时储备工作的请示》上的批示，计划委托承储企业完成猪肉临时储备及收储任务。储备期自2021年8月1日至2021年10月29日（共计90天）。</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（2）项目资金投入和使用情况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项目年初预算申报金额17125.00万元，全年预算调整后金额17190.76万元，截至2021年12月31日，项目资金支出金额17141.38万元，预算执行率99.70%。其中：</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①2021年生活必需品等政府储备（常规）项目年初预算金额13277.57万元；全年预算（核准）资金13268.50万元；预算实际执行13249.12万元。</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②2021年1-6月新增生活必需品政府储备项目年初预算金额3847.43万元；全年预算（核准）资金3839.86万元；预算实际执行3828.58万元。</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③2021年政府猪肉临时储备（第一轮）项目，下达市级价格应急调节资金65.76万元；一次性执行63.68万元。</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2.项目绩效目标</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（1）总体目标：</w:t>
      </w:r>
    </w:p>
    <w:p>
      <w:pPr>
        <w:wordWrap/>
        <w:adjustRightInd/>
        <w:snapToGrid/>
        <w:spacing w:line="580" w:lineRule="exact"/>
        <w:ind w:right="0" w:firstLine="640" w:firstLineChars="200"/>
        <w:textAlignment w:val="auto"/>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北京作为首都和拥有2100多万人口的特大型消费城市，粮油、肉蛋、蔬菜等生活必需品自给率较低，80%以上由外埠调入，易受到恶劣气候、突发事件等不利因素影响，为做好市场供应和应急保障工作，本市从1992年开始建立生活必需品等政府储备制度，延续多年储备肉、蛋、菜、奶、食盐、食糖等生活必需品。依据政府储备制度，落实生活必需品政府储备，有效应对重大突发事件和自然灾害，切实发挥保障城市生活必需品市场平稳供应和安定的社会生活秩序，保障北京市重要社会、政治生活活动，起到托底安全供应的作用，突显出政府储备制度在全面应急、局地救灾、以及重要会议、重大活动供应保障三个方面保障社会公共安全上的重要意义。市商务局等部门通过加强政府储备监管，建立储备检查制度和商品轮换制度，确保储备商品“储得住，管得好”。</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（2）阶段性目标</w:t>
      </w:r>
    </w:p>
    <w:p>
      <w:pPr>
        <w:spacing w:line="600" w:lineRule="exact"/>
        <w:ind w:firstLine="640" w:firstLineChars="200"/>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开展生活必需品等政府储备工作，确保发生突发事件、自然灾害等应急情况下，本市生活必需品供应稳定，有效应对缺货或断货问题。开展应急商品及农资等政府储备，确保应对局部突发事件、基本农田生产资料等应急需求。按照疫情防控要求，通过加强政府储备调控，及时保障疫情期间生活必需品的供应和应急需求。</w:t>
      </w:r>
    </w:p>
    <w:p>
      <w:pPr>
        <w:spacing w:line="600" w:lineRule="exact"/>
        <w:ind w:firstLine="643" w:firstLineChars="200"/>
        <w:rPr>
          <w:rFonts w:ascii="仿宋_GB2312" w:eastAsia="仿宋_GB2312"/>
          <w:b/>
          <w:sz w:val="32"/>
          <w:szCs w:val="32"/>
          <w:highlight w:val="none"/>
        </w:rPr>
      </w:pPr>
      <w:r>
        <w:rPr>
          <w:rFonts w:hint="eastAsia" w:ascii="仿宋_GB2312" w:eastAsia="仿宋_GB2312"/>
          <w:b/>
          <w:sz w:val="32"/>
          <w:szCs w:val="32"/>
          <w:highlight w:val="none"/>
        </w:rPr>
        <w:t>（二）绩效评价工作开展情况</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1.绩效评价目的、对象和范围</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（1）评价目的</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本次绩效评价目的是为了全面分析和综合评价市商务局财政预算项目资金使用的效果，重点评价项目决策程序的规范性；绩效目标的有效性；预算执行和项目实施的规范性;财政资金使用的合规性、经济性和效率性；预算支出的效果性。为进一步规范内部管理、提高财政资金使用效益，强化预算支出的责任和效率提供参考依据。</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（2）评价对象</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北京市商务局2021年生活必需品等政府储备费用补贴项目，涉及评价金额17190.76万元。</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（3）评价范围</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从项目决策、项目过程、项目产出、项目效益四个方面进行综合评价。</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项目决策方面。重点关注项目立项依据是否充分、立项程序是否规范，绩效目标设置是否合理、绩效指标是否明确，预算编制是否科学、资金分配是否合理。</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项目过程方面。重点关注资金管理情况、预算执行情况、资金规范运行情况，政府采购执行情况，对承接主体的管理情况，项目管理制度建设情况。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项目产出方面。重点关注项目实际完成情况、质量达标情况、产出时效情况以及成本控制与节约情况。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项目效益方面。重点关注项目实施所产生的效益以及社会公众或服务对象对项目实施效果的满意程度等情况。</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2.绩效评价原则、评价指标体系（附表说明）、评价方法、评价标准</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（1）绩效评价原则及方法</w:t>
      </w:r>
    </w:p>
    <w:p>
      <w:pPr>
        <w:spacing w:line="360" w:lineRule="auto"/>
        <w:ind w:firstLine="640" w:firstLineChars="200"/>
        <w:rPr>
          <w:rFonts w:ascii="仿宋_GB2312" w:hAnsi="Calibri" w:eastAsia="仿宋_GB2312" w:cs="仿宋_GB2312"/>
          <w:bCs/>
          <w:sz w:val="32"/>
          <w:szCs w:val="32"/>
          <w:highlight w:val="none"/>
        </w:rPr>
      </w:pPr>
      <w:bookmarkStart w:id="0" w:name="_Toc21177"/>
      <w:r>
        <w:rPr>
          <w:rFonts w:hint="eastAsia" w:ascii="仿宋_GB2312" w:hAnsi="Calibri" w:eastAsia="仿宋_GB2312" w:cs="仿宋_GB2312"/>
          <w:bCs/>
          <w:sz w:val="32"/>
          <w:szCs w:val="32"/>
          <w:highlight w:val="none"/>
        </w:rPr>
        <w:t>本次评价工作遵循“客观、公正、科学、规范”的原则，重点围绕项目使用公共财政资金的经济性、效率性、效果性进行分析与评价。结合本项目特点，主要采用的方法是预期目标实现程度的比对法、因素分析法、成本分析法以及定性分析和定量评价相结合的方法。</w:t>
      </w:r>
      <w:bookmarkEnd w:id="0"/>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（2）指标体系与评分标准</w:t>
      </w:r>
    </w:p>
    <w:p>
      <w:pPr>
        <w:spacing w:line="360" w:lineRule="auto"/>
        <w:ind w:firstLine="640" w:firstLineChars="200"/>
        <w:rPr>
          <w:rFonts w:ascii="仿宋_GB2312" w:hAnsi="仿宋_GB2312" w:eastAsia="仿宋_GB2312" w:cs="仿宋_GB2312"/>
          <w:sz w:val="32"/>
          <w:szCs w:val="32"/>
          <w:highlight w:val="none"/>
        </w:rPr>
      </w:pPr>
      <w:bookmarkStart w:id="1" w:name="_Toc18373"/>
      <w:r>
        <w:rPr>
          <w:rFonts w:hint="eastAsia" w:ascii="仿宋_GB2312" w:hAnsi="Calibri" w:eastAsia="仿宋_GB2312" w:cs="仿宋_GB2312"/>
          <w:bCs/>
          <w:sz w:val="32"/>
          <w:szCs w:val="32"/>
          <w:highlight w:val="none"/>
        </w:rPr>
        <w:t>本次绩效评价指标体系的设置以资金使用结果为导向，依据绩效评价指标体系的三级指标，结合该项目的特点及资金使用的具体情况进行指标分解，设定了本次评价指标值和权重，重点对项目决策、项目过程、项目产出、项目效益进行综合评价。</w:t>
      </w:r>
      <w:bookmarkEnd w:id="1"/>
      <w:r>
        <w:rPr>
          <w:rFonts w:hint="eastAsia" w:ascii="仿宋_GB2312" w:hAnsi="Calibri" w:eastAsia="仿宋_GB2312" w:cs="仿宋_GB2312"/>
          <w:bCs/>
          <w:sz w:val="32"/>
          <w:szCs w:val="32"/>
          <w:highlight w:val="none"/>
        </w:rPr>
        <w:t>具体指标体系设置情况详见下表：</w:t>
      </w:r>
    </w:p>
    <w:tbl>
      <w:tblPr>
        <w:tblStyle w:val="7"/>
        <w:tblW w:w="8505"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92"/>
        <w:gridCol w:w="709"/>
        <w:gridCol w:w="850"/>
        <w:gridCol w:w="1134"/>
        <w:gridCol w:w="519"/>
        <w:gridCol w:w="43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92"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一级</w:t>
            </w:r>
          </w:p>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指标</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二级</w:t>
            </w:r>
          </w:p>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指标</w:t>
            </w:r>
          </w:p>
        </w:tc>
        <w:tc>
          <w:tcPr>
            <w:tcW w:w="85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分值</w:t>
            </w:r>
          </w:p>
        </w:tc>
        <w:tc>
          <w:tcPr>
            <w:tcW w:w="1134"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三级</w:t>
            </w:r>
          </w:p>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指标</w:t>
            </w:r>
          </w:p>
        </w:tc>
        <w:tc>
          <w:tcPr>
            <w:tcW w:w="51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分值</w:t>
            </w:r>
          </w:p>
        </w:tc>
        <w:tc>
          <w:tcPr>
            <w:tcW w:w="430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20"/>
                <w:szCs w:val="20"/>
                <w:highlight w:val="none"/>
              </w:rPr>
            </w:pPr>
            <w:r>
              <w:rPr>
                <w:rFonts w:hint="eastAsia" w:ascii="宋体" w:hAnsi="宋体" w:cs="宋体"/>
                <w:b/>
                <w:bCs/>
                <w:color w:val="000000"/>
                <w:kern w:val="0"/>
                <w:sz w:val="20"/>
                <w:szCs w:val="20"/>
                <w:highlight w:val="none"/>
              </w:rPr>
              <w:t>指标解释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2"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决策</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10分</w:t>
            </w: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项目立项　</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立项依据充分性</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项目立项是否符合法律法规、相关政策、发展规划以及部门职责，用以反映和考核项目立项依据情况。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立项程序规范性</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项目申请、设立过程是否符合相关要求，用以反映和考核项目立项的规范情况。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绩效目标　</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4分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绩效目标合理性</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项目所设定的绩效目标是否依据充分，是否符合客观实际，用以反映和考核项目绩效目标与项目实施的相符情况。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绩效指标明确性</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2</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依据绩效目标设定的绩效指标是否清晰、细化、可衡量等，用以反映和考核项目绩效目标的明细化情况。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资金投入</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3分　</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预算编制科学性</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项目预算编制是否经过科学论证、有明确标准，资金额度与年度目标是否相适应，用以反映和考核项目预算编制的科学性、合理性情况。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0" w:hRule="atLeast"/>
        </w:trPr>
        <w:tc>
          <w:tcPr>
            <w:tcW w:w="992"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资金分配合理性</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1.5</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项目预算资金分配是否有测算依据，与补助单位或地方实际是否相适应，用以反映和考核项目预算资金分配的科学性、合理性情况。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92" w:type="dxa"/>
            <w:vMerge w:val="restart"/>
            <w:tcBorders>
              <w:top w:val="nil"/>
              <w:left w:val="single" w:color="auto" w:sz="4" w:space="0"/>
              <w:bottom w:val="nil"/>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p>
          <w:p>
            <w:pPr>
              <w:widowControl/>
              <w:jc w:val="center"/>
              <w:rPr>
                <w:rFonts w:ascii="宋体" w:hAnsi="宋体" w:cs="宋体"/>
                <w:color w:val="000000"/>
                <w:kern w:val="0"/>
                <w:sz w:val="18"/>
                <w:szCs w:val="18"/>
                <w:highlight w:val="none"/>
              </w:rPr>
            </w:pPr>
          </w:p>
          <w:p>
            <w:pPr>
              <w:widowControl/>
              <w:jc w:val="center"/>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资金管理</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10</w:t>
            </w:r>
            <w:r>
              <w:rPr>
                <w:rFonts w:hint="eastAsia" w:ascii="宋体" w:hAnsi="宋体" w:cs="宋体"/>
                <w:color w:val="000000"/>
                <w:kern w:val="0"/>
                <w:sz w:val="18"/>
                <w:szCs w:val="18"/>
                <w:highlight w:val="none"/>
              </w:rPr>
              <w:t>分　</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资金到位率</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实际到位资金与预算资金的比率，用以反映和考核资金落实情况对项目实施的总体保障程度。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992" w:type="dxa"/>
            <w:vMerge w:val="restart"/>
            <w:tcBorders>
              <w:top w:val="single" w:color="auto" w:sz="4" w:space="0"/>
              <w:left w:val="single" w:color="auto" w:sz="4" w:space="0"/>
              <w:bottom w:val="nil"/>
              <w:right w:val="single" w:color="auto" w:sz="4" w:space="0"/>
            </w:tcBorders>
            <w:shd w:val="clear" w:color="auto" w:fill="auto"/>
            <w:vAlign w:val="center"/>
          </w:tcPr>
          <w:p>
            <w:pP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过程</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20分</w:t>
            </w:r>
          </w:p>
        </w:tc>
        <w:tc>
          <w:tcPr>
            <w:tcW w:w="709" w:type="dxa"/>
            <w:vMerge w:val="restart"/>
            <w:tcBorders>
              <w:left w:val="single" w:color="auto" w:sz="4" w:space="0"/>
              <w:bottom w:val="nil"/>
              <w:right w:val="single" w:color="auto" w:sz="4" w:space="0"/>
            </w:tcBorders>
            <w:shd w:val="clear" w:color="auto" w:fill="auto"/>
            <w:vAlign w:val="center"/>
          </w:tcPr>
          <w:p>
            <w:pPr>
              <w:jc w:val="center"/>
              <w:rPr>
                <w:rFonts w:ascii="宋体" w:hAnsi="宋体" w:cs="宋体"/>
                <w:color w:val="000000"/>
                <w:kern w:val="0"/>
                <w:sz w:val="18"/>
                <w:szCs w:val="18"/>
                <w:highlight w:val="none"/>
              </w:rPr>
            </w:pPr>
          </w:p>
        </w:tc>
        <w:tc>
          <w:tcPr>
            <w:tcW w:w="850" w:type="dxa"/>
            <w:vMerge w:val="restart"/>
            <w:tcBorders>
              <w:left w:val="single" w:color="auto" w:sz="4" w:space="0"/>
              <w:right w:val="single" w:color="auto" w:sz="4" w:space="0"/>
            </w:tcBorders>
            <w:shd w:val="clear" w:color="auto" w:fill="auto"/>
            <w:vAlign w:val="center"/>
          </w:tcPr>
          <w:p>
            <w:pPr>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　</w:t>
            </w:r>
          </w:p>
        </w:tc>
        <w:tc>
          <w:tcPr>
            <w:tcW w:w="1134"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预算执行率</w:t>
            </w:r>
          </w:p>
        </w:tc>
        <w:tc>
          <w:tcPr>
            <w:tcW w:w="519"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w:t>
            </w:r>
          </w:p>
        </w:tc>
        <w:tc>
          <w:tcPr>
            <w:tcW w:w="4301"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项目预算资金是否按照计划执行，用以反映或考核项目预算执行情况。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p>
        </w:tc>
        <w:tc>
          <w:tcPr>
            <w:tcW w:w="850" w:type="dxa"/>
            <w:vMerge w:val="continue"/>
            <w:tcBorders>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资金使用合规性</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4</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项目资金使用是否符合相关的财务管理制度规定，用以反映和考核项目资金的规范运行情况。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组织实施</w:t>
            </w:r>
          </w:p>
        </w:tc>
        <w:tc>
          <w:tcPr>
            <w:tcW w:w="850" w:type="dxa"/>
            <w:vMerge w:val="restart"/>
            <w:tcBorders>
              <w:top w:val="nil"/>
              <w:left w:val="nil"/>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ascii="宋体" w:hAnsi="宋体" w:cs="宋体"/>
                <w:color w:val="000000"/>
                <w:kern w:val="0"/>
                <w:sz w:val="18"/>
                <w:szCs w:val="18"/>
                <w:highlight w:val="none"/>
              </w:rPr>
              <w:t>10</w:t>
            </w:r>
            <w:r>
              <w:rPr>
                <w:rFonts w:hint="eastAsia" w:ascii="宋体" w:hAnsi="宋体" w:cs="宋体"/>
                <w:color w:val="000000"/>
                <w:kern w:val="0"/>
                <w:sz w:val="18"/>
                <w:szCs w:val="18"/>
                <w:highlight w:val="none"/>
              </w:rPr>
              <w:t>分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管理制度健全性</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项目实施单位的财务和业务管理制度是否健全，用以反映和考核财务和业务管理制度对项目顺利实施的保障情况。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制度执行有效性</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5</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项目实施是否符合相关管理规定，用以反映和考核相关管理制度的有效执行情况。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992" w:type="dxa"/>
            <w:vMerge w:val="restart"/>
            <w:tcBorders>
              <w:top w:val="single" w:color="auto" w:sz="4" w:space="0"/>
              <w:left w:val="single" w:color="auto" w:sz="4" w:space="0"/>
              <w:bottom w:val="nil"/>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产出</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40分</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产出数量</w:t>
            </w:r>
          </w:p>
        </w:tc>
        <w:tc>
          <w:tcPr>
            <w:tcW w:w="850"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10分</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实际完成率</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项目实施的实际产出数与计划产出数的比率，用以反映和考核项目产出数量目标的实现程度。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产出质量</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质量达标率</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项目完成的质量达标产出数与实际产出数的比率，用以反映和考核项目产出质量目标的实现程度。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产出时效</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10分</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完成及时性</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项目实际完成时间与计划完成时间的比较，用以反映和考核项目产出时效目标的实现程度。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992" w:type="dxa"/>
            <w:vMerge w:val="continue"/>
            <w:tcBorders>
              <w:top w:val="nil"/>
              <w:left w:val="single" w:color="auto" w:sz="4" w:space="0"/>
              <w:bottom w:val="nil"/>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产出成本</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10分　</w:t>
            </w:r>
          </w:p>
        </w:tc>
        <w:tc>
          <w:tcPr>
            <w:tcW w:w="1134"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成本节约率</w:t>
            </w:r>
          </w:p>
        </w:tc>
        <w:tc>
          <w:tcPr>
            <w:tcW w:w="51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完成项目计划工作目标的实际节约成本与计划成本的比率，用以反映和考核项目的成本节约程度。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92"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519"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c>
          <w:tcPr>
            <w:tcW w:w="4301"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highlight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992"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效益</w:t>
            </w:r>
            <w:r>
              <w:rPr>
                <w:rFonts w:hint="eastAsia" w:ascii="宋体" w:hAnsi="宋体" w:cs="宋体"/>
                <w:color w:val="000000"/>
                <w:kern w:val="0"/>
                <w:sz w:val="18"/>
                <w:szCs w:val="18"/>
                <w:highlight w:val="none"/>
              </w:rPr>
              <w:br w:type="textWrapping"/>
            </w:r>
            <w:r>
              <w:rPr>
                <w:rFonts w:hint="eastAsia" w:ascii="宋体" w:hAnsi="宋体" w:cs="宋体"/>
                <w:color w:val="000000"/>
                <w:kern w:val="0"/>
                <w:sz w:val="18"/>
                <w:szCs w:val="18"/>
                <w:highlight w:val="none"/>
              </w:rPr>
              <w:t>30分　</w:t>
            </w: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项目效益　</w:t>
            </w:r>
          </w:p>
        </w:tc>
        <w:tc>
          <w:tcPr>
            <w:tcW w:w="85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30分　</w:t>
            </w: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实施效益</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项目实施所产生的效益。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92"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可持续影响</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tcBorders>
              <w:top w:val="nil"/>
              <w:left w:val="nil"/>
              <w:bottom w:val="single" w:color="auto" w:sz="4" w:space="0"/>
              <w:right w:val="single" w:color="auto" w:sz="4" w:space="0"/>
            </w:tcBorders>
            <w:shd w:val="clear" w:color="000000" w:fill="FFFFFF"/>
            <w:vAlign w:val="center"/>
          </w:tcPr>
          <w:p>
            <w:pPr>
              <w:widowControl/>
              <w:jc w:val="left"/>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项目实施所产生的可持续影响。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3" w:hRule="atLeast"/>
        </w:trPr>
        <w:tc>
          <w:tcPr>
            <w:tcW w:w="992" w:type="dxa"/>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709"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850"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highlight w:val="none"/>
              </w:rPr>
            </w:pPr>
          </w:p>
        </w:tc>
        <w:tc>
          <w:tcPr>
            <w:tcW w:w="1134"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满意度</w:t>
            </w:r>
          </w:p>
        </w:tc>
        <w:tc>
          <w:tcPr>
            <w:tcW w:w="519" w:type="dxa"/>
            <w:tcBorders>
              <w:top w:val="nil"/>
              <w:left w:val="nil"/>
              <w:bottom w:val="single" w:color="auto" w:sz="4" w:space="0"/>
              <w:right w:val="single" w:color="auto" w:sz="4" w:space="0"/>
            </w:tcBorders>
            <w:shd w:val="clear" w:color="000000" w:fill="FFFFFF"/>
            <w:vAlign w:val="center"/>
          </w:tcPr>
          <w:p>
            <w:pPr>
              <w:widowControl/>
              <w:jc w:val="center"/>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10</w:t>
            </w:r>
          </w:p>
        </w:tc>
        <w:tc>
          <w:tcPr>
            <w:tcW w:w="4301" w:type="dxa"/>
            <w:tcBorders>
              <w:top w:val="nil"/>
              <w:left w:val="nil"/>
              <w:bottom w:val="single" w:color="auto" w:sz="4" w:space="0"/>
              <w:right w:val="single" w:color="auto" w:sz="4" w:space="0"/>
            </w:tcBorders>
            <w:shd w:val="clear" w:color="000000" w:fill="FFFFFF"/>
            <w:vAlign w:val="center"/>
          </w:tcPr>
          <w:p>
            <w:pPr>
              <w:widowControl/>
              <w:rPr>
                <w:rFonts w:ascii="宋体" w:hAnsi="宋体" w:cs="宋体"/>
                <w:color w:val="000000"/>
                <w:kern w:val="0"/>
                <w:sz w:val="18"/>
                <w:szCs w:val="18"/>
                <w:highlight w:val="none"/>
              </w:rPr>
            </w:pPr>
            <w:r>
              <w:rPr>
                <w:rFonts w:hint="eastAsia" w:ascii="宋体" w:hAnsi="宋体" w:cs="宋体"/>
                <w:color w:val="000000"/>
                <w:kern w:val="0"/>
                <w:sz w:val="18"/>
                <w:szCs w:val="18"/>
                <w:highlight w:val="none"/>
              </w:rPr>
              <w:t>受益群体满意度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1701"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合计</w:t>
            </w:r>
          </w:p>
        </w:tc>
        <w:tc>
          <w:tcPr>
            <w:tcW w:w="850"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w:t>
            </w:r>
          </w:p>
        </w:tc>
        <w:tc>
          <w:tcPr>
            <w:tcW w:w="1134" w:type="dxa"/>
            <w:tcBorders>
              <w:top w:val="nil"/>
              <w:left w:val="nil"/>
              <w:bottom w:val="single" w:color="auto" w:sz="4" w:space="0"/>
              <w:right w:val="single" w:color="auto" w:sz="4" w:space="0"/>
            </w:tcBorders>
            <w:vAlign w:val="center"/>
          </w:tcPr>
          <w:p>
            <w:pPr>
              <w:widowControl/>
              <w:jc w:val="left"/>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　</w:t>
            </w:r>
          </w:p>
        </w:tc>
        <w:tc>
          <w:tcPr>
            <w:tcW w:w="519" w:type="dxa"/>
            <w:tcBorders>
              <w:top w:val="nil"/>
              <w:left w:val="nil"/>
              <w:bottom w:val="single" w:color="auto" w:sz="4" w:space="0"/>
              <w:right w:val="single" w:color="auto" w:sz="4" w:space="0"/>
            </w:tcBorders>
            <w:vAlign w:val="center"/>
          </w:tcPr>
          <w:p>
            <w:pPr>
              <w:widowControl/>
              <w:jc w:val="center"/>
              <w:rPr>
                <w:rFonts w:ascii="宋体" w:hAnsi="宋体" w:cs="宋体"/>
                <w:b/>
                <w:bCs/>
                <w:color w:val="000000"/>
                <w:kern w:val="0"/>
                <w:sz w:val="18"/>
                <w:szCs w:val="18"/>
                <w:highlight w:val="none"/>
              </w:rPr>
            </w:pPr>
            <w:r>
              <w:rPr>
                <w:rFonts w:hint="eastAsia" w:ascii="宋体" w:hAnsi="宋体" w:cs="宋体"/>
                <w:b/>
                <w:bCs/>
                <w:color w:val="000000"/>
                <w:kern w:val="0"/>
                <w:sz w:val="18"/>
                <w:szCs w:val="18"/>
                <w:highlight w:val="none"/>
              </w:rPr>
              <w:t>100</w:t>
            </w:r>
          </w:p>
        </w:tc>
        <w:tc>
          <w:tcPr>
            <w:tcW w:w="4301" w:type="dxa"/>
            <w:tcBorders>
              <w:top w:val="nil"/>
              <w:left w:val="nil"/>
              <w:bottom w:val="single" w:color="auto" w:sz="4" w:space="0"/>
              <w:right w:val="single" w:color="auto" w:sz="4" w:space="0"/>
            </w:tcBorders>
            <w:vAlign w:val="center"/>
          </w:tcPr>
          <w:p>
            <w:pPr>
              <w:widowControl/>
              <w:rPr>
                <w:rFonts w:ascii="Calibri" w:hAnsi="Calibri" w:cs="Calibri"/>
                <w:color w:val="000000"/>
                <w:kern w:val="0"/>
                <w:sz w:val="18"/>
                <w:szCs w:val="18"/>
                <w:highlight w:val="none"/>
              </w:rPr>
            </w:pPr>
            <w:r>
              <w:rPr>
                <w:rFonts w:ascii="Calibri" w:hAnsi="Calibri" w:cs="Calibri"/>
                <w:color w:val="000000"/>
                <w:kern w:val="0"/>
                <w:sz w:val="18"/>
                <w:szCs w:val="18"/>
                <w:highlight w:val="none"/>
              </w:rPr>
              <w:t>　</w:t>
            </w:r>
          </w:p>
        </w:tc>
      </w:tr>
    </w:tbl>
    <w:p>
      <w:pPr>
        <w:rPr>
          <w:rFonts w:hint="eastAsia" w:ascii="仿宋_GB2312" w:eastAsia="仿宋_GB2312"/>
          <w:b/>
          <w:sz w:val="32"/>
          <w:szCs w:val="32"/>
          <w:highlight w:val="none"/>
        </w:rPr>
      </w:pPr>
      <w:r>
        <w:rPr>
          <w:rFonts w:hint="eastAsia" w:ascii="仿宋_GB2312" w:eastAsia="仿宋_GB2312"/>
          <w:b/>
          <w:sz w:val="32"/>
          <w:szCs w:val="32"/>
          <w:highlight w:val="none"/>
        </w:rPr>
        <w:br w:type="page"/>
      </w:r>
    </w:p>
    <w:p>
      <w:pPr>
        <w:rPr>
          <w:rFonts w:ascii="仿宋_GB2312" w:eastAsia="仿宋_GB2312"/>
          <w:b/>
          <w:sz w:val="32"/>
          <w:szCs w:val="32"/>
          <w:highlight w:val="none"/>
        </w:rPr>
      </w:pPr>
      <w:r>
        <w:rPr>
          <w:rFonts w:hint="eastAsia" w:ascii="仿宋_GB2312" w:eastAsia="仿宋_GB2312"/>
          <w:b/>
          <w:sz w:val="32"/>
          <w:szCs w:val="32"/>
          <w:highlight w:val="none"/>
        </w:rPr>
        <w:t>3.绩效评价工作过程。</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本次绩效评价工作，严格按照下列程序组织。</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（1）前期准备阶段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①成立绩效评价工作组。为保证绩效评价的规范性及绩效评价工作质量，委托中介机构和专家共同组建绩效评价工作组，全程参与和指导开展绩效评价工作。</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绩效评价工作组负责指导项目实施处室开展财政支出预算绩效评价工作；负责整理分析项目资金绩效评价有关资料；负责协助专家组编写绩效评价指标体系；负责聘请专家，组织绩效评价专家预备会和绩效评价专家正式会；负责整理专家意见，编写绩效评价报告；整理绩效评价资料归档。</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②编制绩效评价工作方案。绩效评价工作组在初步了解项目的基本情况后，有针对性地研究国家、北京市有关本项目涉及的相关政策及有关资金的使用要求，在此基础上，编制了项目实施方案。</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（2）评价实施阶段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本阶段的主要工作是收集整理分析项目资料；遴选专家组成专家组；编制绩效评价工作手册；组织召开专家预备会和专家正式会。</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①资料收集整理与分析。绩效评价工作组对项目资料的真实性、完整性和有效性进行确认，并围绕项目决策、项目过程、项目产出、项目效益四个方面对项目情况进行分析，形成工作底稿。</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②遴选专家组成专家组。本项目聘请的专家全部为北京市财政局绩效评价专家库成员，专家组由5位专家组成，其中绩效管理专家2名、业务专家2名、财务专家1名。</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③编制指标体系。在绩效管理专家的指导下，结合项目自身特点，细化本项目绩效评价指标体系。其中三级指标没有修改，主要是增加和分解了四级指标。</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④编制《专家预备会资料手册》。该手册是专家对本项目进行评价的基础性资料，绩效评价工作组按照资料清单收集项目资料后，将资料按照项目前期资料、项目过程资料顺序整理汇编成册。</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⑤组织专家预备会。评价工作组组织召开绩效评价专家预备会，由绩效评价工作组向专家介绍了《财政支出绩效评价专家工作规则》，签署了专家承诺书，各位专家分别介绍了各自梳理出的问题，在此基础上，集中讨论了绩效评价指标体系，并整理了需要项目继续提交的《补充资料清单》。形成了专家预备会会议纪要。</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⑥召开专家评价会。评价工作组组织专家组、项目实施处室召开绩效评价专家正式会。会后专家分别出具了专家意见与评价打分表</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（3）项目总结阶段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①组织编写绩效评价报告。经过专家与项目实施处室的充分沟通，确认了项目实施中存在的问题，形成了专家组意见。根据专家组意见编制本绩效评价报告。</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②与项目处室对绩效评价报告有关事项进行沟通。</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③整理绩效评价工作底稿，存档备查。</w:t>
      </w:r>
    </w:p>
    <w:p>
      <w:pPr>
        <w:wordWrap/>
        <w:adjustRightInd/>
        <w:snapToGrid/>
        <w:spacing w:line="580" w:lineRule="exact"/>
        <w:ind w:right="0" w:firstLine="643" w:firstLineChars="200"/>
        <w:textAlignment w:val="auto"/>
        <w:rPr>
          <w:rFonts w:hint="eastAsia" w:ascii="仿宋_GB2312" w:eastAsia="仿宋_GB2312"/>
          <w:b/>
          <w:sz w:val="32"/>
          <w:szCs w:val="32"/>
          <w:highlight w:val="none"/>
        </w:rPr>
      </w:pPr>
      <w:r>
        <w:rPr>
          <w:rFonts w:hint="eastAsia" w:ascii="仿宋_GB2312" w:eastAsia="仿宋_GB2312"/>
          <w:b/>
          <w:sz w:val="32"/>
          <w:szCs w:val="32"/>
          <w:highlight w:val="none"/>
        </w:rPr>
        <w:t>（三）综合评价情况及评价结论</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评价得分：经综合评议2021年生活必需品等政府储备费用补贴项目得分93.10分。绩效评定级别为“优秀”。</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评价结论：该项目组织实施及整体完成情况良好，市商务局严格依据政府储备制度，通过项目实施，落实生活必需品政府储备，有效应对重大突发事件和自然灾害，切实发挥了保障城市生活必需品市场平稳供应和安定的社会生活秩序，起到托底安全供应的重要作用。结合本次绩效评价指标体系评分结果，该项目在预期绩效目标申报表填报、过程资料归集以及服务对象满意度调查等环节仍有进一步提升的空间。</w:t>
      </w:r>
    </w:p>
    <w:p>
      <w:pPr>
        <w:spacing w:line="600" w:lineRule="exact"/>
        <w:ind w:firstLine="643" w:firstLineChars="200"/>
        <w:rPr>
          <w:rFonts w:ascii="仿宋_GB2312" w:eastAsia="仿宋_GB2312"/>
          <w:b/>
          <w:sz w:val="32"/>
          <w:szCs w:val="32"/>
          <w:highlight w:val="none"/>
        </w:rPr>
      </w:pPr>
      <w:r>
        <w:rPr>
          <w:rFonts w:hint="eastAsia" w:ascii="仿宋_GB2312" w:eastAsia="仿宋_GB2312"/>
          <w:b/>
          <w:sz w:val="32"/>
          <w:szCs w:val="32"/>
          <w:highlight w:val="none"/>
        </w:rPr>
        <w:t>（四）绩效评价指标分析</w:t>
      </w:r>
    </w:p>
    <w:p>
      <w:pPr>
        <w:spacing w:line="360" w:lineRule="auto"/>
        <w:ind w:firstLine="643" w:firstLineChars="200"/>
        <w:rPr>
          <w:rFonts w:ascii="仿宋_GB2312" w:hAnsi="Calibri" w:eastAsia="仿宋_GB2312" w:cs="仿宋_GB2312"/>
          <w:b/>
          <w:sz w:val="32"/>
          <w:szCs w:val="32"/>
          <w:highlight w:val="none"/>
        </w:rPr>
      </w:pPr>
      <w:r>
        <w:rPr>
          <w:rFonts w:hint="eastAsia" w:ascii="仿宋_GB2312" w:hAnsi="Calibri" w:eastAsia="仿宋_GB2312" w:cs="仿宋_GB2312"/>
          <w:b/>
          <w:sz w:val="32"/>
          <w:szCs w:val="32"/>
          <w:highlight w:val="none"/>
        </w:rPr>
        <w:t>1</w:t>
      </w:r>
      <w:r>
        <w:rPr>
          <w:rFonts w:ascii="仿宋_GB2312" w:hAnsi="Calibri" w:eastAsia="仿宋_GB2312" w:cs="仿宋_GB2312"/>
          <w:b/>
          <w:sz w:val="32"/>
          <w:szCs w:val="32"/>
          <w:highlight w:val="none"/>
        </w:rPr>
        <w:t>.</w:t>
      </w:r>
      <w:r>
        <w:rPr>
          <w:rFonts w:hint="eastAsia" w:ascii="仿宋_GB2312" w:hAnsi="Calibri" w:eastAsia="仿宋_GB2312" w:cs="仿宋_GB2312"/>
          <w:b/>
          <w:sz w:val="32"/>
          <w:szCs w:val="32"/>
          <w:highlight w:val="none"/>
        </w:rPr>
        <w:t>项目决策情况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（1）项目立项情况分析</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生活必需品等政府储备既是一项政策性较强的工作，更是一项政治性任务。北京市从1992 年起建立生活必需品政府储备制度，作为常规储备及延续性项目，项目立项符合《北京市市级重要商品政府储备管理办法》、《北京市生活必需品政府储备资金财政财务管理办法》、《北京市实施〈中华人民共和国突发事件应对法〉办法》、《关于印发全国生活必需品市场供应应急预案的通知》、《北京市人民政府关于实施北京市突发事件总体应急预案的决定》、《北京市生活必需品市场供应应急预案》及《2021 年1-6月份生活必需品应急保供调控计划》等相关要求，项目立项的政策依据充分。</w:t>
      </w:r>
    </w:p>
    <w:p>
      <w:pPr>
        <w:spacing w:line="360" w:lineRule="auto"/>
        <w:ind w:firstLine="640" w:firstLineChars="200"/>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2021年，本市储备了包含生活必需品、应急商品及重要农资等，通过落实生活必需品政府常规性储备、临时储备，能有效应对重大突发事件和自然灾害，尤其是应对新冠疫情防控工作中的生活必需品应急供应，保障城市生活必需品市场平稳供应和安定的社会生活秩序，保障在京重要会议、重大活动的食材供应，在应急保障中，起到托底保障、压舱石作用。项目申报实施内容的合理性与需求性明确。</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highlight w:val="none"/>
        </w:rPr>
        <w:t>市商务局储备调控处，负责监测分析本市重要生活必需品的市场供求情况，完善市场监测体系，研究提出市场调控的政策建议。组织实施重要生活必需品和重要农用生产资料的政府收储、轮换和投放。推进农产品流通体系建设。负责成品油经营许可的管理及原油经营资格审核。组织落实中央及本市重大会议活动的商品供应和服务保障工作。由储备调控处申报实施2021年生活必需品等政府储备费用补贴项目，</w:t>
      </w:r>
      <w:r>
        <w:rPr>
          <w:rFonts w:hint="eastAsia" w:ascii="仿宋_GB2312" w:hAnsi="Calibri" w:eastAsia="仿宋_GB2312" w:cs="仿宋_GB2312"/>
          <w:bCs/>
          <w:sz w:val="32"/>
          <w:szCs w:val="32"/>
        </w:rPr>
        <w:t>其职能相关性明确。</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rPr>
      </w:pPr>
      <w:r>
        <w:rPr>
          <w:rFonts w:hint="eastAsia" w:ascii="仿宋_GB2312" w:hAnsi="Calibri" w:eastAsia="仿宋_GB2312" w:cs="仿宋_GB2312"/>
          <w:bCs/>
          <w:sz w:val="32"/>
          <w:szCs w:val="32"/>
        </w:rPr>
        <w:t>（2）项目绩效目标分析</w:t>
      </w:r>
    </w:p>
    <w:p>
      <w:pPr>
        <w:wordWrap/>
        <w:adjustRightInd/>
        <w:snapToGrid/>
        <w:spacing w:line="580" w:lineRule="exact"/>
        <w:ind w:right="0" w:firstLine="640" w:firstLineChars="200"/>
        <w:textAlignment w:val="auto"/>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rPr>
        <w:t>市商务局储备调控处根据市财政局的统一要求编制了项目绩效目标申报表，项目总体目标中阐述了项目的立项背景和现实需求，对于项目实施的预期目标和成效进行了清晰</w:t>
      </w:r>
      <w:r>
        <w:rPr>
          <w:rFonts w:hint="eastAsia" w:ascii="仿宋_GB2312" w:hAnsi="Calibri" w:eastAsia="仿宋_GB2312" w:cs="仿宋_GB2312"/>
          <w:bCs/>
          <w:sz w:val="32"/>
          <w:szCs w:val="32"/>
          <w:highlight w:val="none"/>
        </w:rPr>
        <w:t>的描述，总体目标内容具有较明确的职能相关性与需求相关性。但项目的具体组织方式与实施内容在总体目标中体现还不够充分。</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项目绩效指标的设定内容基本清晰，例如数量指标设定中分别包含了重要生活必需品、应急商品及农资品储备的种类与具体储备数量，数量指标具备了清晰的细化与量化内容。但质量指标仅体现了具体储备的数量，质量指标的设定内容还不够准确。产出进度和产出成本指标的设定内容较为笼统，没有充分结合各类物资储备的时间节点和预算资金的对应内容进行明确的分解，指标的可考量性有所不足。</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（3）项目资金投入情况分析</w:t>
      </w:r>
    </w:p>
    <w:p>
      <w:pPr>
        <w:spacing w:line="360" w:lineRule="auto"/>
        <w:ind w:firstLine="640" w:firstLineChars="200"/>
        <w:rPr>
          <w:rFonts w:hint="eastAsia" w:ascii="仿宋_GB2312" w:hAnsi="Calibri" w:eastAsia="仿宋_GB2312" w:cs="仿宋_GB2312"/>
          <w:bCs/>
          <w:sz w:val="32"/>
          <w:szCs w:val="32"/>
          <w:highlight w:val="none"/>
          <w:lang w:eastAsia="zh-CN"/>
        </w:rPr>
      </w:pPr>
      <w:r>
        <w:rPr>
          <w:rFonts w:hint="eastAsia" w:ascii="仿宋_GB2312" w:hAnsi="Calibri" w:eastAsia="仿宋_GB2312" w:cs="仿宋_GB2312"/>
          <w:bCs/>
          <w:sz w:val="32"/>
          <w:szCs w:val="32"/>
          <w:highlight w:val="none"/>
        </w:rPr>
        <w:t>项目全年预算（核准）资金17190.76万元，截至2021年12月31日，资金支出金额17141.38万元，预算执行率99.70%。项目采取“政府委托，企业代储”的原则，市商务局主要负责肉蛋菜等生活必需品政府储备任务的落实储备资金的保障工作，储备费用由市财政统一列支，主要是对储备企业给予适当储备补贴包干，包括仓储费和管理费等。项目预算由市商务局列出年度储备资金预算报市财政部门，市财政每年都能按照储备需求列支，并及时拨付到位，有效地保障了生活必需品储备的顺利开展。在储备资金拨付上，市商务局严格按照财务制度要求管好用好，每年按照储备协议要求，对生活必需品承储企业储备任务落实情况进行认真检查，对完成储备任务的企业，按规定经党组会审议批准后，及时将储备费用拨付给企业</w:t>
      </w:r>
      <w:r>
        <w:rPr>
          <w:rFonts w:hint="eastAsia" w:ascii="仿宋_GB2312" w:hAnsi="Calibri" w:eastAsia="仿宋_GB2312" w:cs="仿宋_GB2312"/>
          <w:bCs/>
          <w:sz w:val="32"/>
          <w:szCs w:val="32"/>
          <w:highlight w:val="none"/>
          <w:lang w:eastAsia="zh-CN"/>
        </w:rPr>
        <w:t>。</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2.项目过程情况</w:t>
      </w:r>
    </w:p>
    <w:p>
      <w:pPr>
        <w:spacing w:line="360" w:lineRule="auto"/>
        <w:ind w:firstLine="640" w:firstLineChars="200"/>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（1）资金使用及管理情况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为加强内部控制中的财务管理，市商务局结合部门工作实际需求，建立了“以预算管理为主线、以资金管控为核心”的内部财务管理控制体系，项目预算资金的使用严格按照《单位内控制度》执行。在实际管理过程中能够做到资金整体执行流程清晰、规范。项目全年经费支出按照制度进行严格的审核与审批，做到了专户管理、专款专用、独立核算。</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市商务局按规定组织了项目的公开采购。常规储备按照招标法和政府采购办法及财务管理有关规定，委托专业代理机构，开展本市生活必需品等政府储备招标工作。市商务局综合招标结果、承储企业设施设备条件、企业承储能力及完成储备任务情况，按照严格管理、动态调配的原则，与承储企业签订《北京市生活必需品政府储备委托承储协议书》，2021年临时新增储备按市领导批复进行落实，项目涉及的费用标准严格按照公开采购结果执行。</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在资金拨付环节，市商务局严格按照协议约定按时拨付承储企业储备费补贴资金。常规储备根据协议每年分两次拨付承储企业储备费，分别在每年第二季度、第四季度拨付。新增临时储备按照增储批复，按时进行拨付。所有拨付均经专项审议后拨付，有效地保障了生活必需品储备的顺利开展。</w:t>
      </w:r>
    </w:p>
    <w:p>
      <w:pPr>
        <w:wordWrap/>
        <w:adjustRightInd/>
        <w:snapToGrid/>
        <w:spacing w:line="580" w:lineRule="exact"/>
        <w:ind w:right="0" w:firstLine="640" w:firstLineChars="200"/>
        <w:textAlignment w:val="auto"/>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（2）项目组织实施情况</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为保障市场经济条件下生活必需品市场的稳定供应，应对突发事件等不利因素对生活必需品应急需要。2021年常规储备项目依据《北京市市级重要商品政府储备管理办法》，通过公开招标采购，委托中标企业落实了猪牛羊活体、冻猪牛羊肉、鸡蛋（含冷藏）、</w:t>
      </w:r>
      <w:r>
        <w:rPr>
          <w:rFonts w:hint="eastAsia" w:ascii="仿宋_GB2312" w:hAnsi="Calibri" w:eastAsia="仿宋_GB2312" w:cs="仿宋_GB2312"/>
          <w:bCs/>
          <w:sz w:val="32"/>
          <w:szCs w:val="32"/>
          <w:highlight w:val="none"/>
          <w:lang w:eastAsia="zh-CN"/>
        </w:rPr>
        <w:t>蔬菜、食糖、食盐、</w:t>
      </w:r>
      <w:r>
        <w:rPr>
          <w:rFonts w:hint="eastAsia" w:ascii="仿宋_GB2312" w:hAnsi="Calibri" w:eastAsia="仿宋_GB2312" w:cs="仿宋_GB2312"/>
          <w:bCs/>
          <w:sz w:val="32"/>
          <w:szCs w:val="32"/>
          <w:highlight w:val="none"/>
        </w:rPr>
        <w:t>方便面</w:t>
      </w:r>
      <w:r>
        <w:rPr>
          <w:rFonts w:hint="eastAsia" w:ascii="仿宋_GB2312" w:hAnsi="Calibri" w:eastAsia="仿宋_GB2312" w:cs="仿宋_GB2312"/>
          <w:bCs/>
          <w:sz w:val="32"/>
          <w:szCs w:val="32"/>
          <w:highlight w:val="none"/>
          <w:lang w:eastAsia="zh-CN"/>
        </w:rPr>
        <w:t>等</w:t>
      </w:r>
      <w:r>
        <w:rPr>
          <w:rFonts w:hint="eastAsia" w:ascii="仿宋_GB2312" w:hAnsi="Calibri" w:eastAsia="仿宋_GB2312" w:cs="仿宋_GB2312"/>
          <w:bCs/>
          <w:sz w:val="32"/>
          <w:szCs w:val="32"/>
          <w:highlight w:val="none"/>
        </w:rPr>
        <w:t>政府储备任务。为应对2021年新冠及非洲猪瘟疫情，根据疫情发展的不确定性，落实了经市政府批准的《2021年1-6月份生活必需品应急保供调控计划》，委托承储企业新增（延期）有冻肉、鸡蛋、瓶装饮用水、方便面等11种临时储备。</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根据政府猪肉储备调节响应机制，为抑制猪肉市场价格快速大跌的态势，根据市领导在《北京市发展和改革委员会 北京市商务局 北京市财政局关于启动政府猪肉临时储备工作的请示》上的批示，委托承储企业完成猪肉临时储备及收储任务。</w:t>
      </w:r>
    </w:p>
    <w:p>
      <w:pPr>
        <w:wordWrap/>
        <w:adjustRightInd/>
        <w:snapToGrid/>
        <w:spacing w:line="580" w:lineRule="exact"/>
        <w:ind w:right="0" w:firstLine="640" w:firstLineChars="200"/>
        <w:textAlignment w:val="auto"/>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为确保承储企业按协议要求落实储备工作，储备期间市商务局不间断地对企业落实情况进行检查，重要时期，加大检查力度。全年开展检查共计237次，其中实地检查169次，远程检查68次。实地检查中，所有政府储备物资均符合承储协议和下达任务量，未发现违反协议数量要求情况。对于检查中发现储备库标识安装不规范、储备台帐登记不及时、库内商品堆垛不整齐、储备地点报备不及时、日常的质量巡查未记录等不规范问题，检查人员现场对企业提出了整改要求，并及时督促企业整改落实到位。</w:t>
      </w:r>
    </w:p>
    <w:p>
      <w:pPr>
        <w:wordWrap/>
        <w:adjustRightInd/>
        <w:snapToGrid/>
        <w:spacing w:line="580" w:lineRule="exact"/>
        <w:ind w:right="0" w:firstLine="640" w:firstLineChars="200"/>
        <w:textAlignment w:val="auto"/>
        <w:rPr>
          <w:rFonts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为提高对项目的精细化管理，市商务局建立健全了预警和应急机制。按照“提前预防、充分准备、周密部署、快速反应、协调联动、果断处置”的原则，建立了《北京市生活必需品市场供应应急预案》，建立了由市商务局、发展改革委、公安局、财政局、交通委等部门组成的北京市生活必需品市场应急供应组织机构，需要动用储备商品时，由市商务局会同有关部门提出储备商品动用安排方案，确保储备物资用得上、调得出，有效预防和及时消除因突发事件引发的生活必需品市场异常波动和市场供应保障。</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3.项目产出情况。</w:t>
      </w:r>
    </w:p>
    <w:p>
      <w:pPr>
        <w:spacing w:line="600" w:lineRule="exact"/>
        <w:ind w:left="105" w:leftChars="50" w:firstLine="480" w:firstLineChars="150"/>
        <w:rPr>
          <w:rFonts w:hint="eastAsia" w:ascii="仿宋_GB2312" w:hAnsi="Calibri" w:eastAsia="仿宋_GB2312" w:cs="仿宋_GB2312"/>
          <w:bCs/>
          <w:sz w:val="32"/>
          <w:szCs w:val="32"/>
          <w:highlight w:val="none"/>
        </w:rPr>
      </w:pPr>
      <w:r>
        <w:rPr>
          <w:rFonts w:hint="eastAsia" w:ascii="仿宋_GB2312" w:hAnsi="Calibri" w:eastAsia="仿宋_GB2312" w:cs="仿宋_GB2312"/>
          <w:bCs/>
          <w:sz w:val="32"/>
          <w:szCs w:val="32"/>
          <w:highlight w:val="none"/>
        </w:rPr>
        <w:t>2021年度通过项目的实施，一是完成生活必需品的政府储备（常规）任务。二是完成2021年1-6月新增生活必需品政府储备任务。三是根据政府猪肉储备调节响应机制，为抑制猪肉市场价格快速大跌的态势，完成了猪肉临时储备及收储任务。</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4.项目效益情况。</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北京作为首都和特大型消费城市，粮 油、肉蛋、蔬菜等生活必需品自给率较低，易受到恶劣气候、突发事件等不利因素的影响，开展生活必需品等政府储备，对于在应急状态下保障市场供应，发挥了积极的作用。</w:t>
      </w:r>
      <w:r>
        <w:rPr>
          <w:rFonts w:ascii="仿宋_GB2312" w:eastAsia="仿宋_GB2312"/>
          <w:sz w:val="32"/>
          <w:szCs w:val="32"/>
          <w:highlight w:val="none"/>
        </w:rPr>
        <w:t>2021</w:t>
      </w:r>
      <w:r>
        <w:rPr>
          <w:rFonts w:hint="eastAsia" w:ascii="仿宋_GB2312" w:eastAsia="仿宋_GB2312"/>
          <w:sz w:val="32"/>
          <w:szCs w:val="32"/>
          <w:highlight w:val="none"/>
        </w:rPr>
        <w:t>年生活必需品等政府储备费用补贴项目以常规储备为保障基础，配合临时投放调控，有效缓解了疫情期间生活必需品供应压力。常规储备对生活必需品等供应保障起到圧舱石、稳定器的作用。</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通过项目的实施，年度新增储备进一步提高了生活必需品应急调控能力。通过落实新增储备计划，增加相应品类政府储备，分别提升了本市猪肉、牛羊肉和婴幼儿奶粉等物资的应急保障天数，进一步提高了生活必需品应急调控能力。春节前组织承储企业投放政府储备猪肉、鸡蛋，在日常销售的基础上，进一步增加市场供给，有效抑制了春节期间肉、蛋等价格上涨势头。落实政府猪肉价格调节响应机制，配合华北地区，快速落实了（第一轮）猪肉临时储备，一定程度上抑制了猪肉市场价格快速大跌的态势。</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（五）主要经验及做法、存在的问题及原因分析</w:t>
      </w:r>
    </w:p>
    <w:p>
      <w:pPr>
        <w:spacing w:line="600" w:lineRule="exact"/>
        <w:ind w:left="105" w:leftChars="50" w:firstLine="482" w:firstLineChars="150"/>
        <w:rPr>
          <w:rFonts w:ascii="仿宋_GB2312" w:eastAsia="仿宋_GB2312"/>
          <w:b/>
          <w:sz w:val="32"/>
          <w:szCs w:val="32"/>
          <w:highlight w:val="none"/>
        </w:rPr>
      </w:pPr>
      <w:bookmarkStart w:id="2" w:name="_Toc32328"/>
      <w:bookmarkStart w:id="3" w:name="_Toc375717380"/>
      <w:bookmarkStart w:id="4" w:name="_Toc424911767"/>
      <w:r>
        <w:rPr>
          <w:rFonts w:hint="eastAsia" w:ascii="仿宋_GB2312" w:eastAsia="仿宋_GB2312"/>
          <w:b/>
          <w:sz w:val="32"/>
          <w:szCs w:val="32"/>
          <w:highlight w:val="none"/>
        </w:rPr>
        <w:t>1</w:t>
      </w:r>
      <w:r>
        <w:rPr>
          <w:rFonts w:ascii="仿宋_GB2312" w:eastAsia="仿宋_GB2312"/>
          <w:b/>
          <w:sz w:val="32"/>
          <w:szCs w:val="32"/>
          <w:highlight w:val="none"/>
        </w:rPr>
        <w:t>.</w:t>
      </w:r>
      <w:r>
        <w:rPr>
          <w:rFonts w:hint="eastAsia" w:ascii="仿宋_GB2312" w:eastAsia="仿宋_GB2312"/>
          <w:b/>
          <w:sz w:val="32"/>
          <w:szCs w:val="32"/>
          <w:highlight w:val="none"/>
        </w:rPr>
        <w:t>主要经验及做法</w:t>
      </w:r>
      <w:bookmarkEnd w:id="2"/>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1）储备调控处严格按照生活必需品等政府储备的有关要求，协同承储企业克服疫情期间货源组织、人力调配、交通运输等方面的困难，坚持“宁可备而不用，宁可多备少用”原则，依据职能和市政府有关要求，组织落实了本年度生活必需品等（常规）政府储备、新增生活必需品政府储备和猪肉价格调控临时储备任务，为抗击新冠疫情、生活必需品供应保障等发挥了重要作用。</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2）修订完善《北京市生活必需品供应应急预案》。深入总结新冠疫情应急工作中好经验、好做法，完善应对生活必需品市场供应突发事件的预警和应急机制，建立商务主管部门和生产、运输、仓储、批发、零售等骨干企业的协调联动，以及统一指挥、反应迅速、协调有序、运转高效的生活必需品供应保障机制和体系。</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3）充分做好分析预警与拓展货源工作。按照“准确监测，全面分析，科学预测，快速反应”的原则，依托生猪屠宰企业、批发市场、连锁超市、社区菜市场和直营直供企业等，对12大类生活必需品100余种商品进行市场监测，准确掌握本市货源供应和价格变化。协调指导本市生活必需品保供骨干企业加强与河北、山东、内蒙古和海南等省区供京生活必需品主产地产销合作，深入巩固产销机制，不断扩大合作区域，保障首都市场货源供应。</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（4）动态调控生活必需品储备。结合疫情发展变化、居民特殊时期消费需求，加强调研和科学预判，动态调整生活必需品储备和投放，提高了市场应急供应保障能力。</w:t>
      </w:r>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（5）</w:t>
      </w:r>
      <w:bookmarkStart w:id="5" w:name="_Toc22445"/>
      <w:r>
        <w:rPr>
          <w:rFonts w:hint="eastAsia" w:ascii="仿宋_GB2312" w:eastAsia="仿宋_GB2312"/>
          <w:sz w:val="32"/>
          <w:szCs w:val="32"/>
          <w:highlight w:val="none"/>
        </w:rPr>
        <w:t>为进一步加强预算绩效运行监控管理，提高预算执行效率和资金使用效益，根据《中共北京市委 北京市人民政府关于全面实施预算绩效管理的实施意见》（京发〔2019〕12号）、《北京市预算绩效管理办法》（京财绩效〔2019〕2129号）的有关规定，市商务局按照《北京市财政局关于开展2021年市级部门预算绩效运行监控管理工作的通知》（京财绩效〔2021〕1282号）的要求,于2021年９月对2021年上半年生活必需品常规储备及新增储备项目进行了预算绩效运行监控。</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2</w:t>
      </w:r>
      <w:r>
        <w:rPr>
          <w:rFonts w:ascii="仿宋_GB2312" w:eastAsia="仿宋_GB2312"/>
          <w:b/>
          <w:sz w:val="32"/>
          <w:szCs w:val="32"/>
          <w:highlight w:val="none"/>
        </w:rPr>
        <w:t>.</w:t>
      </w:r>
      <w:r>
        <w:rPr>
          <w:rFonts w:hint="eastAsia" w:ascii="仿宋_GB2312" w:eastAsia="仿宋_GB2312"/>
          <w:b/>
          <w:sz w:val="32"/>
          <w:szCs w:val="32"/>
          <w:highlight w:val="none"/>
        </w:rPr>
        <w:t>存在的问题及原因分析</w:t>
      </w:r>
      <w:bookmarkEnd w:id="5"/>
    </w:p>
    <w:p>
      <w:pPr>
        <w:spacing w:line="600" w:lineRule="exact"/>
        <w:ind w:left="105" w:leftChars="50" w:firstLine="640" w:firstLineChars="200"/>
        <w:rPr>
          <w:rFonts w:ascii="仿宋_GB2312" w:eastAsia="仿宋_GB2312"/>
          <w:sz w:val="32"/>
          <w:szCs w:val="32"/>
          <w:highlight w:val="none"/>
        </w:rPr>
      </w:pPr>
      <w:r>
        <w:rPr>
          <w:rFonts w:hint="eastAsia" w:ascii="仿宋_GB2312" w:eastAsia="仿宋_GB2312"/>
          <w:sz w:val="32"/>
          <w:szCs w:val="32"/>
          <w:highlight w:val="none"/>
        </w:rPr>
        <w:t>（1）项目绩效目标申报表的整体填报质量存在一定的不足，部分指标的设定内容还不够准确，个别指标的设定内容较为笼统，对项目涉及内容的分解程度与细化程度还需要进一步的加强，绩效目标的可考量性仍存在欠缺。</w:t>
      </w:r>
    </w:p>
    <w:bookmarkEnd w:id="3"/>
    <w:bookmarkEnd w:id="4"/>
    <w:p>
      <w:pPr>
        <w:spacing w:line="360" w:lineRule="auto"/>
        <w:ind w:firstLine="640" w:firstLineChars="200"/>
        <w:outlineLvl w:val="0"/>
        <w:rPr>
          <w:rFonts w:hint="eastAsia" w:ascii="仿宋_GB2312" w:eastAsia="仿宋_GB2312"/>
          <w:sz w:val="32"/>
          <w:szCs w:val="32"/>
          <w:highlight w:val="none"/>
        </w:rPr>
      </w:pPr>
      <w:bookmarkStart w:id="6" w:name="_Toc375717381"/>
      <w:bookmarkStart w:id="7" w:name="_Toc424911768"/>
      <w:bookmarkStart w:id="8" w:name="_Toc14363"/>
      <w:r>
        <w:rPr>
          <w:rFonts w:hint="eastAsia" w:ascii="仿宋_GB2312" w:eastAsia="仿宋_GB2312"/>
          <w:sz w:val="32"/>
          <w:szCs w:val="32"/>
          <w:highlight w:val="none"/>
        </w:rPr>
        <w:t>（2）个别承储企业因疫情原因未能在协议规定的储备时间内100%完成储备任务；由于春节期间消费量大、猪肉储备调节周期拉长，没有完全达到居民预期。</w:t>
      </w:r>
    </w:p>
    <w:p>
      <w:pPr>
        <w:spacing w:line="360" w:lineRule="auto"/>
        <w:ind w:firstLine="640" w:firstLineChars="200"/>
        <w:outlineLvl w:val="0"/>
        <w:rPr>
          <w:rFonts w:ascii="黑体" w:hAnsi="黑体" w:eastAsia="黑体"/>
          <w:sz w:val="32"/>
          <w:szCs w:val="32"/>
          <w:highlight w:val="none"/>
        </w:rPr>
      </w:pPr>
      <w:r>
        <w:rPr>
          <w:rFonts w:hint="eastAsia" w:ascii="黑体" w:hAnsi="黑体" w:eastAsia="黑体"/>
          <w:sz w:val="32"/>
          <w:szCs w:val="32"/>
          <w:highlight w:val="none"/>
        </w:rPr>
        <w:t>（六）有关建议</w:t>
      </w:r>
      <w:bookmarkEnd w:id="6"/>
      <w:bookmarkEnd w:id="7"/>
      <w:bookmarkEnd w:id="8"/>
    </w:p>
    <w:p>
      <w:pPr>
        <w:wordWrap/>
        <w:adjustRightInd/>
        <w:snapToGrid/>
        <w:spacing w:line="580" w:lineRule="exact"/>
        <w:ind w:left="105" w:leftChars="50" w:right="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1.加强预算决策管理，将预算管理提升至单位层面，坚持以项目预期目标为导向来决策项目内容。作为延续性项目，在决策过程中要对以前年度预算执行的成果进行分析，总结以前年度工作的有益经验与存在的不足。结合项目成本投入水平所对应的绩效目标，运用成本效益分析的方法，计算出成本投入和效益的对比，进一步提高预算决策的科学性。</w:t>
      </w:r>
    </w:p>
    <w:p>
      <w:pPr>
        <w:wordWrap/>
        <w:adjustRightInd/>
        <w:snapToGrid/>
        <w:spacing w:line="580" w:lineRule="exact"/>
        <w:ind w:left="105" w:leftChars="50" w:right="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2.提高项目的绩效管理水平，学习与掌握规范编制绩效目标申报表的技巧。根据工作内容梳理数量指标和质量指标；根据详细的预算控制成本指标；根据方案计划安排进度指标；根据实施目的和预期效果制定效益指标。各项指标应符合细化、量化、可衡量的基本条件。重视目标填报的时效性，提升绩效目标的指导作用，便于项目实施过程中的监督检查及对项目实施效果的衡量。</w:t>
      </w:r>
    </w:p>
    <w:p>
      <w:pPr>
        <w:wordWrap/>
        <w:adjustRightInd/>
        <w:snapToGrid/>
        <w:spacing w:line="580" w:lineRule="exact"/>
        <w:ind w:left="105" w:leftChars="50" w:right="0" w:firstLine="640" w:firstLineChars="200"/>
        <w:textAlignment w:val="auto"/>
        <w:rPr>
          <w:rFonts w:hint="eastAsia" w:ascii="仿宋_GB2312" w:eastAsia="仿宋_GB2312"/>
          <w:sz w:val="32"/>
          <w:szCs w:val="32"/>
          <w:highlight w:val="none"/>
        </w:rPr>
      </w:pPr>
      <w:r>
        <w:rPr>
          <w:rFonts w:hint="eastAsia" w:ascii="仿宋_GB2312" w:eastAsia="仿宋_GB2312"/>
          <w:sz w:val="32"/>
          <w:szCs w:val="32"/>
          <w:highlight w:val="none"/>
        </w:rPr>
        <w:t>3.进一步提升项目年度实施方案的有效性与指导性。重视实施方案在项目运行过程中所能起到的作用，方案是否能够具备较强的可操作性，完整度以及细化程度十分重要，是项目管理工作能否有效落实的基础条件。事前制定实施方案也是项目管理工作能否有效落实的基础条件之一，相关负责人应对项目实施方案的编制要素及撰写技巧进行深入了解与学习。</w:t>
      </w:r>
    </w:p>
    <w:p>
      <w:pPr>
        <w:spacing w:line="600" w:lineRule="exact"/>
        <w:ind w:left="105" w:leftChars="50" w:firstLine="482" w:firstLineChars="150"/>
        <w:rPr>
          <w:rFonts w:ascii="仿宋_GB2312" w:eastAsia="仿宋_GB2312"/>
          <w:b/>
          <w:sz w:val="32"/>
          <w:szCs w:val="32"/>
          <w:highlight w:val="none"/>
        </w:rPr>
      </w:pPr>
      <w:r>
        <w:rPr>
          <w:rFonts w:hint="eastAsia" w:ascii="仿宋_GB2312" w:eastAsia="仿宋_GB2312"/>
          <w:b/>
          <w:sz w:val="32"/>
          <w:szCs w:val="32"/>
          <w:highlight w:val="none"/>
        </w:rPr>
        <w:t>（七）其他需要说明的问题</w:t>
      </w:r>
    </w:p>
    <w:p>
      <w:pPr>
        <w:spacing w:line="600" w:lineRule="exact"/>
        <w:ind w:left="105" w:leftChars="50" w:firstLine="482" w:firstLineChars="150"/>
        <w:rPr>
          <w:rFonts w:ascii="仿宋_GB2312" w:eastAsia="仿宋_GB2312"/>
          <w:sz w:val="32"/>
          <w:szCs w:val="32"/>
          <w:highlight w:val="none"/>
        </w:rPr>
      </w:pPr>
      <w:r>
        <w:rPr>
          <w:rFonts w:hint="eastAsia" w:ascii="仿宋_GB2312" w:eastAsia="仿宋_GB2312"/>
          <w:b/>
          <w:sz w:val="32"/>
          <w:szCs w:val="32"/>
          <w:highlight w:val="none"/>
        </w:rPr>
        <w:t>无。</w:t>
      </w:r>
    </w:p>
    <w:sectPr>
      <w:footerReference r:id="rId3"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sz w:val="28"/>
        <w:szCs w:val="28"/>
      </w:rPr>
    </w:pPr>
    <w:r>
      <w:rPr>
        <w:rFonts w:ascii="Times New Roman" w:hAnsi="Times New Roman" w:eastAsia="宋体" w:cs="Times New Roman"/>
        <w:kern w:val="2"/>
        <w:sz w:val="28"/>
        <w:szCs w:val="20"/>
        <w:lang w:val="en-US" w:eastAsia="zh-CN" w:bidi="ar-SA"/>
      </w:rPr>
      <w:pict>
        <v:rect id="文本框 2" o:spid="_x0000_s4097" o:spt="1" style="position:absolute;left:0pt;margin-top:0pt;height:144pt;width:144pt;mso-position-horizontal:right;mso-position-horizontal-relative:margin;mso-wrap-style:none;z-index:251659264;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pStyle w:val="5"/>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33 -</w:t>
                </w:r>
                <w:r>
                  <w:rPr>
                    <w:rFonts w:ascii="宋体" w:hAnsi="宋体"/>
                    <w:sz w:val="28"/>
                    <w:szCs w:val="28"/>
                  </w:rPr>
                  <w:fldChar w:fldCharType="end"/>
                </w:r>
              </w:p>
            </w:txbxContent>
          </v:textbox>
        </v:rect>
      </w:pic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251878"/>
    <w:multiLevelType w:val="singleLevel"/>
    <w:tmpl w:val="ED251878"/>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NzRkODBkZTQ0ZGI5YWZlNmQ4ZDVhZjU2OGFjZmQ2YzUifQ=="/>
  </w:docVars>
  <w:rsids>
    <w:rsidRoot w:val="F77F09F4"/>
    <w:rsid w:val="000241C5"/>
    <w:rsid w:val="00044514"/>
    <w:rsid w:val="0005219F"/>
    <w:rsid w:val="00092DA4"/>
    <w:rsid w:val="000A65B4"/>
    <w:rsid w:val="000D5AC4"/>
    <w:rsid w:val="00166410"/>
    <w:rsid w:val="00166BBB"/>
    <w:rsid w:val="001D0F39"/>
    <w:rsid w:val="001F4DC7"/>
    <w:rsid w:val="002032B6"/>
    <w:rsid w:val="00226493"/>
    <w:rsid w:val="00257BD2"/>
    <w:rsid w:val="002D52F9"/>
    <w:rsid w:val="002E1BF4"/>
    <w:rsid w:val="003037D0"/>
    <w:rsid w:val="0035241C"/>
    <w:rsid w:val="00363150"/>
    <w:rsid w:val="003726FE"/>
    <w:rsid w:val="00392F1F"/>
    <w:rsid w:val="003C2080"/>
    <w:rsid w:val="003D373D"/>
    <w:rsid w:val="00400A29"/>
    <w:rsid w:val="00426255"/>
    <w:rsid w:val="00474ED4"/>
    <w:rsid w:val="004B33EA"/>
    <w:rsid w:val="005376A1"/>
    <w:rsid w:val="005F2538"/>
    <w:rsid w:val="006625AC"/>
    <w:rsid w:val="006F771E"/>
    <w:rsid w:val="00710FDB"/>
    <w:rsid w:val="00725C45"/>
    <w:rsid w:val="00793A49"/>
    <w:rsid w:val="007B1723"/>
    <w:rsid w:val="007B6369"/>
    <w:rsid w:val="007C6897"/>
    <w:rsid w:val="007E729A"/>
    <w:rsid w:val="008821D5"/>
    <w:rsid w:val="008B6D52"/>
    <w:rsid w:val="008C4962"/>
    <w:rsid w:val="008F2E3D"/>
    <w:rsid w:val="00927611"/>
    <w:rsid w:val="00935E23"/>
    <w:rsid w:val="009446CB"/>
    <w:rsid w:val="00985209"/>
    <w:rsid w:val="009922BF"/>
    <w:rsid w:val="009D0114"/>
    <w:rsid w:val="009F44EB"/>
    <w:rsid w:val="00A54285"/>
    <w:rsid w:val="00A758B9"/>
    <w:rsid w:val="00A87D0E"/>
    <w:rsid w:val="00AB040D"/>
    <w:rsid w:val="00AE1E85"/>
    <w:rsid w:val="00AE7BEA"/>
    <w:rsid w:val="00AF6238"/>
    <w:rsid w:val="00B00D14"/>
    <w:rsid w:val="00B07C04"/>
    <w:rsid w:val="00B35C69"/>
    <w:rsid w:val="00B44410"/>
    <w:rsid w:val="00B72B25"/>
    <w:rsid w:val="00B76ADB"/>
    <w:rsid w:val="00BC43A4"/>
    <w:rsid w:val="00BD7954"/>
    <w:rsid w:val="00C12749"/>
    <w:rsid w:val="00C34703"/>
    <w:rsid w:val="00CA7E92"/>
    <w:rsid w:val="00CA7F13"/>
    <w:rsid w:val="00CC1198"/>
    <w:rsid w:val="00D41614"/>
    <w:rsid w:val="00E1372B"/>
    <w:rsid w:val="00E37276"/>
    <w:rsid w:val="00E473A0"/>
    <w:rsid w:val="00E614E8"/>
    <w:rsid w:val="00ED13A8"/>
    <w:rsid w:val="00F758AB"/>
    <w:rsid w:val="00F81AB9"/>
    <w:rsid w:val="00FD46A1"/>
    <w:rsid w:val="00FE73C0"/>
    <w:rsid w:val="00FE7BB0"/>
    <w:rsid w:val="00FF3833"/>
    <w:rsid w:val="052417BF"/>
    <w:rsid w:val="05382491"/>
    <w:rsid w:val="05AA59A9"/>
    <w:rsid w:val="09B11E99"/>
    <w:rsid w:val="0ECF9C51"/>
    <w:rsid w:val="1A8A75BC"/>
    <w:rsid w:val="27551200"/>
    <w:rsid w:val="297D20B0"/>
    <w:rsid w:val="2A4B1465"/>
    <w:rsid w:val="305667F5"/>
    <w:rsid w:val="30804A18"/>
    <w:rsid w:val="37173543"/>
    <w:rsid w:val="3FF76880"/>
    <w:rsid w:val="4154383A"/>
    <w:rsid w:val="44EB7DE3"/>
    <w:rsid w:val="45290D07"/>
    <w:rsid w:val="52042114"/>
    <w:rsid w:val="52B1623B"/>
    <w:rsid w:val="52DA15FD"/>
    <w:rsid w:val="544C43E9"/>
    <w:rsid w:val="55941C03"/>
    <w:rsid w:val="5F88611B"/>
    <w:rsid w:val="600F65D4"/>
    <w:rsid w:val="61351088"/>
    <w:rsid w:val="680A3DFC"/>
    <w:rsid w:val="68CB1B79"/>
    <w:rsid w:val="697B7874"/>
    <w:rsid w:val="6985725B"/>
    <w:rsid w:val="6DC116B3"/>
    <w:rsid w:val="6F445956"/>
    <w:rsid w:val="7A940A05"/>
    <w:rsid w:val="7AB7FF50"/>
    <w:rsid w:val="7BFEB0DB"/>
    <w:rsid w:val="7FFF3306"/>
    <w:rsid w:val="C36F37B1"/>
    <w:rsid w:val="CEFD3F3D"/>
    <w:rsid w:val="EA3F77F2"/>
    <w:rsid w:val="EEFE5989"/>
    <w:rsid w:val="EFCF3EAE"/>
    <w:rsid w:val="F5B764A2"/>
    <w:rsid w:val="F77F09F4"/>
    <w:rsid w:val="FFD7BFF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2"/>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footer"/>
    <w:basedOn w:val="1"/>
    <w:qFormat/>
    <w:uiPriority w:val="99"/>
    <w:pPr>
      <w:tabs>
        <w:tab w:val="center" w:pos="4153"/>
        <w:tab w:val="right" w:pos="8306"/>
      </w:tabs>
      <w:snapToGrid w:val="0"/>
      <w:jc w:val="left"/>
    </w:pPr>
    <w:rPr>
      <w:sz w:val="18"/>
      <w:szCs w:val="20"/>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9">
    <w:name w:val="page number"/>
    <w:basedOn w:val="8"/>
    <w:qFormat/>
    <w:uiPriority w:val="0"/>
  </w:style>
  <w:style w:type="paragraph" w:customStyle="1" w:styleId="10">
    <w:name w:val="列出段落1"/>
    <w:basedOn w:val="1"/>
    <w:qFormat/>
    <w:uiPriority w:val="34"/>
    <w:pPr>
      <w:ind w:firstLine="420" w:firstLineChars="200"/>
    </w:pPr>
    <w:rPr>
      <w:rFonts w:ascii="Calibri" w:hAnsi="Calibri" w:cs="黑体"/>
      <w:szCs w:val="22"/>
    </w:rPr>
  </w:style>
  <w:style w:type="paragraph" w:customStyle="1" w:styleId="11">
    <w:name w:val="列出段落2"/>
    <w:basedOn w:val="1"/>
    <w:qFormat/>
    <w:uiPriority w:val="99"/>
    <w:pPr>
      <w:ind w:firstLine="420" w:firstLineChars="200"/>
    </w:pPr>
  </w:style>
  <w:style w:type="character" w:customStyle="1" w:styleId="12">
    <w:name w:val="标题 1 字符"/>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40</Pages>
  <Words>18852</Words>
  <Characters>19557</Characters>
  <Lines>152</Lines>
  <Paragraphs>42</Paragraphs>
  <TotalTime>2</TotalTime>
  <ScaleCrop>false</ScaleCrop>
  <LinksUpToDate>false</LinksUpToDate>
  <CharactersWithSpaces>19639</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2022-03-10T19:16:00Z</dcterms:created>
  <dc:creator>user</dc:creator>
  <cp:lastModifiedBy>站仕</cp:lastModifiedBy>
  <cp:lastPrinted>2022-08-22T07:00:00Z</cp:lastPrinted>
  <dcterms:modified xsi:type="dcterms:W3CDTF">2022-08-26T01:54:00Z</dcterms:modified>
  <dc:title>北京市商务局2021年度部门</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EF337E8A40994A6E82D608E1711BA23B</vt:lpwstr>
  </property>
</Properties>
</file>