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黑体" w:hAnsi="Times New Roman" w:eastAsia="黑体" w:cs="Times New Roman"/>
          <w:sz w:val="44"/>
          <w:szCs w:val="44"/>
          <w:highlight w:val="none"/>
          <w:lang w:eastAsia="zh-CN"/>
        </w:rPr>
      </w:pPr>
      <w:r>
        <w:rPr>
          <w:rFonts w:hint="eastAsia" w:ascii="黑体" w:hAnsi="Times New Roman" w:eastAsia="黑体" w:cs="Times New Roman"/>
          <w:sz w:val="44"/>
          <w:szCs w:val="44"/>
          <w:highlight w:val="none"/>
          <w:lang w:eastAsia="zh-CN"/>
        </w:rPr>
        <w:t>北京市通州区人民检察院</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黑体" w:hAnsi="Times New Roman" w:eastAsia="黑体" w:cs="Times New Roman"/>
          <w:sz w:val="44"/>
          <w:szCs w:val="44"/>
          <w:highlight w:val="none"/>
          <w:lang w:eastAsia="zh-CN"/>
        </w:rPr>
      </w:pPr>
      <w:r>
        <w:rPr>
          <w:rFonts w:hint="eastAsia" w:ascii="黑体" w:hAnsi="Times New Roman" w:eastAsia="黑体" w:cs="Times New Roman"/>
          <w:sz w:val="44"/>
          <w:szCs w:val="44"/>
          <w:highlight w:val="none"/>
          <w:lang w:eastAsia="zh-CN"/>
        </w:rPr>
        <w:t>部门整体绩效评价报告</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宋体"/>
          <w:color w:val="000000"/>
          <w:kern w:val="0"/>
          <w:sz w:val="28"/>
          <w:szCs w:val="28"/>
          <w:lang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部门概况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机构设置及职责工作任务情况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通州检察院成立于1978年8月。主要职责为依照宪法和法律的规定，履行法律监督职能，保证国家法律的统一正确实施。</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单位行政类型为一类行政单位；预算级次为</w:t>
      </w:r>
      <w:r>
        <w:rPr>
          <w:rFonts w:hint="eastAsia" w:ascii="仿宋_GB2312" w:hAnsi="仿宋_GB2312" w:eastAsia="仿宋_GB2312" w:cs="仿宋_GB2312"/>
          <w:sz w:val="28"/>
          <w:szCs w:val="28"/>
          <w:lang w:val="en-US" w:eastAsia="zh-CN"/>
        </w:rPr>
        <w:t>市</w:t>
      </w:r>
      <w:r>
        <w:rPr>
          <w:rFonts w:hint="eastAsia" w:ascii="仿宋_GB2312" w:hAnsi="仿宋_GB2312" w:eastAsia="仿宋_GB2312" w:cs="仿宋_GB2312"/>
          <w:sz w:val="28"/>
          <w:szCs w:val="28"/>
        </w:rPr>
        <w:t>级。通州检察院</w:t>
      </w:r>
      <w:r>
        <w:rPr>
          <w:rFonts w:hint="eastAsia" w:ascii="仿宋_GB2312" w:hAnsi="仿宋_GB2312" w:eastAsia="仿宋_GB2312" w:cs="仿宋_GB2312"/>
          <w:sz w:val="28"/>
          <w:szCs w:val="28"/>
          <w:lang w:val="en-US" w:eastAsia="zh-CN"/>
        </w:rPr>
        <w:t>调整</w:t>
      </w:r>
      <w:r>
        <w:rPr>
          <w:rFonts w:hint="eastAsia" w:ascii="仿宋_GB2312" w:hAnsi="仿宋_GB2312" w:eastAsia="仿宋_GB2312" w:cs="仿宋_GB2312"/>
          <w:sz w:val="28"/>
          <w:szCs w:val="28"/>
        </w:rPr>
        <w:t>内设机构</w:t>
      </w:r>
      <w:r>
        <w:rPr>
          <w:rFonts w:hint="eastAsia" w:ascii="仿宋_GB2312" w:hAnsi="仿宋_GB2312" w:eastAsia="仿宋_GB2312" w:cs="仿宋_GB2312"/>
          <w:sz w:val="28"/>
          <w:szCs w:val="28"/>
          <w:lang w:val="en-US" w:eastAsia="zh-CN"/>
        </w:rPr>
        <w:t>为</w:t>
      </w:r>
      <w:r>
        <w:rPr>
          <w:rFonts w:hint="eastAsia" w:ascii="仿宋_GB2312" w:hAnsi="仿宋_GB2312" w:eastAsia="仿宋_GB2312" w:cs="仿宋_GB2312"/>
          <w:sz w:val="28"/>
          <w:szCs w:val="28"/>
        </w:rPr>
        <w:t>11个，分别为：办公室（行政事务管理部）、政治部（机关党委、机关纪委）、第一检察部、第二检察部、第三检察部、第四检察部、第五检察部、第六检察部、第七检察部、第八检察部（法律政策研究室）、检务督察部。</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rPr>
      </w:pPr>
      <w:r>
        <w:rPr>
          <w:rFonts w:hint="eastAsia" w:ascii="仿宋_GB2312" w:hAnsi="仿宋_GB2312" w:eastAsia="仿宋_GB2312" w:cs="仿宋_GB2312"/>
          <w:sz w:val="28"/>
          <w:szCs w:val="28"/>
          <w:lang w:val="en-US" w:eastAsia="zh-CN"/>
        </w:rPr>
        <w:t>北京市通州区人民检察院行政编制201人，实际161人；事业编制13人，实际12人；聘用制司法辅助人员32人。离退休人员56人，其中：离休1人，退休55人。</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部门整体绩效目标设立情况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2021年，通州检察院以坚持以习近平新时代中国特色社会主义思想为指导，全面贯彻党的十九大和十九届二中、三中、四中、五中、六中全会精神，深入践行习近平法治思想，依法履职、担当作为，为大局服务、为人民司法，扎实推进法治建设，努力为北京城市副中心高质量发展提供司法保障。</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eastAsia="仿宋_GB2312"/>
          <w:lang w:val="en-US" w:eastAsia="zh-CN"/>
        </w:rPr>
      </w:pPr>
      <w:r>
        <w:rPr>
          <w:rFonts w:hint="eastAsia" w:ascii="仿宋_GB2312" w:hAnsi="仿宋_GB2312" w:eastAsia="仿宋_GB2312" w:cs="仿宋_GB2312"/>
          <w:sz w:val="28"/>
          <w:szCs w:val="28"/>
          <w:lang w:val="en-US" w:eastAsia="zh-CN"/>
        </w:rPr>
        <w:t>通州检察院2021年设立以下总体绩效目标：一是依照相关法律法规，全面保障检察工作正常开展；二是严格按照预算批复，加强资金监管，提高资金使用效益；三是严格按照资金支出进度要求，提高资金使用效益，确保支出进度不低于时间进度；四是强化对绩效评价重点项目执行和监督；五是保障单位各方面设施运转的安全性、连续性和稳定性；六是在2021年12月31日前完成相应进度。</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当年预算执行情况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rPr>
      </w:pPr>
      <w:r>
        <w:rPr>
          <w:rFonts w:hint="eastAsia" w:ascii="仿宋_GB2312" w:hAnsi="仿宋_GB2312" w:eastAsia="仿宋_GB2312" w:cs="仿宋_GB2312"/>
          <w:color w:val="000000"/>
          <w:kern w:val="0"/>
          <w:sz w:val="28"/>
          <w:szCs w:val="28"/>
        </w:rPr>
        <w:t>202</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rPr>
        <w:t>年</w:t>
      </w:r>
      <w:r>
        <w:rPr>
          <w:rFonts w:hint="eastAsia" w:ascii="仿宋_GB2312" w:hAnsi="仿宋_GB2312" w:eastAsia="仿宋_GB2312" w:cs="仿宋_GB2312"/>
          <w:color w:val="000000"/>
          <w:kern w:val="0"/>
          <w:sz w:val="28"/>
          <w:szCs w:val="28"/>
          <w:lang w:eastAsia="zh-CN"/>
        </w:rPr>
        <w:t>年初</w:t>
      </w:r>
      <w:r>
        <w:rPr>
          <w:rFonts w:hint="eastAsia" w:ascii="仿宋_GB2312" w:hAnsi="仿宋_GB2312" w:eastAsia="仿宋_GB2312" w:cs="仿宋_GB2312"/>
          <w:color w:val="000000"/>
          <w:kern w:val="0"/>
          <w:sz w:val="28"/>
          <w:szCs w:val="28"/>
        </w:rPr>
        <w:t>预算数</w:t>
      </w:r>
      <w:r>
        <w:rPr>
          <w:rFonts w:hint="eastAsia" w:ascii="仿宋_GB2312" w:hAnsi="仿宋_GB2312" w:eastAsia="仿宋_GB2312" w:cs="仿宋_GB2312"/>
          <w:sz w:val="28"/>
          <w:szCs w:val="28"/>
          <w:lang w:val="en-US" w:eastAsia="zh-CN"/>
        </w:rPr>
        <w:t>7943.52</w:t>
      </w:r>
      <w:r>
        <w:rPr>
          <w:rFonts w:hint="eastAsia" w:ascii="仿宋_GB2312" w:hAnsi="仿宋_GB2312" w:eastAsia="仿宋_GB2312" w:cs="仿宋_GB2312"/>
          <w:color w:val="000000"/>
          <w:kern w:val="0"/>
          <w:sz w:val="28"/>
          <w:szCs w:val="28"/>
        </w:rPr>
        <w:t>万元，其中，基本支出预算数</w:t>
      </w:r>
      <w:r>
        <w:rPr>
          <w:rFonts w:hint="eastAsia" w:ascii="仿宋_GB2312" w:hAnsi="仿宋_GB2312" w:eastAsia="仿宋_GB2312" w:cs="仿宋_GB2312"/>
          <w:sz w:val="28"/>
          <w:szCs w:val="28"/>
          <w:lang w:val="en-US" w:eastAsia="zh-CN"/>
        </w:rPr>
        <w:t>7078.30</w:t>
      </w:r>
      <w:r>
        <w:rPr>
          <w:rFonts w:hint="eastAsia" w:ascii="仿宋_GB2312" w:hAnsi="仿宋_GB2312" w:eastAsia="仿宋_GB2312" w:cs="仿宋_GB2312"/>
          <w:color w:val="000000"/>
          <w:kern w:val="0"/>
          <w:sz w:val="28"/>
          <w:szCs w:val="28"/>
        </w:rPr>
        <w:t>万元，项目支出预算数</w:t>
      </w:r>
      <w:r>
        <w:rPr>
          <w:rFonts w:hint="eastAsia" w:ascii="仿宋_GB2312" w:hAnsi="仿宋_GB2312" w:eastAsia="仿宋_GB2312" w:cs="仿宋_GB2312"/>
          <w:sz w:val="28"/>
          <w:szCs w:val="28"/>
          <w:lang w:val="en-US" w:eastAsia="zh-CN"/>
        </w:rPr>
        <w:t>865.22</w:t>
      </w:r>
      <w:r>
        <w:rPr>
          <w:rFonts w:hint="eastAsia" w:ascii="仿宋_GB2312" w:hAnsi="仿宋_GB2312" w:eastAsia="仿宋_GB2312" w:cs="仿宋_GB2312"/>
          <w:color w:val="000000"/>
          <w:kern w:val="0"/>
          <w:sz w:val="28"/>
          <w:szCs w:val="28"/>
        </w:rPr>
        <w:t>万元，其他支出预算数</w:t>
      </w:r>
      <w:r>
        <w:rPr>
          <w:rFonts w:hint="eastAsia" w:ascii="仿宋_GB2312" w:hAnsi="仿宋_GB2312" w:eastAsia="仿宋_GB2312" w:cs="仿宋_GB2312"/>
          <w:kern w:val="0"/>
          <w:sz w:val="28"/>
          <w:szCs w:val="28"/>
          <w:lang w:val="en-US" w:eastAsia="zh-CN"/>
        </w:rPr>
        <w:t>0</w:t>
      </w:r>
      <w:r>
        <w:rPr>
          <w:rFonts w:hint="eastAsia" w:ascii="仿宋_GB2312" w:hAnsi="仿宋_GB2312" w:eastAsia="仿宋_GB2312" w:cs="仿宋_GB2312"/>
          <w:color w:val="000000"/>
          <w:kern w:val="0"/>
          <w:sz w:val="28"/>
          <w:szCs w:val="28"/>
        </w:rPr>
        <w:t>万元。</w:t>
      </w:r>
      <w:r>
        <w:rPr>
          <w:rFonts w:hint="eastAsia" w:ascii="仿宋_GB2312" w:hAnsi="仿宋_GB2312" w:eastAsia="仿宋_GB2312" w:cs="仿宋_GB2312"/>
          <w:color w:val="000000"/>
          <w:kern w:val="0"/>
          <w:sz w:val="28"/>
          <w:szCs w:val="28"/>
          <w:lang w:val="en-US" w:eastAsia="zh-CN"/>
        </w:rPr>
        <w:t>全年累计追加</w:t>
      </w:r>
      <w:bookmarkStart w:id="0" w:name="_GoBack"/>
      <w:r>
        <w:rPr>
          <w:rFonts w:hint="eastAsia" w:ascii="仿宋_GB2312" w:hAnsi="仿宋_GB2312" w:eastAsia="仿宋_GB2312" w:cs="仿宋_GB2312"/>
          <w:color w:val="000000"/>
          <w:kern w:val="0"/>
          <w:sz w:val="28"/>
          <w:szCs w:val="28"/>
          <w:lang w:val="en-US" w:eastAsia="zh-CN"/>
        </w:rPr>
        <w:t>预算</w:t>
      </w:r>
      <w:bookmarkEnd w:id="0"/>
      <w:r>
        <w:rPr>
          <w:rFonts w:hint="eastAsia" w:ascii="仿宋_GB2312" w:hAnsi="仿宋_GB2312" w:eastAsia="仿宋_GB2312" w:cs="仿宋_GB2312"/>
          <w:color w:val="000000"/>
          <w:kern w:val="0"/>
          <w:sz w:val="28"/>
          <w:szCs w:val="28"/>
          <w:lang w:val="en-US" w:eastAsia="zh-CN"/>
        </w:rPr>
        <w:t>337.62万元。</w:t>
      </w:r>
      <w:r>
        <w:rPr>
          <w:rFonts w:hint="eastAsia" w:ascii="仿宋_GB2312" w:hAnsi="仿宋_GB2312" w:eastAsia="仿宋_GB2312" w:cs="仿宋_GB2312"/>
          <w:color w:val="000000"/>
          <w:kern w:val="0"/>
          <w:sz w:val="28"/>
          <w:szCs w:val="28"/>
        </w:rPr>
        <w:t>资金总体支出</w:t>
      </w:r>
      <w:r>
        <w:rPr>
          <w:rFonts w:hint="eastAsia" w:ascii="仿宋_GB2312" w:hAnsi="仿宋_GB2312" w:eastAsia="仿宋_GB2312" w:cs="仿宋_GB2312"/>
          <w:sz w:val="28"/>
          <w:szCs w:val="28"/>
          <w:lang w:val="en-US" w:eastAsia="zh-CN"/>
        </w:rPr>
        <w:t>8107.86</w:t>
      </w:r>
      <w:r>
        <w:rPr>
          <w:rFonts w:hint="eastAsia" w:ascii="仿宋_GB2312" w:hAnsi="仿宋_GB2312" w:eastAsia="仿宋_GB2312" w:cs="仿宋_GB2312"/>
          <w:color w:val="000000"/>
          <w:kern w:val="0"/>
          <w:sz w:val="28"/>
          <w:szCs w:val="28"/>
        </w:rPr>
        <w:t>万元，其中，基本支出</w:t>
      </w:r>
      <w:r>
        <w:rPr>
          <w:rFonts w:hint="eastAsia" w:ascii="仿宋_GB2312" w:hAnsi="仿宋_GB2312" w:eastAsia="仿宋_GB2312" w:cs="仿宋_GB2312"/>
          <w:sz w:val="28"/>
          <w:szCs w:val="28"/>
          <w:lang w:val="en-US" w:eastAsia="zh-CN"/>
        </w:rPr>
        <w:t>7375.38</w:t>
      </w:r>
      <w:r>
        <w:rPr>
          <w:rFonts w:hint="eastAsia" w:ascii="仿宋_GB2312" w:hAnsi="仿宋_GB2312" w:eastAsia="仿宋_GB2312" w:cs="仿宋_GB2312"/>
          <w:color w:val="000000"/>
          <w:kern w:val="0"/>
          <w:sz w:val="28"/>
          <w:szCs w:val="28"/>
        </w:rPr>
        <w:t>万元，项目支出</w:t>
      </w:r>
      <w:r>
        <w:rPr>
          <w:rFonts w:hint="eastAsia" w:ascii="仿宋_GB2312" w:hAnsi="仿宋_GB2312" w:eastAsia="仿宋_GB2312" w:cs="仿宋_GB2312"/>
          <w:sz w:val="28"/>
          <w:szCs w:val="28"/>
          <w:lang w:val="en-US" w:eastAsia="zh-CN"/>
        </w:rPr>
        <w:t>732.48</w:t>
      </w:r>
      <w:r>
        <w:rPr>
          <w:rFonts w:hint="eastAsia" w:ascii="仿宋_GB2312" w:hAnsi="仿宋_GB2312" w:eastAsia="仿宋_GB2312" w:cs="仿宋_GB2312"/>
          <w:color w:val="000000"/>
          <w:kern w:val="0"/>
          <w:sz w:val="28"/>
          <w:szCs w:val="28"/>
        </w:rPr>
        <w:t>万元，其他支出</w:t>
      </w:r>
      <w:r>
        <w:rPr>
          <w:rFonts w:hint="eastAsia" w:ascii="仿宋_GB2312" w:hAnsi="仿宋_GB2312" w:eastAsia="仿宋_GB2312" w:cs="仿宋_GB2312"/>
          <w:kern w:val="0"/>
          <w:sz w:val="28"/>
          <w:szCs w:val="28"/>
          <w:lang w:val="en-US" w:eastAsia="zh-CN"/>
        </w:rPr>
        <w:t>0</w:t>
      </w:r>
      <w:r>
        <w:rPr>
          <w:rFonts w:hint="eastAsia" w:ascii="仿宋_GB2312" w:hAnsi="仿宋_GB2312" w:eastAsia="仿宋_GB2312" w:cs="仿宋_GB2312"/>
          <w:color w:val="000000"/>
          <w:kern w:val="0"/>
          <w:sz w:val="28"/>
          <w:szCs w:val="28"/>
        </w:rPr>
        <w:t>万元。预算执行率为</w:t>
      </w:r>
      <w:r>
        <w:rPr>
          <w:rFonts w:hint="eastAsia" w:ascii="仿宋_GB2312" w:hAnsi="仿宋_GB2312" w:eastAsia="仿宋_GB2312" w:cs="仿宋_GB2312"/>
          <w:sz w:val="28"/>
          <w:szCs w:val="28"/>
          <w:lang w:val="en-US" w:eastAsia="zh-CN"/>
        </w:rPr>
        <w:t>97.91%</w:t>
      </w:r>
      <w:r>
        <w:rPr>
          <w:rFonts w:hint="eastAsia" w:ascii="仿宋_GB2312" w:hAnsi="仿宋_GB2312" w:eastAsia="仿宋_GB2312" w:cs="仿宋_GB2312"/>
          <w:color w:val="000000"/>
          <w:kern w:val="0"/>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三、</w:t>
      </w:r>
      <w:r>
        <w:rPr>
          <w:rFonts w:hint="eastAsia" w:ascii="仿宋_GB2312" w:hAnsi="仿宋_GB2312" w:eastAsia="仿宋_GB2312" w:cs="仿宋_GB2312"/>
          <w:color w:val="000000"/>
          <w:kern w:val="0"/>
          <w:sz w:val="28"/>
          <w:szCs w:val="28"/>
        </w:rPr>
        <w:t>整体绩效目标实现情况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eastAsia="仿宋_GB2312"/>
          <w:lang w:val="en-US" w:eastAsia="zh-CN"/>
        </w:rPr>
      </w:pPr>
      <w:r>
        <w:rPr>
          <w:rFonts w:hint="default" w:ascii="仿宋_GB2312" w:hAnsi="仿宋_GB2312" w:eastAsia="仿宋_GB2312" w:cs="仿宋_GB2312"/>
          <w:color w:val="000000"/>
          <w:kern w:val="0"/>
          <w:sz w:val="28"/>
          <w:szCs w:val="28"/>
          <w:lang w:val="en-US" w:eastAsia="zh-CN"/>
        </w:rPr>
        <w:t>2021年</w:t>
      </w:r>
      <w:r>
        <w:rPr>
          <w:rFonts w:hint="eastAsia" w:ascii="仿宋_GB2312" w:hAnsi="仿宋_GB2312" w:eastAsia="仿宋_GB2312" w:cs="仿宋_GB2312"/>
          <w:color w:val="000000"/>
          <w:kern w:val="0"/>
          <w:sz w:val="28"/>
          <w:szCs w:val="28"/>
          <w:lang w:val="en-US" w:eastAsia="zh-CN"/>
        </w:rPr>
        <w:t>通州检察院本年</w:t>
      </w:r>
      <w:r>
        <w:rPr>
          <w:rFonts w:hint="default" w:ascii="仿宋_GB2312" w:hAnsi="仿宋_GB2312" w:eastAsia="仿宋_GB2312" w:cs="仿宋_GB2312"/>
          <w:color w:val="000000"/>
          <w:kern w:val="0"/>
          <w:sz w:val="28"/>
          <w:szCs w:val="28"/>
          <w:lang w:val="en-US" w:eastAsia="zh-CN"/>
        </w:rPr>
        <w:t>预算项目共</w:t>
      </w:r>
      <w:r>
        <w:rPr>
          <w:rFonts w:hint="eastAsia" w:ascii="仿宋_GB2312" w:hAnsi="仿宋_GB2312" w:eastAsia="仿宋_GB2312" w:cs="仿宋_GB2312"/>
          <w:color w:val="000000"/>
          <w:kern w:val="0"/>
          <w:sz w:val="28"/>
          <w:szCs w:val="28"/>
          <w:lang w:val="en-US" w:eastAsia="zh-CN"/>
        </w:rPr>
        <w:t>7</w:t>
      </w:r>
      <w:r>
        <w:rPr>
          <w:rFonts w:hint="default" w:ascii="仿宋_GB2312" w:hAnsi="仿宋_GB2312" w:eastAsia="仿宋_GB2312" w:cs="仿宋_GB2312"/>
          <w:color w:val="000000"/>
          <w:kern w:val="0"/>
          <w:sz w:val="28"/>
          <w:szCs w:val="28"/>
          <w:lang w:val="en-US" w:eastAsia="zh-CN"/>
        </w:rPr>
        <w:t>个，预算金额</w:t>
      </w:r>
      <w:r>
        <w:rPr>
          <w:rFonts w:hint="eastAsia" w:ascii="仿宋_GB2312" w:hAnsi="仿宋_GB2312" w:eastAsia="仿宋_GB2312" w:cs="仿宋_GB2312"/>
          <w:color w:val="000000"/>
          <w:kern w:val="0"/>
          <w:sz w:val="28"/>
          <w:szCs w:val="28"/>
          <w:lang w:val="en-US" w:eastAsia="zh-CN"/>
        </w:rPr>
        <w:t>865.22</w:t>
      </w:r>
      <w:r>
        <w:rPr>
          <w:rFonts w:hint="eastAsia" w:ascii="仿宋_GB2312" w:hAnsi="仿宋_GB2312" w:eastAsia="仿宋_GB2312" w:cs="仿宋_GB2312"/>
          <w:color w:val="000000"/>
          <w:kern w:val="0"/>
          <w:sz w:val="28"/>
          <w:szCs w:val="28"/>
        </w:rPr>
        <w:t>万元</w:t>
      </w:r>
      <w:r>
        <w:rPr>
          <w:rFonts w:hint="default" w:ascii="仿宋_GB2312" w:hAnsi="仿宋_GB2312" w:eastAsia="仿宋_GB2312" w:cs="仿宋_GB2312"/>
          <w:color w:val="000000"/>
          <w:kern w:val="0"/>
          <w:sz w:val="28"/>
          <w:szCs w:val="28"/>
          <w:lang w:eastAsia="zh-CN"/>
        </w:rPr>
        <w:t>，</w:t>
      </w:r>
      <w:r>
        <w:rPr>
          <w:rFonts w:hint="default" w:ascii="仿宋_GB2312" w:hAnsi="仿宋_GB2312" w:eastAsia="仿宋_GB2312" w:cs="仿宋_GB2312"/>
          <w:color w:val="000000"/>
          <w:kern w:val="0"/>
          <w:sz w:val="28"/>
          <w:szCs w:val="28"/>
          <w:lang w:val="en-US" w:eastAsia="zh-CN"/>
        </w:rPr>
        <w:t>具体情况如下：</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产出完成情况分析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产出数量</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（1）运维保障工作经费项目</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指标1：开展内部审计、内控制度建设、项目绩效评价。</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指标2：开展安保安检工作，保障通州检察院干警工作安全。</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指标3：用于加大新媒体宣传、检务公开等检察工作力度，加强公共关系建设。</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全年实际值：</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指标1：完成2020年预算执行及财务收支审计；结合通州检察院实际情况，对2021年现行内部控制手册进行修订与更新；2021年的绩效评价工作针对通州检察院的重点项目支出实施了绩效评价，评价项目2个，其中：部门评价项目与单位自评项目各1个。</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指标2：与金警国际安保服务（北京）有限公司签订了安保安检服务合同，项目全年执行，于2021年年底完成服务工作，保障了正常的办公秩序，顺利开展各项检察工作。</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指标3：该项目选定北京汉龙思琪数码科技有限公司提供案件资料数字化技术服务，由北京海漠国际文化发展有限公司负责与北青社区报合作事宜，进一步提高了检察工作宣传效果，提升了人民群众对检察工作的满意度。</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（2）信息化运维费项目</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年度指标值：开展信息化运维工作，保障保障网络正常运行，系统运维合格率100%。</w:t>
      </w:r>
    </w:p>
    <w:p>
      <w:pPr>
        <w:widowControl w:val="0"/>
        <w:spacing w:line="56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全年实际值：检察信息化系统2021年全年运行态势平稳良好，保证了信息化网络设备稳定运行，满足了检察业务工作需要。</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（3）互联网接入费</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年度指标值：为实现北京市通州区人民检察院计算机外网系统、指挥中心等接入互联网宽带工作，保障检察院对信息化不断增长的需求，保障检务公开需要，需专线接入互联网。</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全年实际值：按照工作部署和要求，在2021年按要求完成项目进度并通过验收。保障检察业务公开与信息化建设顺利进行。</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（4）业务装备费</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年度指标值：按照购置计划执行</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全年实际值：已购置交换机、UPS电池组及监控系统维护等设备，并完成验收，资金总体执行率达到100.00%。</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（5）办案业务费</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年度指标值：满足检察机关政法执法办案需求，保障各项检察业务顺利开展，干警满意度达到95%以上。</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全年实际值：2021年，通州院受理各类刑事案件5078件5930人，同比上升68.03%，批准和决定逮捕727件918人，提起公诉1700件1999人。</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（6）囚车更新项目</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年度指标值：更新囚车，满足检察机关工作需求</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全年实际值：已购置囚车一辆</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（7）区级专项资金项目</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年度指标值：资金到位80.00万元,保障检察业务的顺利开展。</w:t>
      </w:r>
    </w:p>
    <w:p>
      <w:pPr>
        <w:pStyle w:val="7"/>
        <w:ind w:firstLine="560" w:firstLineChars="200"/>
        <w:rPr>
          <w:rFonts w:hint="eastAsia"/>
        </w:rPr>
      </w:pPr>
      <w:r>
        <w:rPr>
          <w:rFonts w:hint="eastAsia" w:ascii="仿宋_GB2312" w:hAnsi="仿宋_GB2312" w:eastAsia="仿宋_GB2312" w:cs="仿宋_GB2312"/>
          <w:kern w:val="2"/>
          <w:sz w:val="28"/>
          <w:szCs w:val="28"/>
          <w:lang w:val="en-US" w:eastAsia="zh-CN" w:bidi="ar-SA"/>
        </w:rPr>
        <w:t>全年实际值：到位资金10.90万元，资金到位率为13.63%。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 xml:space="preserve">    【2】</w:t>
      </w:r>
      <w:r>
        <w:rPr>
          <w:rFonts w:hint="eastAsia" w:ascii="仿宋_GB2312" w:hAnsi="仿宋_GB2312" w:eastAsia="仿宋_GB2312" w:cs="仿宋_GB2312"/>
          <w:color w:val="000000"/>
          <w:kern w:val="0"/>
          <w:sz w:val="28"/>
          <w:szCs w:val="28"/>
        </w:rPr>
        <w:t>产出质量</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（1）运维保障工作的开展，保障通州检察院发挥政府履职所需辅助性服务职能，有效提升单位内部控制工作水平；提高了通州检察院检察宣传和舆论引导能力；保障了干警工作安全。</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（2）信息化运维费项目全年系统运维合格率100%，满足了检察业务工作需要，优化了检察院网络环境，保障了检察业务高效开展。</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（3）互联网接入费：满足了专线接入互联网的工作需求，保障了检察业务公开与检察门户网站运行维护。</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（4）业务装备费项目：通过交换机、UPS电池组及监控系统维护等设备，进一步提高检察信息化水平，满足检察机关取证需要；规范检察执法，提高执法办案水平；强化检察系统间沟通，更好满足检察业务工作。</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（5）办案业务费的实施，使得通州院受理各类刑事案件5078件5930人，同比上升68.03%。</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（6）囚车更新项目的实施，通过购置更新一辆囚车，使得检察业务工作效率得到提高，更好的满足了检察业务工作的需求。</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（7）2021年区级专项资金项目预算资金80.00万元，实际到位资金10.90万元，资金到位率13.63%，在一定程度上促进检察监督业务体系和业务能力现代化，保障检察业务的顺利开展。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 xml:space="preserve">    【3】</w:t>
      </w:r>
      <w:r>
        <w:rPr>
          <w:rFonts w:hint="eastAsia" w:ascii="仿宋_GB2312" w:hAnsi="仿宋_GB2312" w:eastAsia="仿宋_GB2312" w:cs="仿宋_GB2312"/>
          <w:color w:val="000000"/>
          <w:kern w:val="0"/>
          <w:sz w:val="28"/>
          <w:szCs w:val="28"/>
        </w:rPr>
        <w:t>产出进度</w:t>
      </w:r>
    </w:p>
    <w:p>
      <w:pPr>
        <w:pStyle w:val="7"/>
        <w:ind w:firstLine="420" w:firstLineChars="200"/>
        <w:rPr>
          <w:rFonts w:hint="eastAsia" w:ascii="仿宋_GB2312" w:hAnsi="仿宋_GB2312" w:eastAsia="仿宋_GB2312" w:cs="仿宋_GB2312"/>
          <w:kern w:val="2"/>
          <w:sz w:val="28"/>
          <w:szCs w:val="28"/>
          <w:lang w:val="en-US" w:eastAsia="zh-CN" w:bidi="ar-SA"/>
        </w:rPr>
      </w:pPr>
      <w:r>
        <w:rPr>
          <w:rFonts w:hint="eastAsia"/>
          <w:lang w:val="en-US" w:eastAsia="zh-CN"/>
        </w:rPr>
        <w:t xml:space="preserve"> </w:t>
      </w:r>
      <w:r>
        <w:rPr>
          <w:rFonts w:hint="eastAsia" w:ascii="仿宋_GB2312" w:hAnsi="仿宋_GB2312" w:eastAsia="仿宋_GB2312" w:cs="仿宋_GB2312"/>
          <w:kern w:val="2"/>
          <w:sz w:val="28"/>
          <w:szCs w:val="28"/>
          <w:lang w:val="en-US" w:eastAsia="zh-CN" w:bidi="ar-SA"/>
        </w:rPr>
        <w:t>（1）2021年运维保障工作经费项目，按照年初绩效目标的要求，已在2021年底前完成并通过验收。</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（2）2021年信息化运维项目，截至评价日，该项目主要工作能够按照计划时间开展，产出时效性较好，按期完成了各阶段及年度总体工作任务。</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（3）2021年互联网接入费项目，按要求完成项目进度并通过验收。</w:t>
      </w:r>
    </w:p>
    <w:p>
      <w:pPr>
        <w:pStyle w:val="7"/>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（4）2021年业务装备费项目，整体完成度较好，已按年初购置计划执行并验收合格，资金总体执行率达到100.00%</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（5）2021年办案业务费项目，已在2021年按要求完成项目进度，项目中涉及的合同、验收报告、技术鉴定等资料均齐全并及时归档。</w:t>
      </w:r>
    </w:p>
    <w:p>
      <w:pPr>
        <w:pStyle w:val="7"/>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（6）2021年囚车更新项目，已购置囚车一辆并验收合格。</w:t>
      </w:r>
    </w:p>
    <w:p>
      <w:pPr>
        <w:pStyle w:val="7"/>
        <w:ind w:firstLine="560" w:firstLineChars="200"/>
        <w:rPr>
          <w:rFonts w:hint="eastAsia" w:eastAsia="仿宋_GB2312"/>
          <w:lang w:val="en-US" w:eastAsia="zh-CN"/>
        </w:rPr>
      </w:pPr>
      <w:r>
        <w:rPr>
          <w:rFonts w:hint="eastAsia" w:ascii="仿宋_GB2312" w:hAnsi="仿宋_GB2312" w:eastAsia="仿宋_GB2312" w:cs="仿宋_GB2312"/>
          <w:kern w:val="2"/>
          <w:sz w:val="28"/>
          <w:szCs w:val="28"/>
          <w:lang w:val="en-US" w:eastAsia="zh-CN" w:bidi="ar-SA"/>
        </w:rPr>
        <w:t>（7）2021年区级专项资金项目预算资金80.00万元，实际到位资金10.90万元，资金到位率13.63%，与年初预算差异较大。</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4</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 xml:space="preserve">产出成本   </w:t>
      </w:r>
    </w:p>
    <w:p>
      <w:pPr>
        <w:spacing w:line="600" w:lineRule="exact"/>
        <w:rPr>
          <w:rFonts w:hint="eastAsia" w:ascii="仿宋_GB2312" w:hAnsi="仿宋_GB2312" w:eastAsia="仿宋_GB2312" w:cs="仿宋_GB2312"/>
          <w:color w:val="000000"/>
          <w:kern w:val="0"/>
          <w:sz w:val="28"/>
          <w:szCs w:val="28"/>
        </w:rPr>
      </w:pPr>
      <w:r>
        <w:rPr>
          <w:rFonts w:hint="eastAsia" w:ascii="仿宋_GB2312" w:hAnsi="宋体" w:eastAsia="仿宋_GB2312" w:cs="宋体"/>
          <w:color w:val="000000"/>
          <w:kern w:val="0"/>
          <w:sz w:val="32"/>
          <w:szCs w:val="32"/>
          <w:lang w:val="en-US" w:eastAsia="zh-CN"/>
        </w:rPr>
        <w:t xml:space="preserve">   </w:t>
      </w:r>
      <w:r>
        <w:rPr>
          <w:rFonts w:hint="eastAsia" w:ascii="仿宋_GB2312" w:hAnsi="仿宋_GB2312" w:eastAsia="仿宋_GB2312" w:cs="仿宋_GB2312"/>
          <w:kern w:val="2"/>
          <w:sz w:val="28"/>
          <w:szCs w:val="28"/>
          <w:lang w:val="en-US" w:eastAsia="zh-CN" w:bidi="ar-SA"/>
        </w:rPr>
        <w:t xml:space="preserve"> 2021年，通州检察院项目支出预算数865.22万元，项目支出决算数732.48万元，其中：运维保障工作经费产出成本136.72万元；信息化运维费产出成本20.00万元；互联网接入费产出成本8.99万元；业务装备费产出成本31.20万元；办案业务费产出成本498.93万元；更新囚车一辆项目产出成本24.98万元；区级专项资金（政法系统教育整顿专项经费）项目产出成本10.90万元；第一书记专项补贴0.76万元。产出成本与预算存在差异，主要原因为第一书记专项补贴经费来源为上年结转结余资金，年初未列入预算；另区级专项资金项目年初作为收入申报项目，实质为非同级财政拨款收入，年初申报预算80.00万元，本年实际收入10.90万元，全部用于政法系统教育整顿专项经费项目支出。</w:t>
      </w:r>
      <w:r>
        <w:rPr>
          <w:rFonts w:hint="eastAsia" w:ascii="仿宋_GB2312" w:hAnsi="仿宋_GB2312" w:eastAsia="仿宋_GB2312" w:cs="仿宋_GB2312"/>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效果实现情况分析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经济效益</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560" w:firstLineChars="200"/>
        <w:jc w:val="both"/>
        <w:textAlignment w:val="auto"/>
        <w:outlineLvl w:val="9"/>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不涉及。</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color w:val="000000"/>
          <w:kern w:val="0"/>
          <w:sz w:val="28"/>
          <w:szCs w:val="28"/>
        </w:rPr>
        <w:t>社会效益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eastAsia="仿宋_GB2312"/>
          <w:lang w:val="en-US" w:eastAsia="zh-CN"/>
        </w:rPr>
      </w:pPr>
      <w:r>
        <w:rPr>
          <w:rFonts w:hint="eastAsia" w:ascii="仿宋_GB2312" w:hAnsi="仿宋_GB2312" w:eastAsia="仿宋_GB2312" w:cs="仿宋_GB2312"/>
          <w:color w:val="000000"/>
          <w:kern w:val="0"/>
          <w:sz w:val="28"/>
          <w:szCs w:val="28"/>
          <w:lang w:val="en-US" w:eastAsia="zh-CN"/>
        </w:rPr>
        <w:t xml:space="preserve">    </w:t>
      </w:r>
      <w:r>
        <w:rPr>
          <w:rFonts w:hint="eastAsia" w:ascii="仿宋_GB2312" w:hAnsi="仿宋_GB2312" w:eastAsia="仿宋_GB2312" w:cs="仿宋_GB2312"/>
          <w:kern w:val="2"/>
          <w:sz w:val="28"/>
          <w:szCs w:val="28"/>
          <w:lang w:val="en-US" w:eastAsia="zh-CN" w:bidi="ar-SA"/>
        </w:rPr>
        <w:t>总体自评认为，通州检察院通过项目的实施，更好地发挥了检察职能，贯彻落实中共中央“全面推进依法治国”决定，营造了公正、高效、权威的法治环境，为构建和谐社会提供有力的司法保障，更好地适应了和谐社会建设的新要求，并为维护国家和地区的长治久安、保障人民安居乐业提供强有力的支撑和保障。</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环境效益</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560" w:firstLineChars="200"/>
        <w:jc w:val="both"/>
        <w:textAlignment w:val="auto"/>
        <w:outlineLvl w:val="9"/>
        <w:rPr>
          <w:rFonts w:hint="eastAsia"/>
        </w:rPr>
      </w:pPr>
      <w:r>
        <w:rPr>
          <w:rFonts w:hint="eastAsia" w:ascii="仿宋_GB2312" w:hAnsi="仿宋_GB2312" w:eastAsia="仿宋_GB2312" w:cs="仿宋_GB2312"/>
          <w:kern w:val="2"/>
          <w:sz w:val="28"/>
          <w:szCs w:val="28"/>
          <w:lang w:val="en-US" w:eastAsia="zh-CN" w:bidi="ar-SA"/>
        </w:rPr>
        <w:t>不涉及。</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可持续性影响</w:t>
      </w:r>
    </w:p>
    <w:p>
      <w:pPr>
        <w:pStyle w:val="8"/>
        <w:spacing w:line="560" w:lineRule="exact"/>
        <w:ind w:firstLine="560" w:firstLineChars="200"/>
        <w:rPr>
          <w:rFonts w:hint="eastAsia" w:eastAsia="仿宋_GB2312"/>
          <w:lang w:val="en-US" w:eastAsia="zh-CN"/>
        </w:rPr>
      </w:pPr>
      <w:r>
        <w:rPr>
          <w:rFonts w:hint="eastAsia" w:ascii="仿宋_GB2312" w:hAnsi="仿宋_GB2312" w:eastAsia="仿宋_GB2312" w:cs="仿宋_GB2312"/>
          <w:kern w:val="2"/>
          <w:sz w:val="28"/>
          <w:szCs w:val="28"/>
          <w:lang w:val="en-US" w:eastAsia="zh-CN" w:bidi="ar-SA"/>
        </w:rPr>
        <w:t>总体自评认为，通州检察院分发挥单位职能，保障各项检察业务工作有序开展，围绕中心工作履行检察职能，在维护首都工作大局，维护社会安全稳定，强化法律监督等方面具有可持续性。</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服务对象满意度</w:t>
      </w:r>
    </w:p>
    <w:p>
      <w:pPr>
        <w:pStyle w:val="2"/>
        <w:numPr>
          <w:ilvl w:val="0"/>
          <w:numId w:val="0"/>
        </w:numPr>
        <w:rPr>
          <w:rFonts w:hint="eastAsia" w:ascii="仿宋_GB2312" w:hAnsi="仿宋_GB2312" w:eastAsia="仿宋_GB2312" w:cs="仿宋_GB2312"/>
          <w:kern w:val="2"/>
          <w:sz w:val="28"/>
          <w:szCs w:val="28"/>
          <w:lang w:val="en-US" w:eastAsia="zh-CN" w:bidi="ar-SA"/>
        </w:rPr>
      </w:pPr>
      <w:r>
        <w:rPr>
          <w:rFonts w:hint="eastAsia" w:hAnsi="仿宋_GB2312" w:cs="仿宋_GB2312"/>
          <w:kern w:val="2"/>
          <w:sz w:val="28"/>
          <w:szCs w:val="28"/>
          <w:lang w:val="en-US" w:eastAsia="zh-CN" w:bidi="ar-SA"/>
        </w:rPr>
        <w:t xml:space="preserve">    </w:t>
      </w:r>
      <w:r>
        <w:rPr>
          <w:rFonts w:hint="eastAsia" w:ascii="仿宋_GB2312" w:hAnsi="仿宋_GB2312" w:eastAsia="仿宋_GB2312" w:cs="仿宋_GB2312"/>
          <w:kern w:val="2"/>
          <w:sz w:val="28"/>
          <w:szCs w:val="28"/>
          <w:lang w:val="en-US" w:eastAsia="zh-CN" w:bidi="ar-SA"/>
        </w:rPr>
        <w:t>总体自评认为，通州检察院项目满意度反馈信息不够全面，满意度调查有待完善。</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四、</w:t>
      </w:r>
      <w:r>
        <w:rPr>
          <w:rFonts w:hint="eastAsia" w:ascii="仿宋_GB2312" w:hAnsi="仿宋_GB2312" w:eastAsia="仿宋_GB2312" w:cs="仿宋_GB2312"/>
          <w:color w:val="000000"/>
          <w:kern w:val="0"/>
          <w:sz w:val="28"/>
          <w:szCs w:val="28"/>
        </w:rPr>
        <w:t>预算管理情况分析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财务管理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财务管理制度健全性</w:t>
      </w:r>
    </w:p>
    <w:p>
      <w:pPr>
        <w:spacing w:line="600" w:lineRule="exact"/>
        <w:rPr>
          <w:rFonts w:hint="eastAsia"/>
        </w:rPr>
      </w:pPr>
      <w:r>
        <w:rPr>
          <w:rFonts w:hint="eastAsia" w:ascii="仿宋_GB2312" w:hAnsi="仿宋_GB2312" w:eastAsia="仿宋_GB2312" w:cs="仿宋_GB2312"/>
          <w:kern w:val="2"/>
          <w:sz w:val="28"/>
          <w:szCs w:val="28"/>
          <w:lang w:val="en-US" w:eastAsia="zh-CN" w:bidi="ar-SA"/>
        </w:rPr>
        <w:t xml:space="preserve">    通州检察院建立了《通州检察院财务管理暂行办法》，《通州检察院预算管理办法》《通州检察院经费支出管理办法》、《通州检察院采购管理办法》《通州检察院合同管理办法》、《通州检察院内部审计管理办法》等制度，财务管理制度健全。</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资金使用合规性和安全性</w:t>
      </w:r>
    </w:p>
    <w:p>
      <w:pPr>
        <w:spacing w:line="600" w:lineRule="exact"/>
        <w:rPr>
          <w:rFonts w:hint="eastAsia"/>
        </w:rPr>
      </w:pPr>
      <w:r>
        <w:rPr>
          <w:rFonts w:hint="eastAsia" w:ascii="仿宋_GB2312" w:hAnsi="仿宋_GB2312" w:eastAsia="仿宋_GB2312" w:cs="仿宋_GB2312"/>
          <w:kern w:val="2"/>
          <w:sz w:val="28"/>
          <w:szCs w:val="28"/>
          <w:lang w:val="en-US" w:eastAsia="zh-CN" w:bidi="ar-SA"/>
        </w:rPr>
        <w:t xml:space="preserve">    2021年通州检察院各项资金支出均参照国家、北京市相关制度及本单位相关财务制度执行，严格落实资金拨付审批程序，以保障资金及时发放到位。同时，配合市财政局开展项目监管检查、绩效评价相关工作，加强资金使用效果的监督、落实。</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会计基础信息完善性</w:t>
      </w:r>
    </w:p>
    <w:p>
      <w:pPr>
        <w:pStyle w:val="2"/>
        <w:numPr>
          <w:ilvl w:val="0"/>
          <w:numId w:val="0"/>
        </w:numPr>
        <w:rPr>
          <w:rFonts w:hint="eastAsia" w:ascii="仿宋_GB2312" w:hAnsi="仿宋_GB2312" w:eastAsia="仿宋_GB2312" w:cs="仿宋_GB2312"/>
          <w:kern w:val="2"/>
          <w:sz w:val="28"/>
          <w:szCs w:val="28"/>
          <w:lang w:val="en-US" w:eastAsia="zh-CN" w:bidi="ar-SA"/>
        </w:rPr>
      </w:pPr>
      <w:r>
        <w:rPr>
          <w:rFonts w:hint="eastAsia"/>
          <w:lang w:val="en-US" w:eastAsia="zh-CN"/>
        </w:rPr>
        <w:t xml:space="preserve">    </w:t>
      </w:r>
      <w:r>
        <w:rPr>
          <w:rFonts w:hint="eastAsia" w:ascii="仿宋_GB2312" w:hAnsi="仿宋_GB2312" w:eastAsia="仿宋_GB2312" w:cs="仿宋_GB2312"/>
          <w:kern w:val="2"/>
          <w:sz w:val="28"/>
          <w:szCs w:val="28"/>
          <w:lang w:val="en-US" w:eastAsia="zh-CN" w:bidi="ar-SA"/>
        </w:rPr>
        <w:t>会计基础信息</w:t>
      </w:r>
      <w:r>
        <w:rPr>
          <w:rFonts w:hint="eastAsia" w:hAnsi="仿宋_GB2312" w:cs="仿宋_GB2312"/>
          <w:kern w:val="2"/>
          <w:sz w:val="28"/>
          <w:szCs w:val="28"/>
          <w:lang w:val="en-US" w:eastAsia="zh-CN" w:bidi="ar-SA"/>
        </w:rPr>
        <w:t>基本完善。</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资产管理</w:t>
      </w:r>
    </w:p>
    <w:p>
      <w:pPr>
        <w:spacing w:line="600" w:lineRule="exact"/>
        <w:rPr>
          <w:rFonts w:hint="eastAsia" w:ascii="仿宋_GB2312" w:hAnsi="仿宋_GB2312" w:eastAsia="仿宋_GB2312" w:cs="仿宋_GB2312"/>
          <w:kern w:val="2"/>
          <w:sz w:val="28"/>
          <w:szCs w:val="28"/>
          <w:lang w:val="en-US" w:eastAsia="zh-CN" w:bidi="ar-SA"/>
        </w:rPr>
      </w:pPr>
      <w:r>
        <w:rPr>
          <w:rFonts w:hint="eastAsia"/>
          <w:lang w:val="en-US" w:eastAsia="zh-CN"/>
        </w:rPr>
        <w:t xml:space="preserve"> </w:t>
      </w:r>
      <w:r>
        <w:rPr>
          <w:rFonts w:hint="eastAsia" w:ascii="仿宋_GB2312" w:hAnsi="仿宋_GB2312" w:eastAsia="仿宋_GB2312" w:cs="仿宋_GB2312"/>
          <w:kern w:val="2"/>
          <w:sz w:val="28"/>
          <w:szCs w:val="28"/>
          <w:lang w:val="en-US" w:eastAsia="zh-CN" w:bidi="ar-SA"/>
        </w:rPr>
        <w:t xml:space="preserve">   （1）通州检察院建立了《通州检察院固定资产管理办法（修订）》、《通州检察院办公耗材管理办法》及《通州检察院科技装备配备及管理办法》等管理制度，资产管理制度较为健全。</w:t>
      </w:r>
    </w:p>
    <w:p>
      <w:pPr>
        <w:spacing w:line="600" w:lineRule="exact"/>
        <w:rPr>
          <w:rFonts w:hint="eastAsia" w:eastAsia="仿宋_GB2312"/>
          <w:lang w:val="en-US" w:eastAsia="zh-CN"/>
        </w:rPr>
      </w:pPr>
      <w:r>
        <w:rPr>
          <w:rFonts w:hint="eastAsia" w:ascii="仿宋_GB2312" w:hAnsi="仿宋_GB2312" w:eastAsia="仿宋_GB2312" w:cs="仿宋_GB2312"/>
          <w:kern w:val="2"/>
          <w:sz w:val="28"/>
          <w:szCs w:val="28"/>
          <w:lang w:val="en-US" w:eastAsia="zh-CN" w:bidi="ar-SA"/>
        </w:rPr>
        <w:t xml:space="preserve">    （2）通州检察院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绩效管理</w:t>
      </w:r>
    </w:p>
    <w:p>
      <w:pPr>
        <w:spacing w:line="600" w:lineRule="exact"/>
        <w:ind w:left="105" w:leftChars="50" w:firstLine="315" w:firstLineChars="150"/>
        <w:rPr>
          <w:rFonts w:hint="eastAsia" w:eastAsia="仿宋_GB2312"/>
          <w:lang w:val="en-US" w:eastAsia="zh-CN"/>
        </w:rPr>
      </w:pPr>
      <w:r>
        <w:rPr>
          <w:rFonts w:hint="eastAsia"/>
          <w:lang w:val="en-US" w:eastAsia="zh-CN"/>
        </w:rPr>
        <w:t xml:space="preserve">  </w:t>
      </w:r>
      <w:r>
        <w:rPr>
          <w:rFonts w:hint="eastAsia" w:ascii="仿宋_GB2312" w:hAnsi="仿宋_GB2312" w:eastAsia="仿宋_GB2312" w:cs="仿宋_GB2312"/>
          <w:kern w:val="2"/>
          <w:sz w:val="28"/>
          <w:szCs w:val="28"/>
          <w:lang w:val="en-US" w:eastAsia="zh-CN" w:bidi="ar-SA"/>
        </w:rPr>
        <w:t>通州检察院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结转结余率</w:t>
      </w:r>
    </w:p>
    <w:p>
      <w:pPr>
        <w:pStyle w:val="2"/>
        <w:numPr>
          <w:ilvl w:val="0"/>
          <w:numId w:val="0"/>
        </w:numPr>
        <w:ind w:left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2021年通州检察院结转结余率为2.09%。</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部门预决算差异率</w:t>
      </w:r>
    </w:p>
    <w:p>
      <w:pPr>
        <w:pStyle w:val="2"/>
        <w:numPr>
          <w:ilvl w:val="0"/>
          <w:numId w:val="0"/>
        </w:numPr>
        <w:ind w:leftChars="200"/>
        <w:rPr>
          <w:rFonts w:hint="eastAsia" w:ascii="仿宋_GB2312" w:hAnsi="仿宋_GB2312" w:eastAsia="仿宋_GB2312" w:cs="仿宋_GB2312"/>
          <w:kern w:val="2"/>
          <w:sz w:val="28"/>
          <w:szCs w:val="28"/>
          <w:lang w:val="en-US" w:eastAsia="zh-CN" w:bidi="ar-SA"/>
        </w:rPr>
      </w:pPr>
      <w:r>
        <w:rPr>
          <w:rFonts w:hint="eastAsia" w:hAnsi="仿宋_GB2312" w:cs="仿宋_GB2312"/>
          <w:kern w:val="2"/>
          <w:sz w:val="28"/>
          <w:szCs w:val="28"/>
          <w:lang w:val="en-US" w:eastAsia="zh-CN" w:bidi="ar-SA"/>
        </w:rPr>
        <w:t xml:space="preserve"> </w:t>
      </w:r>
      <w:r>
        <w:rPr>
          <w:rFonts w:hint="eastAsia" w:ascii="仿宋_GB2312" w:hAnsi="仿宋_GB2312" w:eastAsia="仿宋_GB2312" w:cs="仿宋_GB2312"/>
          <w:kern w:val="2"/>
          <w:sz w:val="28"/>
          <w:szCs w:val="28"/>
          <w:lang w:val="en-US" w:eastAsia="zh-CN" w:bidi="ar-SA"/>
        </w:rPr>
        <w:t>2021年通州检察院预决算差异率为2.07%</w:t>
      </w:r>
      <w:r>
        <w:rPr>
          <w:rFonts w:hint="eastAsia" w:hAnsi="仿宋_GB2312" w:cs="仿宋_GB2312"/>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总体评价结论</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评价得分情况</w:t>
      </w:r>
    </w:p>
    <w:p>
      <w:pPr>
        <w:spacing w:line="60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通州检察院开展本年度绩效评价项目7个，占本年申报项目总数100%，涉及预算金额865.22万元，其中部门评价项目1个，涉及预算金额559.80万元，单位自评项目6个，涉及预算金额305.42万元。评价得分在90（含）—100分的项目5个，评价得分在80（含）—90分的项目2个。</w:t>
      </w:r>
    </w:p>
    <w:p>
      <w:pPr>
        <w:pStyle w:val="2"/>
        <w:rPr>
          <w:rFonts w:hint="default"/>
          <w:lang w:val="en-US" w:eastAsia="zh-CN"/>
        </w:rPr>
      </w:pPr>
    </w:p>
    <w:tbl>
      <w:tblPr>
        <w:tblStyle w:val="6"/>
        <w:tblW w:w="9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741"/>
        <w:gridCol w:w="1320"/>
        <w:gridCol w:w="1875"/>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450" w:hRule="atLeast"/>
          <w:jc w:val="center"/>
        </w:trPr>
        <w:tc>
          <w:tcPr>
            <w:tcW w:w="3741" w:type="dxa"/>
            <w:shd w:val="clear" w:color="000000" w:fill="auto"/>
            <w:vAlign w:val="center"/>
          </w:tcPr>
          <w:p>
            <w:pPr>
              <w:widowControl/>
              <w:spacing w:line="56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评价</w:t>
            </w:r>
            <w:r>
              <w:rPr>
                <w:rFonts w:hint="eastAsia" w:ascii="仿宋_GB2312" w:hAnsi="仿宋_GB2312" w:cs="仿宋_GB2312"/>
                <w:b/>
                <w:bCs/>
                <w:kern w:val="0"/>
                <w:sz w:val="24"/>
                <w:szCs w:val="24"/>
                <w:highlight w:val="none"/>
                <w:lang w:val="en-US" w:eastAsia="zh-CN"/>
              </w:rPr>
              <w:t>项目名称</w:t>
            </w:r>
          </w:p>
        </w:tc>
        <w:tc>
          <w:tcPr>
            <w:tcW w:w="1320" w:type="dxa"/>
            <w:shd w:val="clear" w:color="000000" w:fill="auto"/>
            <w:vAlign w:val="center"/>
          </w:tcPr>
          <w:p>
            <w:pPr>
              <w:widowControl/>
              <w:spacing w:line="56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分值</w:t>
            </w:r>
          </w:p>
        </w:tc>
        <w:tc>
          <w:tcPr>
            <w:tcW w:w="1875" w:type="dxa"/>
            <w:shd w:val="clear" w:color="000000" w:fill="auto"/>
            <w:vAlign w:val="center"/>
          </w:tcPr>
          <w:p>
            <w:pPr>
              <w:widowControl/>
              <w:spacing w:line="560" w:lineRule="exact"/>
              <w:jc w:val="center"/>
              <w:rPr>
                <w:rFonts w:hint="eastAsia" w:ascii="仿宋_GB2312" w:hAnsi="仿宋_GB2312" w:cs="仿宋_GB2312"/>
                <w:b/>
                <w:bCs/>
                <w:kern w:val="0"/>
                <w:sz w:val="24"/>
                <w:szCs w:val="24"/>
                <w:highlight w:val="none"/>
              </w:rPr>
            </w:pPr>
            <w:r>
              <w:rPr>
                <w:rFonts w:hint="eastAsia" w:ascii="仿宋_GB2312" w:hAnsi="仿宋_GB2312" w:cs="仿宋_GB2312"/>
                <w:b/>
                <w:bCs/>
                <w:kern w:val="0"/>
                <w:sz w:val="24"/>
                <w:szCs w:val="24"/>
                <w:highlight w:val="none"/>
              </w:rPr>
              <w:t>绩效评定级别</w:t>
            </w:r>
          </w:p>
        </w:tc>
        <w:tc>
          <w:tcPr>
            <w:tcW w:w="3015" w:type="dxa"/>
            <w:shd w:val="clear" w:color="000000" w:fill="auto"/>
            <w:vAlign w:val="center"/>
          </w:tcPr>
          <w:p>
            <w:pPr>
              <w:widowControl/>
              <w:spacing w:line="560" w:lineRule="exact"/>
              <w:jc w:val="center"/>
              <w:rPr>
                <w:rFonts w:hint="default" w:ascii="仿宋_GB2312" w:hAnsi="仿宋_GB2312" w:eastAsia="宋体" w:cs="仿宋_GB2312"/>
                <w:b/>
                <w:bCs/>
                <w:kern w:val="0"/>
                <w:sz w:val="24"/>
                <w:szCs w:val="24"/>
                <w:highlight w:val="none"/>
                <w:lang w:val="en-US" w:eastAsia="zh-CN"/>
              </w:rPr>
            </w:pPr>
            <w:r>
              <w:rPr>
                <w:rFonts w:hint="eastAsia" w:ascii="仿宋_GB2312" w:hAnsi="仿宋_GB2312" w:cs="仿宋_GB2312"/>
                <w:b/>
                <w:bCs/>
                <w:kern w:val="0"/>
                <w:sz w:val="24"/>
                <w:szCs w:val="24"/>
                <w:highlight w:val="none"/>
                <w:lang w:val="en-US" w:eastAsia="zh-CN"/>
              </w:rPr>
              <w:t>预算资金（万元）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3741"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2021年信息化运维项目</w:t>
            </w:r>
          </w:p>
        </w:tc>
        <w:tc>
          <w:tcPr>
            <w:tcW w:w="1320"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95</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优秀</w:t>
            </w:r>
          </w:p>
        </w:tc>
        <w:tc>
          <w:tcPr>
            <w:tcW w:w="301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741"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2021年办案业务费</w:t>
            </w:r>
          </w:p>
        </w:tc>
        <w:tc>
          <w:tcPr>
            <w:tcW w:w="1320"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86.46</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301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559.80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741"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2021年互联网接入费</w:t>
            </w:r>
          </w:p>
        </w:tc>
        <w:tc>
          <w:tcPr>
            <w:tcW w:w="1320" w:type="dxa"/>
            <w:shd w:val="clear" w:color="000000" w:fill="auto"/>
            <w:vAlign w:val="center"/>
          </w:tcPr>
          <w:p>
            <w:pPr>
              <w:widowControl/>
              <w:spacing w:line="600" w:lineRule="exact"/>
              <w:ind w:firstLine="480" w:firstLineChars="2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92.50</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优秀</w:t>
            </w:r>
          </w:p>
        </w:tc>
        <w:tc>
          <w:tcPr>
            <w:tcW w:w="301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741"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2021年业务装备费</w:t>
            </w:r>
          </w:p>
        </w:tc>
        <w:tc>
          <w:tcPr>
            <w:tcW w:w="1320"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95</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优秀</w:t>
            </w:r>
          </w:p>
        </w:tc>
        <w:tc>
          <w:tcPr>
            <w:tcW w:w="301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741"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2021年</w:t>
            </w:r>
            <w:r>
              <w:rPr>
                <w:rFonts w:hint="eastAsia" w:ascii="仿宋_GB2312" w:hAnsi="宋体" w:eastAsia="仿宋_GB2312" w:cs="宋体"/>
                <w:color w:val="000000"/>
                <w:kern w:val="0"/>
                <w:sz w:val="24"/>
                <w:szCs w:val="24"/>
              </w:rPr>
              <w:t>运维保障工作经费</w:t>
            </w:r>
          </w:p>
        </w:tc>
        <w:tc>
          <w:tcPr>
            <w:tcW w:w="1320" w:type="dxa"/>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95</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rPr>
            </w:pPr>
            <w:r>
              <w:rPr>
                <w:rFonts w:hint="eastAsia" w:ascii="仿宋_GB2312" w:hAnsi="宋体" w:eastAsia="仿宋_GB2312" w:cs="宋体"/>
                <w:color w:val="000000"/>
                <w:kern w:val="0"/>
                <w:sz w:val="24"/>
                <w:szCs w:val="24"/>
                <w:lang w:val="en-US" w:eastAsia="zh-CN"/>
              </w:rPr>
              <w:t>优秀</w:t>
            </w:r>
          </w:p>
        </w:tc>
        <w:tc>
          <w:tcPr>
            <w:tcW w:w="301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136.72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741" w:type="dxa"/>
            <w:shd w:val="clear" w:color="000000" w:fill="auto"/>
            <w:vAlign w:val="center"/>
          </w:tcPr>
          <w:p>
            <w:pPr>
              <w:widowControl/>
              <w:spacing w:line="600" w:lineRule="exact"/>
              <w:ind w:firstLine="480" w:firstLineChars="2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2021年囚车更新</w:t>
            </w:r>
          </w:p>
        </w:tc>
        <w:tc>
          <w:tcPr>
            <w:tcW w:w="1320" w:type="dxa"/>
            <w:shd w:val="clear" w:color="000000" w:fill="auto"/>
            <w:vAlign w:val="center"/>
          </w:tcPr>
          <w:p>
            <w:pPr>
              <w:widowControl/>
              <w:spacing w:line="600" w:lineRule="exact"/>
              <w:ind w:firstLine="480" w:firstLineChars="2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94.80</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优秀</w:t>
            </w:r>
          </w:p>
        </w:tc>
        <w:tc>
          <w:tcPr>
            <w:tcW w:w="3015" w:type="dxa"/>
            <w:shd w:val="clear" w:color="000000" w:fill="auto"/>
            <w:vAlign w:val="center"/>
          </w:tcPr>
          <w:p>
            <w:pPr>
              <w:widowControl/>
              <w:spacing w:line="600" w:lineRule="exact"/>
              <w:ind w:firstLine="480" w:firstLineChars="200"/>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3741" w:type="dxa"/>
            <w:shd w:val="clear" w:color="000000" w:fill="auto"/>
            <w:vAlign w:val="center"/>
          </w:tcPr>
          <w:p>
            <w:pPr>
              <w:widowControl/>
              <w:spacing w:line="600" w:lineRule="exact"/>
              <w:ind w:firstLine="480" w:firstLineChars="2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2021年区级专项资金</w:t>
            </w:r>
          </w:p>
        </w:tc>
        <w:tc>
          <w:tcPr>
            <w:tcW w:w="1320" w:type="dxa"/>
            <w:shd w:val="clear" w:color="000000" w:fill="auto"/>
            <w:vAlign w:val="center"/>
          </w:tcPr>
          <w:p>
            <w:pPr>
              <w:widowControl/>
              <w:spacing w:line="600" w:lineRule="exact"/>
              <w:ind w:firstLine="480" w:firstLineChars="200"/>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highlight w:val="none"/>
                <w:lang w:val="en-US" w:eastAsia="zh-CN"/>
              </w:rPr>
              <w:t>86.36</w:t>
            </w:r>
          </w:p>
        </w:tc>
        <w:tc>
          <w:tcPr>
            <w:tcW w:w="1875" w:type="dxa"/>
            <w:shd w:val="clear" w:color="000000" w:fill="auto"/>
            <w:vAlign w:val="center"/>
          </w:tcPr>
          <w:p>
            <w:pPr>
              <w:widowControl/>
              <w:spacing w:line="600" w:lineRule="exact"/>
              <w:ind w:firstLine="480" w:firstLineChars="200"/>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良</w:t>
            </w:r>
          </w:p>
        </w:tc>
        <w:tc>
          <w:tcPr>
            <w:tcW w:w="3015" w:type="dxa"/>
            <w:shd w:val="clear" w:color="000000" w:fill="auto"/>
            <w:vAlign w:val="center"/>
          </w:tcPr>
          <w:p>
            <w:pPr>
              <w:widowControl/>
              <w:spacing w:line="600" w:lineRule="exact"/>
              <w:ind w:firstLine="480" w:firstLineChars="200"/>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5061" w:type="dxa"/>
            <w:gridSpan w:val="2"/>
            <w:shd w:val="clear" w:color="000000" w:fill="auto"/>
            <w:vAlign w:val="center"/>
          </w:tcPr>
          <w:p>
            <w:pPr>
              <w:widowControl/>
              <w:spacing w:line="600" w:lineRule="exact"/>
              <w:ind w:firstLine="480" w:firstLineChars="200"/>
              <w:jc w:val="both"/>
              <w:rPr>
                <w:rFonts w:hint="eastAsia" w:ascii="仿宋_GB2312" w:hAnsi="宋体" w:eastAsia="仿宋_GB2312" w:cs="宋体"/>
                <w:color w:val="000000"/>
                <w:kern w:val="0"/>
                <w:sz w:val="24"/>
                <w:szCs w:val="24"/>
                <w:lang w:val="en-US" w:eastAsia="zh-CN"/>
              </w:rPr>
            </w:pPr>
            <w:r>
              <w:rPr>
                <w:rFonts w:hint="eastAsia" w:ascii="仿宋_GB2312" w:hAnsi="仿宋_GB2312" w:cs="仿宋_GB2312"/>
                <w:b/>
                <w:bCs/>
                <w:kern w:val="0"/>
                <w:sz w:val="24"/>
                <w:szCs w:val="24"/>
                <w:highlight w:val="none"/>
                <w:lang w:val="en-US" w:eastAsia="zh-CN"/>
              </w:rPr>
              <w:t>合计</w:t>
            </w:r>
          </w:p>
        </w:tc>
        <w:tc>
          <w:tcPr>
            <w:tcW w:w="1875" w:type="dxa"/>
            <w:shd w:val="clear" w:color="000000" w:fill="auto"/>
            <w:vAlign w:val="center"/>
          </w:tcPr>
          <w:p>
            <w:pPr>
              <w:widowControl/>
              <w:spacing w:line="600" w:lineRule="exact"/>
              <w:ind w:firstLine="480" w:firstLineChars="200"/>
              <w:jc w:val="center"/>
              <w:rPr>
                <w:rFonts w:hint="eastAsia" w:ascii="仿宋_GB2312" w:hAnsi="宋体" w:eastAsia="仿宋_GB2312" w:cs="宋体"/>
                <w:color w:val="000000"/>
                <w:kern w:val="0"/>
                <w:sz w:val="24"/>
                <w:szCs w:val="24"/>
                <w:lang w:val="en-US" w:eastAsia="zh-CN"/>
              </w:rPr>
            </w:pPr>
          </w:p>
        </w:tc>
        <w:tc>
          <w:tcPr>
            <w:tcW w:w="3015" w:type="dxa"/>
            <w:shd w:val="clear" w:color="000000" w:fill="auto"/>
            <w:vAlign w:val="center"/>
          </w:tcPr>
          <w:p>
            <w:pPr>
              <w:widowControl/>
              <w:spacing w:line="600" w:lineRule="exact"/>
              <w:ind w:firstLine="480" w:firstLineChars="200"/>
              <w:jc w:val="center"/>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865.22</w:t>
            </w:r>
          </w:p>
        </w:tc>
      </w:tr>
    </w:tbl>
    <w:p>
      <w:pPr>
        <w:pStyle w:val="2"/>
        <w:rPr>
          <w:rFonts w:hint="eastAsia"/>
        </w:rPr>
      </w:pP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自评认为：本单位2021年度预算项目的实施总体良好，但还存在：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1）绩效目标和绩效指标设置不够合理，较为笼统，可操作性不强。项目总体绩效目标实际设定为项目的实施内容；部分项目的产出指标与项目内容对应性不强，不能全面反映项目年度总体工作部署、工作计划和工作实施方案内容，如信息化运维及业务装备费项目的数量指标未体现具体服务工作内容；另部分项目效益指标缺少定性和定量并结合项目实际进行工作内容关联等，可衡量性不强，不利于后期监管、考核评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2）个别项目预算编制不够精确，预决算存在一定误差，年初预算编制时未充分结合项目安排情况及项目资金的支出计划，如区级专项资金项目，年初预算为80.00万元，本年实际收入为10.90万元。另个别项目在预算编制不够合理，预算与实际支出内容不匹配，但未进行绩效指标和预算内容调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3）部分项目效益资料归集不充分。缺少效益资料，不能充分体现通州院履行部门职能和工作职责、提高检察机关司法公信力、扩大检察机关在社会的影响力、高检察机关规范化管理水平、提高人民满意程度、加强检察队伍的培训，促进政法队伍建设革命化、正规化、专业化、职业化水平，提高人民对检察队伍的认同度的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rPr>
      </w:pPr>
      <w:r>
        <w:rPr>
          <w:rFonts w:hint="eastAsia" w:ascii="仿宋_GB2312" w:hAnsi="仿宋_GB2312" w:eastAsia="仿宋_GB2312" w:cs="仿宋_GB2312"/>
          <w:sz w:val="28"/>
          <w:szCs w:val="28"/>
          <w:lang w:val="en-US" w:eastAsia="zh-CN"/>
        </w:rPr>
        <w:t xml:space="preserve">    （4）部分项目开展服务对象或对社会公众开展满意度调查，资料支撑性不足，满意度程度不能充分体现。</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六、</w:t>
      </w:r>
      <w:r>
        <w:rPr>
          <w:rFonts w:hint="eastAsia" w:ascii="仿宋_GB2312" w:hAnsi="仿宋_GB2312" w:eastAsia="仿宋_GB2312" w:cs="仿宋_GB2312"/>
          <w:color w:val="000000"/>
          <w:kern w:val="0"/>
          <w:sz w:val="28"/>
          <w:szCs w:val="28"/>
        </w:rPr>
        <w:t>措施建议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（1）注重提高绩效目标表的可考量性。根据项目的实际情况，明确的数量指标、质量指标、进度指标、满意度指标，以便于项目管理与绩效考核。</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2）合理设置绩效指标，增强指标可考核性。完善绩效指标内容，根据绩效目标、工作计划和工作服务内容设置明确的数量指标；细化进度指标的各阶段任务和时间节点；明确质量指标标准要求；效益指标建议完善通过项目实施，提高检察工作、办案数量、质量，系统资源使用效果等方面指标内容；开展服务对象满意度调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8"/>
          <w:szCs w:val="28"/>
          <w:lang w:val="en-US" w:eastAsia="zh-CN"/>
        </w:rPr>
        <w:t xml:space="preserve">    （3）根据项目实际需求科学编制项目预算，进行充分前期调研和进行可行性分析，合理界定拟实施项目的工作需求、工作量和工作内容等，明确预算测算过程及测算依据，提升项目预算资金申请的合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理性及资金使用的合规性。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4）合理编制全面的项目实施方案，在整体实施方案中补充完善项目的实施流程及具体安排、成本控制措施、突发情况的应急预案等内容，提高实施方案的完整性，保证实施方案的有效性。同时，要进一步加强项目执行中的过程化管理，如定期开展考核、定期提供运维报告等，建议对运维过程中的记录进行分类分析，为后期经费预算提供指导。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sz w:val="28"/>
          <w:szCs w:val="28"/>
          <w:lang w:val="en-US" w:eastAsia="zh-CN"/>
        </w:rPr>
        <w:t xml:space="preserve">    （5）进一步提高绩效呈现的水平，注意绩效资料的收集和整理，建议进一步提高绩效呈现的水平，绩效呈现应涵盖年度工作任务。同时在项目实施过程中应注意资料的收集和档案整理，以便于对该项目财政资金的经济性、效率性和效果性进行绩效分析。另外，在服务对象满意度调查的基础上还应进行满意度调查结果分析，了解相关服务对象的满意度情况，能够为项目的进一步完善与改进提供方向。</w:t>
      </w:r>
      <w:r>
        <w:rPr>
          <w:rFonts w:hint="eastAsia" w:ascii="仿宋_GB2312" w:hAnsi="仿宋_GB2312" w:eastAsia="仿宋_GB2312" w:cs="仿宋_GB2312"/>
          <w:color w:val="000000"/>
          <w:kern w:val="0"/>
          <w:sz w:val="32"/>
          <w:szCs w:val="32"/>
          <w:lang w:val="en-US" w:eastAsia="zh-CN"/>
        </w:rPr>
        <w:t xml:space="preserve"> </w:t>
      </w:r>
    </w:p>
    <w:p>
      <w:pPr>
        <w:sectPr>
          <w:pgSz w:w="11906" w:h="16838"/>
          <w:pgMar w:top="1440" w:right="1800" w:bottom="1440" w:left="1800" w:header="851" w:footer="992" w:gutter="0"/>
          <w:cols w:space="425" w:num="1"/>
          <w:docGrid w:type="lines" w:linePitch="312" w:charSpace="0"/>
        </w:sectPr>
      </w:pPr>
    </w:p>
    <w:p/>
    <w:tbl>
      <w:tblPr>
        <w:tblStyle w:val="6"/>
        <w:tblW w:w="14174" w:type="dxa"/>
        <w:tblInd w:w="0" w:type="dxa"/>
        <w:tblLayout w:type="fixed"/>
        <w:tblCellMar>
          <w:top w:w="0" w:type="dxa"/>
          <w:left w:w="108" w:type="dxa"/>
          <w:bottom w:w="0" w:type="dxa"/>
          <w:right w:w="108" w:type="dxa"/>
        </w:tblCellMar>
      </w:tblPr>
      <w:tblGrid>
        <w:gridCol w:w="648"/>
        <w:gridCol w:w="685"/>
        <w:gridCol w:w="1134"/>
        <w:gridCol w:w="1353"/>
        <w:gridCol w:w="818"/>
        <w:gridCol w:w="600"/>
        <w:gridCol w:w="818"/>
        <w:gridCol w:w="3633"/>
        <w:gridCol w:w="4485"/>
      </w:tblGrid>
      <w:tr>
        <w:tblPrEx>
          <w:tblLayout w:type="fixed"/>
          <w:tblCellMar>
            <w:top w:w="0" w:type="dxa"/>
            <w:left w:w="108" w:type="dxa"/>
            <w:bottom w:w="0" w:type="dxa"/>
            <w:right w:w="108" w:type="dxa"/>
          </w:tblCellMar>
        </w:tblPrEx>
        <w:trPr>
          <w:trHeight w:val="499" w:hRule="atLeast"/>
        </w:trPr>
        <w:tc>
          <w:tcPr>
            <w:tcW w:w="14174" w:type="dxa"/>
            <w:gridSpan w:val="9"/>
            <w:tcBorders>
              <w:top w:val="nil"/>
              <w:left w:val="nil"/>
              <w:bottom w:val="single" w:color="auto" w:sz="4" w:space="0"/>
              <w:right w:val="nil"/>
            </w:tcBorders>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2021年部门整体绩效评价指标体系评分表</w:t>
            </w:r>
          </w:p>
        </w:tc>
      </w:tr>
      <w:tr>
        <w:tblPrEx>
          <w:tblLayout w:type="fixed"/>
          <w:tblCellMar>
            <w:top w:w="0" w:type="dxa"/>
            <w:left w:w="108" w:type="dxa"/>
            <w:bottom w:w="0" w:type="dxa"/>
            <w:right w:w="108" w:type="dxa"/>
          </w:tblCellMar>
        </w:tblPrEx>
        <w:trPr>
          <w:trHeight w:val="470" w:hRule="atLeast"/>
        </w:trPr>
        <w:tc>
          <w:tcPr>
            <w:tcW w:w="14174" w:type="dxa"/>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Layout w:type="fixed"/>
          <w:tblCellMar>
            <w:top w:w="0" w:type="dxa"/>
            <w:left w:w="108" w:type="dxa"/>
            <w:bottom w:w="0" w:type="dxa"/>
            <w:right w:w="108" w:type="dxa"/>
          </w:tblCellMar>
        </w:tblPrEx>
        <w:trPr>
          <w:trHeight w:val="660"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6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13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36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448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Layout w:type="fixed"/>
          <w:tblCellMar>
            <w:top w:w="0" w:type="dxa"/>
            <w:left w:w="108" w:type="dxa"/>
            <w:bottom w:w="0" w:type="dxa"/>
            <w:right w:w="108" w:type="dxa"/>
          </w:tblCellMar>
        </w:tblPrEx>
        <w:trPr>
          <w:trHeight w:val="630" w:hRule="atLeast"/>
        </w:trPr>
        <w:tc>
          <w:tcPr>
            <w:tcW w:w="648"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6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1134" w:type="dxa"/>
            <w:tcBorders>
              <w:top w:val="single" w:color="auto" w:sz="4" w:space="0"/>
              <w:left w:val="single" w:color="auto" w:sz="4" w:space="0"/>
              <w:bottom w:val="single" w:color="auto" w:sz="4" w:space="0"/>
              <w:right w:val="single" w:color="auto" w:sz="4" w:space="0"/>
            </w:tcBorders>
            <w:textDirection w:val="lrTb"/>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8281.13</w:t>
            </w:r>
            <w:r>
              <w:rPr>
                <w:rFonts w:hint="eastAsia" w:ascii="宋体" w:hAnsi="宋体" w:cs="宋体"/>
                <w:color w:val="000000"/>
                <w:kern w:val="0"/>
                <w:sz w:val="20"/>
                <w:szCs w:val="20"/>
                <w:highlight w:val="none"/>
              </w:rPr>
              <w:t>　</w:t>
            </w:r>
          </w:p>
        </w:tc>
        <w:tc>
          <w:tcPr>
            <w:tcW w:w="13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highlight w:val="none"/>
                <w:lang w:val="en-US" w:eastAsia="zh-CN"/>
              </w:rPr>
              <w:t>8107.86</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highlight w:val="none"/>
              </w:rPr>
              <w:t>9</w:t>
            </w:r>
            <w:r>
              <w:rPr>
                <w:rFonts w:hint="eastAsia" w:ascii="宋体" w:hAnsi="宋体" w:cs="宋体"/>
                <w:color w:val="000000"/>
                <w:kern w:val="0"/>
                <w:sz w:val="20"/>
                <w:szCs w:val="20"/>
                <w:highlight w:val="none"/>
                <w:lang w:val="en-US" w:eastAsia="zh-CN"/>
              </w:rPr>
              <w:t>7</w:t>
            </w:r>
            <w:r>
              <w:rPr>
                <w:rFonts w:hint="eastAsia" w:ascii="宋体" w:hAnsi="宋体" w:cs="宋体"/>
                <w:color w:val="000000"/>
                <w:kern w:val="0"/>
                <w:sz w:val="20"/>
                <w:szCs w:val="20"/>
                <w:highlight w:val="none"/>
              </w:rPr>
              <w:t>.</w:t>
            </w:r>
            <w:r>
              <w:rPr>
                <w:rFonts w:hint="eastAsia" w:ascii="宋体" w:hAnsi="宋体" w:cs="宋体"/>
                <w:color w:val="000000"/>
                <w:kern w:val="0"/>
                <w:sz w:val="20"/>
                <w:szCs w:val="20"/>
                <w:highlight w:val="none"/>
                <w:lang w:val="en-US" w:eastAsia="zh-CN"/>
              </w:rPr>
              <w:t>91</w:t>
            </w:r>
            <w:r>
              <w:rPr>
                <w:rFonts w:hint="eastAsia" w:ascii="宋体" w:hAnsi="宋体" w:cs="宋体"/>
                <w:color w:val="000000"/>
                <w:kern w:val="0"/>
                <w:sz w:val="20"/>
                <w:szCs w:val="20"/>
                <w:highlight w:val="none"/>
              </w:rPr>
              <w:t>%</w:t>
            </w:r>
            <w:r>
              <w:rPr>
                <w:rFonts w:hint="eastAsia" w:ascii="宋体" w:hAnsi="宋体" w:cs="宋体"/>
                <w:color w:val="000000"/>
                <w:kern w:val="0"/>
                <w:sz w:val="20"/>
                <w:szCs w:val="20"/>
              </w:rPr>
              <w:t>　</w:t>
            </w:r>
          </w:p>
        </w:tc>
        <w:tc>
          <w:tcPr>
            <w:tcW w:w="6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r>
              <w:rPr>
                <w:rFonts w:hint="eastAsia" w:ascii="宋体" w:hAnsi="宋体" w:cs="宋体"/>
                <w:color w:val="000000"/>
                <w:kern w:val="0"/>
                <w:sz w:val="20"/>
                <w:szCs w:val="20"/>
                <w:lang w:val="en-US" w:eastAsia="zh-CN"/>
              </w:rPr>
              <w:t>19.58</w:t>
            </w:r>
            <w:r>
              <w:rPr>
                <w:rFonts w:hint="eastAsia" w:ascii="宋体" w:hAnsi="宋体" w:cs="宋体"/>
                <w:color w:val="000000"/>
                <w:kern w:val="0"/>
                <w:sz w:val="20"/>
                <w:szCs w:val="20"/>
              </w:rPr>
              <w:t xml:space="preserve"> 　</w:t>
            </w:r>
          </w:p>
        </w:tc>
        <w:tc>
          <w:tcPr>
            <w:tcW w:w="363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4485"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Layout w:type="fixed"/>
          <w:tblCellMar>
            <w:top w:w="0" w:type="dxa"/>
            <w:left w:w="108" w:type="dxa"/>
            <w:bottom w:w="0" w:type="dxa"/>
            <w:right w:w="108" w:type="dxa"/>
          </w:tblCellMar>
        </w:tblPrEx>
        <w:trPr>
          <w:trHeight w:val="600"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85"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1134" w:type="dxa"/>
            <w:tcBorders>
              <w:top w:val="single" w:color="auto" w:sz="4" w:space="0"/>
              <w:left w:val="single" w:color="auto" w:sz="4" w:space="0"/>
              <w:bottom w:val="single" w:color="auto" w:sz="4" w:space="0"/>
              <w:right w:val="single" w:color="auto" w:sz="4" w:space="0"/>
            </w:tcBorders>
            <w:textDirection w:val="lrTb"/>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7545.13</w:t>
            </w:r>
            <w:r>
              <w:rPr>
                <w:rFonts w:hint="eastAsia" w:ascii="宋体" w:hAnsi="宋体" w:cs="宋体"/>
                <w:color w:val="000000"/>
                <w:kern w:val="0"/>
                <w:sz w:val="20"/>
                <w:szCs w:val="20"/>
                <w:highlight w:val="none"/>
              </w:rPr>
              <w:t>　</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7375.38</w:t>
            </w:r>
          </w:p>
        </w:tc>
        <w:tc>
          <w:tcPr>
            <w:tcW w:w="8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highlight w:val="none"/>
              </w:rPr>
              <w:t>——</w:t>
            </w: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1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36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15"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85"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1134" w:type="dxa"/>
            <w:tcBorders>
              <w:top w:val="single" w:color="auto" w:sz="4" w:space="0"/>
              <w:left w:val="single" w:color="auto" w:sz="4" w:space="0"/>
              <w:bottom w:val="single" w:color="auto" w:sz="4" w:space="0"/>
              <w:right w:val="single" w:color="auto" w:sz="4" w:space="0"/>
            </w:tcBorders>
            <w:textDirection w:val="lrTb"/>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rPr>
              <w:t>　</w:t>
            </w:r>
            <w:r>
              <w:rPr>
                <w:rFonts w:hint="eastAsia" w:ascii="宋体" w:hAnsi="宋体" w:cs="宋体"/>
                <w:color w:val="000000"/>
                <w:kern w:val="0"/>
                <w:sz w:val="20"/>
                <w:szCs w:val="20"/>
                <w:highlight w:val="none"/>
                <w:lang w:val="en-US" w:eastAsia="zh-CN"/>
              </w:rPr>
              <w:t>736.00</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 xml:space="preserve">  732.48</w:t>
            </w:r>
          </w:p>
        </w:tc>
        <w:tc>
          <w:tcPr>
            <w:tcW w:w="8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1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36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2136" w:hRule="atLeast"/>
        </w:trPr>
        <w:tc>
          <w:tcPr>
            <w:tcW w:w="64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0.00</w:t>
            </w:r>
            <w:r>
              <w:rPr>
                <w:rFonts w:hint="eastAsia" w:ascii="宋体" w:hAnsi="宋体" w:cs="宋体"/>
                <w:color w:val="000000"/>
                <w:kern w:val="0"/>
                <w:sz w:val="20"/>
                <w:szCs w:val="20"/>
                <w:highlight w:val="none"/>
              </w:rPr>
              <w:t>　</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0.00</w:t>
            </w:r>
            <w:r>
              <w:rPr>
                <w:rFonts w:hint="eastAsia" w:ascii="宋体" w:hAnsi="宋体" w:cs="宋体"/>
                <w:color w:val="000000"/>
                <w:kern w:val="0"/>
                <w:sz w:val="20"/>
                <w:szCs w:val="20"/>
              </w:rPr>
              <w:t>　</w:t>
            </w:r>
          </w:p>
        </w:tc>
        <w:tc>
          <w:tcPr>
            <w:tcW w:w="8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1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36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569" w:hRule="atLeast"/>
        </w:trPr>
        <w:tc>
          <w:tcPr>
            <w:tcW w:w="14174" w:type="dxa"/>
            <w:gridSpan w:val="9"/>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Layout w:type="fixed"/>
          <w:tblCellMar>
            <w:top w:w="0" w:type="dxa"/>
            <w:left w:w="108" w:type="dxa"/>
            <w:bottom w:w="0" w:type="dxa"/>
            <w:right w:w="108" w:type="dxa"/>
          </w:tblCellMar>
        </w:tblPrEx>
        <w:trPr>
          <w:trHeight w:val="499"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68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81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1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36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4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bl>
    <w:p/>
    <w:tbl>
      <w:tblPr>
        <w:tblStyle w:val="6"/>
        <w:tblW w:w="14174" w:type="dxa"/>
        <w:tblInd w:w="0" w:type="dxa"/>
        <w:tblLayout w:type="fixed"/>
        <w:tblCellMar>
          <w:top w:w="0" w:type="dxa"/>
          <w:left w:w="108" w:type="dxa"/>
          <w:bottom w:w="0" w:type="dxa"/>
          <w:right w:w="108" w:type="dxa"/>
        </w:tblCellMar>
      </w:tblPr>
      <w:tblGrid>
        <w:gridCol w:w="648"/>
        <w:gridCol w:w="807"/>
        <w:gridCol w:w="1012"/>
        <w:gridCol w:w="1353"/>
        <w:gridCol w:w="2302"/>
        <w:gridCol w:w="545"/>
        <w:gridCol w:w="750"/>
        <w:gridCol w:w="2272"/>
        <w:gridCol w:w="4485"/>
      </w:tblGrid>
      <w:tr>
        <w:tblPrEx>
          <w:tblLayout w:type="fixed"/>
          <w:tblCellMar>
            <w:top w:w="0" w:type="dxa"/>
            <w:left w:w="108" w:type="dxa"/>
            <w:bottom w:w="0" w:type="dxa"/>
            <w:right w:w="108" w:type="dxa"/>
          </w:tblCellMar>
        </w:tblPrEx>
        <w:trPr>
          <w:trHeight w:val="2590" w:hRule="atLeast"/>
        </w:trPr>
        <w:tc>
          <w:tcPr>
            <w:tcW w:w="64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807" w:type="dxa"/>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产出数量</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计划完成运维保障工作经费、业务装备费、互联网接入费、信息化运维费、办案业务费、囚车更新及区级专项资金七个项目</w:t>
            </w:r>
          </w:p>
          <w:p>
            <w:pPr>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已按照年初计划完成相应项目任务数。计划完成率达到100.00%，</w:t>
            </w:r>
          </w:p>
          <w:p>
            <w:pPr>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45"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p>
            <w:pPr>
              <w:jc w:val="both"/>
              <w:rPr>
                <w:rFonts w:ascii="宋体" w:hAnsi="宋体" w:cs="宋体"/>
                <w:color w:val="000000"/>
                <w:kern w:val="0"/>
                <w:sz w:val="20"/>
                <w:szCs w:val="20"/>
                <w:highlight w:val="none"/>
              </w:rPr>
            </w:pPr>
          </w:p>
        </w:tc>
        <w:tc>
          <w:tcPr>
            <w:tcW w:w="750" w:type="dxa"/>
            <w:tcBorders>
              <w:top w:val="single" w:color="auto" w:sz="4" w:space="0"/>
              <w:left w:val="nil"/>
              <w:bottom w:val="single" w:color="auto" w:sz="4" w:space="0"/>
              <w:right w:val="nil"/>
            </w:tcBorders>
            <w:vAlign w:val="center"/>
          </w:tcPr>
          <w:p>
            <w:pPr>
              <w:widowControl/>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p>
            <w:pPr>
              <w:jc w:val="both"/>
              <w:rPr>
                <w:rFonts w:ascii="宋体" w:hAnsi="宋体" w:cs="宋体"/>
                <w:color w:val="000000"/>
                <w:kern w:val="0"/>
                <w:sz w:val="20"/>
                <w:szCs w:val="20"/>
              </w:rPr>
            </w:pPr>
          </w:p>
        </w:tc>
        <w:tc>
          <w:tcPr>
            <w:tcW w:w="2272"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4485"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Layout w:type="fixed"/>
          <w:tblCellMar>
            <w:top w:w="0" w:type="dxa"/>
            <w:left w:w="108" w:type="dxa"/>
            <w:bottom w:w="0" w:type="dxa"/>
            <w:right w:w="108" w:type="dxa"/>
          </w:tblCellMar>
        </w:tblPrEx>
        <w:trPr>
          <w:trHeight w:val="1130" w:hRule="atLeast"/>
        </w:trPr>
        <w:tc>
          <w:tcPr>
            <w:tcW w:w="6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产出质量</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运维保障工作经费、业务装备费、互联网接入费、信息化运维费、办案业务费、囚车更新及区级专项资金七个项目质量达标。</w:t>
            </w:r>
            <w:r>
              <w:rPr>
                <w:rFonts w:hint="eastAsia" w:ascii="宋体" w:hAnsi="宋体" w:cs="宋体"/>
                <w:color w:val="000000"/>
                <w:kern w:val="0"/>
                <w:sz w:val="20"/>
                <w:szCs w:val="20"/>
              </w:rPr>
              <w:t>　</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项目总体质量达标率达到100%</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highlight w:val="none"/>
                <w:lang w:val="en-US" w:eastAsia="zh-CN"/>
              </w:rPr>
              <w:t>10</w:t>
            </w:r>
          </w:p>
        </w:tc>
        <w:tc>
          <w:tcPr>
            <w:tcW w:w="22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1258" w:hRule="atLeast"/>
        </w:trPr>
        <w:tc>
          <w:tcPr>
            <w:tcW w:w="6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12"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产出进度</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在2021年度完成相应任务</w:t>
            </w:r>
            <w:r>
              <w:rPr>
                <w:rFonts w:hint="eastAsia" w:ascii="宋体" w:hAnsi="宋体" w:cs="宋体"/>
                <w:color w:val="000000"/>
                <w:kern w:val="0"/>
                <w:sz w:val="20"/>
                <w:szCs w:val="20"/>
              </w:rPr>
              <w:t>　</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项目按时完成率达到100%</w:t>
            </w:r>
            <w:r>
              <w:rPr>
                <w:rFonts w:hint="eastAsia" w:ascii="宋体" w:hAnsi="宋体" w:cs="宋体"/>
                <w:color w:val="000000"/>
                <w:kern w:val="0"/>
                <w:sz w:val="20"/>
                <w:szCs w:val="20"/>
              </w:rPr>
              <w:t>　</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750" w:type="dxa"/>
            <w:tcBorders>
              <w:top w:val="single" w:color="auto" w:sz="4" w:space="0"/>
              <w:left w:val="nil"/>
              <w:bottom w:val="single" w:color="auto" w:sz="4" w:space="0"/>
              <w:right w:val="nil"/>
            </w:tcBorders>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5</w:t>
            </w:r>
          </w:p>
        </w:tc>
        <w:tc>
          <w:tcPr>
            <w:tcW w:w="22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975" w:hRule="atLeast"/>
        </w:trPr>
        <w:tc>
          <w:tcPr>
            <w:tcW w:w="648"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12" w:type="dxa"/>
            <w:tcBorders>
              <w:top w:val="single" w:color="auto" w:sz="4" w:space="0"/>
              <w:left w:val="nil"/>
              <w:bottom w:val="single" w:color="auto" w:sz="4" w:space="0"/>
              <w:right w:val="single" w:color="auto" w:sz="4" w:space="0"/>
            </w:tcBorders>
            <w:vAlign w:val="center"/>
          </w:tcPr>
          <w:p>
            <w:pPr>
              <w:widowControl/>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产出成本</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在年初预算控制内</w:t>
            </w:r>
            <w:r>
              <w:rPr>
                <w:rFonts w:hint="eastAsia" w:ascii="宋体" w:hAnsi="宋体" w:cs="宋体"/>
                <w:color w:val="000000"/>
                <w:kern w:val="0"/>
                <w:sz w:val="20"/>
                <w:szCs w:val="20"/>
              </w:rPr>
              <w:t>　</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865.22万元</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5</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highlight w:val="none"/>
                <w:lang w:val="en-US" w:eastAsia="zh-CN"/>
              </w:rPr>
              <w:t>5</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1493" w:hRule="atLeast"/>
        </w:trPr>
        <w:tc>
          <w:tcPr>
            <w:tcW w:w="6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1012"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社会效益</w:t>
            </w:r>
          </w:p>
        </w:tc>
        <w:tc>
          <w:tcPr>
            <w:tcW w:w="1353"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随着项目实施，保障单位内部各方面设施运转的安全性、连续性和稳定性。　</w:t>
            </w:r>
          </w:p>
        </w:tc>
        <w:tc>
          <w:tcPr>
            <w:tcW w:w="23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通州检察院通过项目的实施，更好地发挥了检察职能，贯彻落实中共中央“全面推进依法治国”决定，营造了公正、高效、权威的法治环境，为构建和谐社会提供有力的司法保障，更好地适应了和谐社会建设的新要求，并为维护国家和地区的长治久安、保障人民安居乐业提供强有力的支撑和保障。</w:t>
            </w:r>
            <w:r>
              <w:rPr>
                <w:rFonts w:hint="eastAsia" w:ascii="宋体" w:hAnsi="宋体" w:cs="宋体"/>
                <w:color w:val="000000"/>
                <w:kern w:val="0"/>
                <w:sz w:val="20"/>
                <w:szCs w:val="20"/>
                <w:lang w:val="en-US" w:eastAsia="zh-CN"/>
              </w:rPr>
              <w:t>但绩效成果归集总结不完善，现有成果资料不能充分的体现该项目的绩效</w:t>
            </w:r>
            <w:r>
              <w:rPr>
                <w:rFonts w:hint="eastAsia" w:ascii="宋体" w:hAnsi="宋体" w:cs="宋体"/>
                <w:color w:val="000000"/>
                <w:kern w:val="0"/>
                <w:sz w:val="20"/>
                <w:szCs w:val="20"/>
              </w:rPr>
              <w:t>　</w:t>
            </w:r>
          </w:p>
        </w:tc>
        <w:tc>
          <w:tcPr>
            <w:tcW w:w="545"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15</w:t>
            </w:r>
          </w:p>
        </w:tc>
        <w:tc>
          <w:tcPr>
            <w:tcW w:w="750"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12</w:t>
            </w:r>
            <w:r>
              <w:rPr>
                <w:rFonts w:hint="eastAsia" w:ascii="宋体" w:hAnsi="宋体" w:cs="宋体"/>
                <w:color w:val="000000"/>
                <w:kern w:val="0"/>
                <w:sz w:val="20"/>
                <w:szCs w:val="20"/>
              </w:rPr>
              <w:t>　</w:t>
            </w:r>
          </w:p>
        </w:tc>
        <w:tc>
          <w:tcPr>
            <w:tcW w:w="2272"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4485"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Layout w:type="fixed"/>
          <w:tblCellMar>
            <w:top w:w="0" w:type="dxa"/>
            <w:left w:w="108" w:type="dxa"/>
            <w:bottom w:w="0" w:type="dxa"/>
            <w:right w:w="108" w:type="dxa"/>
          </w:tblCellMar>
        </w:tblPrEx>
        <w:trPr>
          <w:trHeight w:val="675" w:hRule="atLeast"/>
        </w:trPr>
        <w:tc>
          <w:tcPr>
            <w:tcW w:w="6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12" w:type="dxa"/>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lang w:val="en-US" w:eastAsia="zh-CN"/>
              </w:rPr>
              <w:t>服务对象满意度</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对于项目实施的受益部门及人员的满意度达到95%。</w:t>
            </w:r>
            <w:r>
              <w:rPr>
                <w:rFonts w:hint="eastAsia" w:ascii="宋体" w:hAnsi="宋体" w:cs="宋体"/>
                <w:color w:val="000000"/>
                <w:kern w:val="0"/>
                <w:sz w:val="20"/>
                <w:szCs w:val="20"/>
              </w:rPr>
              <w:t>　</w:t>
            </w:r>
          </w:p>
        </w:tc>
        <w:tc>
          <w:tcPr>
            <w:tcW w:w="2302" w:type="dxa"/>
            <w:tcBorders>
              <w:top w:val="single" w:color="auto" w:sz="4" w:space="0"/>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全院干警满意度较为满意，项目期间内无相关投诉现象，但</w:t>
            </w:r>
            <w:r>
              <w:rPr>
                <w:rFonts w:hint="eastAsia" w:ascii="宋体" w:hAnsi="宋体" w:eastAsia="宋体" w:cs="宋体"/>
                <w:color w:val="000000"/>
                <w:kern w:val="0"/>
                <w:sz w:val="20"/>
                <w:szCs w:val="20"/>
                <w:lang w:val="en-US" w:eastAsia="zh-CN"/>
              </w:rPr>
              <w:t>缺少对</w:t>
            </w:r>
            <w:r>
              <w:rPr>
                <w:rFonts w:hint="eastAsia" w:ascii="宋体" w:hAnsi="宋体" w:cs="宋体"/>
                <w:color w:val="000000"/>
                <w:kern w:val="0"/>
                <w:sz w:val="20"/>
                <w:szCs w:val="20"/>
                <w:lang w:val="en-US" w:eastAsia="zh-CN"/>
              </w:rPr>
              <w:t>社会公众及项目涉及人员</w:t>
            </w:r>
            <w:r>
              <w:rPr>
                <w:rFonts w:hint="eastAsia" w:ascii="宋体" w:hAnsi="宋体" w:eastAsia="宋体" w:cs="宋体"/>
                <w:color w:val="000000"/>
                <w:kern w:val="0"/>
                <w:sz w:val="20"/>
                <w:szCs w:val="20"/>
                <w:lang w:val="en-US" w:eastAsia="zh-CN"/>
              </w:rPr>
              <w:t>的满意度调查取样，缺少相关资料的归集。</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highlight w:val="none"/>
                <w:lang w:val="en-US" w:eastAsia="zh-CN"/>
              </w:rPr>
              <w:t>15</w:t>
            </w:r>
          </w:p>
        </w:tc>
        <w:tc>
          <w:tcPr>
            <w:tcW w:w="750" w:type="dxa"/>
            <w:tcBorders>
              <w:top w:val="single" w:color="auto" w:sz="4" w:space="0"/>
              <w:left w:val="nil"/>
              <w:bottom w:val="single" w:color="auto" w:sz="4" w:space="0"/>
              <w:right w:val="nil"/>
            </w:tcBorders>
            <w:vAlign w:val="center"/>
          </w:tcPr>
          <w:p>
            <w:pPr>
              <w:widowControl/>
              <w:jc w:val="center"/>
              <w:rPr>
                <w:rFonts w:hint="default" w:ascii="宋体" w:hAnsi="宋体" w:cs="宋体"/>
                <w:color w:val="000000"/>
                <w:kern w:val="0"/>
                <w:sz w:val="20"/>
                <w:szCs w:val="20"/>
                <w:highlight w:val="yellow"/>
                <w:lang w:val="en-US"/>
              </w:rPr>
            </w:pPr>
            <w:r>
              <w:rPr>
                <w:rFonts w:hint="eastAsia" w:ascii="宋体" w:hAnsi="宋体" w:cs="宋体"/>
                <w:color w:val="000000"/>
                <w:kern w:val="0"/>
                <w:sz w:val="20"/>
                <w:szCs w:val="20"/>
                <w:highlight w:val="none"/>
                <w:lang w:val="en-US" w:eastAsia="zh-CN"/>
              </w:rPr>
              <w:t>10</w:t>
            </w:r>
          </w:p>
        </w:tc>
        <w:tc>
          <w:tcPr>
            <w:tcW w:w="22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99" w:hRule="atLeast"/>
        </w:trPr>
        <w:tc>
          <w:tcPr>
            <w:tcW w:w="14174"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Layout w:type="fixed"/>
          <w:tblCellMar>
            <w:top w:w="0" w:type="dxa"/>
            <w:left w:w="108" w:type="dxa"/>
            <w:bottom w:w="0" w:type="dxa"/>
            <w:right w:w="108" w:type="dxa"/>
          </w:tblCellMar>
        </w:tblPrEx>
        <w:trPr>
          <w:trHeight w:val="702"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5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48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Layout w:type="fixed"/>
          <w:tblCellMar>
            <w:top w:w="0" w:type="dxa"/>
            <w:left w:w="108" w:type="dxa"/>
            <w:bottom w:w="0" w:type="dxa"/>
            <w:right w:w="108" w:type="dxa"/>
          </w:tblCellMar>
        </w:tblPrEx>
        <w:trPr>
          <w:trHeight w:val="1230" w:hRule="atLeast"/>
        </w:trPr>
        <w:tc>
          <w:tcPr>
            <w:tcW w:w="64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80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353" w:type="dxa"/>
            <w:tcBorders>
              <w:top w:val="single" w:color="auto" w:sz="4" w:space="0"/>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建立的财务管理制度需符合行政事业单位内部控制规范要求</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内控制度较为健全，基本符合行政事业单位内部控制规范要求</w:t>
            </w:r>
            <w:r>
              <w:rPr>
                <w:rFonts w:hint="eastAsia" w:ascii="宋体" w:hAnsi="宋体" w:cs="宋体"/>
                <w:color w:val="000000"/>
                <w:kern w:val="0"/>
                <w:sz w:val="20"/>
                <w:szCs w:val="20"/>
              </w:rPr>
              <w:t>　</w:t>
            </w:r>
          </w:p>
        </w:tc>
        <w:tc>
          <w:tcPr>
            <w:tcW w:w="5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　</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448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Layout w:type="fixed"/>
          <w:tblCellMar>
            <w:top w:w="0" w:type="dxa"/>
            <w:left w:w="108" w:type="dxa"/>
            <w:bottom w:w="0" w:type="dxa"/>
            <w:right w:w="108" w:type="dxa"/>
          </w:tblCellMar>
        </w:tblPrEx>
        <w:trPr>
          <w:trHeight w:val="2220" w:hRule="atLeast"/>
        </w:trPr>
        <w:tc>
          <w:tcPr>
            <w:tcW w:w="6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353" w:type="dxa"/>
            <w:tcBorders>
              <w:top w:val="single" w:color="auto" w:sz="4" w:space="0"/>
              <w:left w:val="nil"/>
              <w:bottom w:val="single" w:color="auto" w:sz="4" w:space="0"/>
              <w:right w:val="single" w:color="auto" w:sz="4" w:space="0"/>
            </w:tcBorders>
            <w:vAlign w:val="center"/>
          </w:tcPr>
          <w:p>
            <w:pPr>
              <w:widowControl/>
              <w:ind w:firstLine="200" w:firstLineChars="100"/>
              <w:jc w:val="left"/>
              <w:rPr>
                <w:rFonts w:ascii="宋体" w:hAnsi="宋体" w:cs="宋体"/>
                <w:color w:val="000000"/>
                <w:kern w:val="0"/>
                <w:sz w:val="20"/>
                <w:szCs w:val="20"/>
              </w:rPr>
            </w:pPr>
            <w:r>
              <w:rPr>
                <w:rFonts w:hint="eastAsia" w:ascii="宋体" w:hAnsi="宋体" w:cs="宋体"/>
                <w:color w:val="000000"/>
                <w:kern w:val="0"/>
                <w:sz w:val="20"/>
                <w:szCs w:val="20"/>
              </w:rPr>
              <w:t>严格按照市财政局的预算批复、高检院《财务管理规定》以及我院内控制度，执行预算资金的管理和使用</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支出较为合规，严格按照相关制度执行</w:t>
            </w:r>
            <w:r>
              <w:rPr>
                <w:rFonts w:hint="eastAsia" w:ascii="宋体" w:hAnsi="宋体" w:cs="宋体"/>
                <w:color w:val="000000"/>
                <w:kern w:val="0"/>
                <w:sz w:val="20"/>
                <w:szCs w:val="20"/>
              </w:rPr>
              <w:t>　</w:t>
            </w:r>
          </w:p>
        </w:tc>
        <w:tc>
          <w:tcPr>
            <w:tcW w:w="5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448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Layout w:type="fixed"/>
          <w:tblCellMar>
            <w:top w:w="0" w:type="dxa"/>
            <w:left w:w="108" w:type="dxa"/>
            <w:bottom w:w="0" w:type="dxa"/>
            <w:right w:w="108" w:type="dxa"/>
          </w:tblCellMar>
        </w:tblPrEx>
        <w:trPr>
          <w:trHeight w:val="1035" w:hRule="atLeast"/>
        </w:trPr>
        <w:tc>
          <w:tcPr>
            <w:tcW w:w="64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35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会计基础信息真实、可靠。确保账账、账实、账卡相符</w:t>
            </w:r>
            <w:r>
              <w:rPr>
                <w:rFonts w:hint="eastAsia" w:ascii="宋体" w:hAnsi="宋体" w:cs="宋体"/>
                <w:color w:val="000000"/>
                <w:kern w:val="0"/>
                <w:sz w:val="20"/>
                <w:szCs w:val="20"/>
              </w:rPr>
              <w:t>　</w:t>
            </w:r>
          </w:p>
        </w:tc>
        <w:tc>
          <w:tcPr>
            <w:tcW w:w="2302"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会计基础信息真实、可靠。</w:t>
            </w:r>
          </w:p>
        </w:tc>
        <w:tc>
          <w:tcPr>
            <w:tcW w:w="5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　</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448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Layout w:type="fixed"/>
          <w:tblCellMar>
            <w:top w:w="0" w:type="dxa"/>
            <w:left w:w="108" w:type="dxa"/>
            <w:bottom w:w="0" w:type="dxa"/>
            <w:right w:w="108" w:type="dxa"/>
          </w:tblCellMar>
        </w:tblPrEx>
        <w:trPr>
          <w:trHeight w:val="2220" w:hRule="atLeast"/>
        </w:trPr>
        <w:tc>
          <w:tcPr>
            <w:tcW w:w="6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0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10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35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资产管理做到制度健全、管理合规</w:t>
            </w:r>
          </w:p>
        </w:tc>
        <w:tc>
          <w:tcPr>
            <w:tcW w:w="230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能够按照现有制度执行，科学合理做好资产配置，加强资产的日常管理维护，挖掘资产使用价值，规范和完善资产的处置流程，充分发挥资产在单位履行职能方面的物质基础作用，有效保证单位带给公共服务的需要。</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　</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448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Layout w:type="fixed"/>
          <w:tblCellMar>
            <w:top w:w="0" w:type="dxa"/>
            <w:left w:w="108" w:type="dxa"/>
            <w:bottom w:w="0" w:type="dxa"/>
            <w:right w:w="108" w:type="dxa"/>
          </w:tblCellMar>
        </w:tblPrEx>
        <w:trPr>
          <w:trHeight w:val="1750" w:hRule="atLeast"/>
        </w:trPr>
        <w:tc>
          <w:tcPr>
            <w:tcW w:w="64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80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10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1353" w:type="dxa"/>
            <w:tcBorders>
              <w:top w:val="single" w:color="auto" w:sz="4" w:space="0"/>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绩效管理工作做到及时性、公开性</w:t>
            </w:r>
          </w:p>
        </w:tc>
        <w:tc>
          <w:tcPr>
            <w:tcW w:w="2302"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通州</w:t>
            </w:r>
            <w:r>
              <w:rPr>
                <w:rFonts w:hint="eastAsia" w:ascii="宋体" w:hAnsi="宋体" w:cs="宋体"/>
                <w:color w:val="000000"/>
                <w:kern w:val="0"/>
                <w:sz w:val="20"/>
                <w:szCs w:val="20"/>
              </w:rPr>
              <w:t>检察院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r>
              <w:rPr>
                <w:rFonts w:hint="eastAsia" w:ascii="宋体" w:hAnsi="宋体" w:cs="宋体"/>
                <w:color w:val="000000"/>
                <w:kern w:val="0"/>
                <w:sz w:val="20"/>
                <w:szCs w:val="20"/>
                <w:lang w:val="en-US" w:eastAsia="zh-CN"/>
              </w:rPr>
              <w:t>但未能及时对</w:t>
            </w:r>
            <w:r>
              <w:rPr>
                <w:rFonts w:hint="eastAsia" w:ascii="宋体" w:hAnsi="宋体" w:eastAsia="宋体" w:cs="宋体"/>
                <w:color w:val="000000"/>
                <w:kern w:val="0"/>
                <w:sz w:val="20"/>
                <w:szCs w:val="20"/>
              </w:rPr>
              <w:t>绩效目标偏离情况进行矫正。</w:t>
            </w:r>
          </w:p>
        </w:tc>
        <w:tc>
          <w:tcPr>
            <w:tcW w:w="5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50"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27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4485"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bl>
    <w:p>
      <w:pPr>
        <w:pStyle w:val="2"/>
        <w:ind w:left="0" w:leftChars="0" w:firstLine="0" w:firstLineChars="0"/>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00000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F0486"/>
    <w:multiLevelType w:val="singleLevel"/>
    <w:tmpl w:val="629F0486"/>
    <w:lvl w:ilvl="0" w:tentative="0">
      <w:start w:val="2"/>
      <w:numFmt w:val="decimal"/>
      <w:suff w:val="nothing"/>
      <w:lvlText w:val="%1."/>
      <w:lvlJc w:val="left"/>
    </w:lvl>
  </w:abstractNum>
  <w:abstractNum w:abstractNumId="1">
    <w:nsid w:val="629F06A0"/>
    <w:multiLevelType w:val="singleLevel"/>
    <w:tmpl w:val="629F06A0"/>
    <w:lvl w:ilvl="0" w:tentative="0">
      <w:start w:val="2"/>
      <w:numFmt w:val="decimal"/>
      <w:suff w:val="nothing"/>
      <w:lvlText w:val="（%1）"/>
      <w:lvlJc w:val="left"/>
    </w:lvl>
  </w:abstractNum>
  <w:abstractNum w:abstractNumId="2">
    <w:nsid w:val="629F074D"/>
    <w:multiLevelType w:val="singleLevel"/>
    <w:tmpl w:val="629F074D"/>
    <w:lvl w:ilvl="0" w:tentative="0">
      <w:start w:val="2"/>
      <w:numFmt w:val="decimal"/>
      <w:suff w:val="nothing"/>
      <w:lvlText w:val="（%1）"/>
      <w:lvlJc w:val="left"/>
    </w:lvl>
  </w:abstractNum>
  <w:abstractNum w:abstractNumId="3">
    <w:nsid w:val="629F07B2"/>
    <w:multiLevelType w:val="singleLevel"/>
    <w:tmpl w:val="629F07B2"/>
    <w:lvl w:ilvl="0" w:tentative="0">
      <w:start w:val="2"/>
      <w:numFmt w:val="decimal"/>
      <w:suff w:val="nothing"/>
      <w:lvlText w:val="%1."/>
      <w:lvlJc w:val="left"/>
    </w:lvl>
  </w:abstractNum>
  <w:abstractNum w:abstractNumId="4">
    <w:nsid w:val="629F08AE"/>
    <w:multiLevelType w:val="singleLevel"/>
    <w:tmpl w:val="629F08AE"/>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573E5"/>
    <w:rsid w:val="274C4994"/>
    <w:rsid w:val="29775D34"/>
    <w:rsid w:val="2D8573E5"/>
    <w:rsid w:val="5EA715D8"/>
    <w:rsid w:val="6BAE1FF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uiPriority w:val="0"/>
    <w:pPr>
      <w:ind w:firstLine="645"/>
    </w:pPr>
    <w:rPr>
      <w:rFonts w:ascii="仿宋_GB2312" w:hAnsi="Calibri" w:eastAsia="仿宋_GB2312"/>
      <w:sz w:val="32"/>
      <w:szCs w:val="32"/>
    </w:rPr>
  </w:style>
  <w:style w:type="paragraph" w:styleId="4">
    <w:name w:val="Normal Indent"/>
    <w:basedOn w:val="1"/>
    <w:uiPriority w:val="0"/>
    <w:pPr>
      <w:ind w:firstLine="200" w:firstLineChars="200"/>
    </w:pPr>
  </w:style>
  <w:style w:type="paragraph" w:customStyle="1" w:styleId="7">
    <w:name w:val="无间隔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2022-08-23T07:14:00Z</dcterms:created>
  <dc:creator>jcy</dc:creator>
  <cp:lastModifiedBy>jcy</cp:lastModifiedBy>
  <dcterms:modified xsi:type="dcterms:W3CDTF">2022-08-24T08:36:31Z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