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880" w:firstLineChars="200"/>
        <w:jc w:val="center"/>
        <w:rPr>
          <w:rFonts w:ascii="黑体" w:eastAsia="黑体"/>
          <w:sz w:val="44"/>
          <w:szCs w:val="44"/>
        </w:rPr>
      </w:pPr>
      <w:r>
        <w:rPr>
          <w:rFonts w:hint="eastAsia" w:ascii="黑体" w:eastAsia="黑体"/>
          <w:sz w:val="44"/>
          <w:szCs w:val="44"/>
        </w:rPr>
        <w:t>北京市怀柔区人民检察院</w:t>
      </w:r>
    </w:p>
    <w:p>
      <w:pPr>
        <w:spacing w:line="580" w:lineRule="exact"/>
        <w:ind w:firstLine="880" w:firstLineChars="200"/>
        <w:jc w:val="center"/>
        <w:rPr>
          <w:rFonts w:ascii="黑体" w:eastAsia="黑体"/>
          <w:sz w:val="44"/>
          <w:szCs w:val="44"/>
        </w:rPr>
      </w:pPr>
      <w:r>
        <w:rPr>
          <w:rFonts w:hint="eastAsia" w:ascii="黑体" w:eastAsia="黑体"/>
          <w:sz w:val="44"/>
          <w:szCs w:val="44"/>
        </w:rPr>
        <w:t>项目支出绩效评价报告</w:t>
      </w:r>
    </w:p>
    <w:p>
      <w:pPr>
        <w:pStyle w:val="2"/>
        <w:ind w:firstLine="420"/>
      </w:pPr>
    </w:p>
    <w:p>
      <w:pPr>
        <w:spacing w:line="58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一、基本情况</w:t>
      </w:r>
    </w:p>
    <w:p>
      <w:pPr>
        <w:spacing w:line="58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（一）项目概况</w:t>
      </w:r>
    </w:p>
    <w:p>
      <w:pPr>
        <w:spacing w:line="360" w:lineRule="auto"/>
        <w:ind w:firstLine="643" w:firstLineChars="200"/>
        <w:contextualSpacing/>
        <w:rPr>
          <w:rFonts w:ascii="仿宋_GB2312" w:eastAsia="仿宋_GB2312"/>
          <w:b/>
          <w:sz w:val="32"/>
          <w:szCs w:val="32"/>
        </w:rPr>
      </w:pPr>
      <w:r>
        <w:rPr>
          <w:rFonts w:hint="eastAsia" w:ascii="仿宋_GB2312" w:eastAsia="仿宋_GB2312" w:cs="仿宋_GB2312"/>
          <w:b/>
          <w:bCs/>
          <w:sz w:val="32"/>
          <w:szCs w:val="32"/>
        </w:rPr>
        <w:t>1.</w:t>
      </w:r>
      <w:r>
        <w:rPr>
          <w:rFonts w:hint="eastAsia" w:ascii="仿宋_GB2312" w:eastAsia="仿宋_GB2312"/>
          <w:b/>
          <w:sz w:val="32"/>
          <w:szCs w:val="32"/>
        </w:rPr>
        <w:t>项目名称</w:t>
      </w:r>
    </w:p>
    <w:p>
      <w:pPr>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业务装备费。</w:t>
      </w:r>
    </w:p>
    <w:p>
      <w:pPr>
        <w:spacing w:line="360" w:lineRule="auto"/>
        <w:ind w:firstLine="643" w:firstLineChars="200"/>
        <w:contextualSpacing/>
        <w:rPr>
          <w:rFonts w:ascii="仿宋_GB2312" w:eastAsia="仿宋_GB2312"/>
          <w:b/>
          <w:sz w:val="32"/>
          <w:szCs w:val="32"/>
        </w:rPr>
      </w:pPr>
      <w:r>
        <w:rPr>
          <w:rFonts w:hint="eastAsia" w:ascii="仿宋_GB2312" w:eastAsia="仿宋_GB2312"/>
          <w:b/>
          <w:sz w:val="32"/>
          <w:szCs w:val="32"/>
        </w:rPr>
        <w:t>2.实施主体</w:t>
      </w:r>
    </w:p>
    <w:p>
      <w:pPr>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北京市怀柔区人民检察院（以下简称区检察院）。</w:t>
      </w:r>
    </w:p>
    <w:p>
      <w:pPr>
        <w:spacing w:line="360" w:lineRule="auto"/>
        <w:ind w:firstLine="643" w:firstLineChars="200"/>
        <w:contextualSpacing/>
        <w:rPr>
          <w:rFonts w:ascii="仿宋_GB2312" w:eastAsia="仿宋_GB2312"/>
          <w:b/>
          <w:sz w:val="32"/>
          <w:szCs w:val="32"/>
        </w:rPr>
      </w:pPr>
      <w:r>
        <w:rPr>
          <w:rFonts w:hint="eastAsia" w:ascii="仿宋_GB2312" w:eastAsia="仿宋_GB2312"/>
          <w:b/>
          <w:sz w:val="32"/>
          <w:szCs w:val="32"/>
        </w:rPr>
        <w:t>3.项目背景及立项依据</w:t>
      </w:r>
    </w:p>
    <w:p>
      <w:pPr>
        <w:tabs>
          <w:tab w:val="center" w:pos="6979"/>
        </w:tabs>
        <w:spacing w:line="580" w:lineRule="exact"/>
        <w:ind w:firstLine="627" w:firstLineChars="196"/>
        <w:rPr>
          <w:rFonts w:ascii="仿宋_GB2312" w:eastAsia="仿宋_GB2312"/>
          <w:color w:val="000000"/>
          <w:sz w:val="32"/>
          <w:szCs w:val="32"/>
        </w:rPr>
      </w:pPr>
      <w:r>
        <w:rPr>
          <w:rFonts w:hint="eastAsia" w:ascii="仿宋_GB2312" w:eastAsia="仿宋_GB2312"/>
          <w:sz w:val="32"/>
          <w:szCs w:val="32"/>
        </w:rPr>
        <w:t>区检察院</w:t>
      </w:r>
      <w:r>
        <w:rPr>
          <w:rFonts w:hint="eastAsia" w:ascii="仿宋_GB2312" w:eastAsia="仿宋_GB2312"/>
          <w:color w:val="000000"/>
          <w:sz w:val="32"/>
          <w:szCs w:val="32"/>
        </w:rPr>
        <w:t>根据北京市人民检察院、北京市财政局关于《北京市人民检察院财务管理暂行办法》、《北京市基层检察院业务装备配备标准（修订）》等文件的要求，结合区检察院实际业务工作安排及业务装备更新报废情况，设立了业务装备费项目。该项目经北京市财政局批复后立项。</w:t>
      </w:r>
    </w:p>
    <w:p>
      <w:pPr>
        <w:spacing w:line="360" w:lineRule="auto"/>
        <w:ind w:firstLine="643" w:firstLineChars="200"/>
        <w:contextualSpacing/>
        <w:rPr>
          <w:rFonts w:ascii="仿宋_GB2312" w:eastAsia="仿宋_GB2312"/>
          <w:b/>
          <w:kern w:val="44"/>
          <w:sz w:val="32"/>
          <w:szCs w:val="32"/>
        </w:rPr>
      </w:pPr>
      <w:r>
        <w:rPr>
          <w:rFonts w:hint="eastAsia" w:ascii="仿宋_GB2312" w:eastAsia="仿宋_GB2312"/>
          <w:b/>
          <w:kern w:val="44"/>
          <w:sz w:val="32"/>
          <w:szCs w:val="32"/>
        </w:rPr>
        <w:t>4.主要内容及实施情况</w:t>
      </w:r>
    </w:p>
    <w:p>
      <w:pPr>
        <w:adjustRightInd w:val="0"/>
        <w:snapToGrid w:val="0"/>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主要购置业务部门申报的检察业务装备。包括：更新视频会议室LED显示屏、外宣用LED显示屏、新媒体宣传用非线性编辑机、档案室档案柜及隔板、密拍设备等。 </w:t>
      </w:r>
    </w:p>
    <w:p>
      <w:pPr>
        <w:adjustRightInd w:val="0"/>
        <w:snapToGrid w:val="0"/>
        <w:spacing w:line="600" w:lineRule="exact"/>
        <w:ind w:firstLine="640" w:firstLineChars="200"/>
        <w:rPr>
          <w:rFonts w:ascii="仿宋_GB2312" w:eastAsia="仿宋_GB2312"/>
          <w:bCs/>
          <w:sz w:val="32"/>
          <w:szCs w:val="32"/>
        </w:rPr>
      </w:pPr>
      <w:r>
        <w:rPr>
          <w:rFonts w:hint="eastAsia" w:ascii="仿宋_GB2312" w:eastAsia="仿宋_GB2312"/>
          <w:bCs/>
          <w:sz w:val="32"/>
          <w:szCs w:val="32"/>
        </w:rPr>
        <w:t>区检察院办公室是业务装备费项目组织部门。2021年度，为了满足日常办案办公需要，提升办案科技水平，办公室根据年初业务装备费预算申报情况及政府采购管理办法等相关要求共组织了8次业务装备采购。</w:t>
      </w:r>
    </w:p>
    <w:p>
      <w:pPr>
        <w:adjustRightInd w:val="0"/>
        <w:snapToGrid w:val="0"/>
        <w:spacing w:line="60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装备收货完成调试安装等步骤后，根据业务装备采购合同，由需求部门、办公室采购人员共同参与装备验收，对装备的数量、质量等进行检查，并在验收单上签字盖章，同时对接资产管理员进行资产入库单并签字确认。</w:t>
      </w:r>
    </w:p>
    <w:p>
      <w:pPr>
        <w:spacing w:line="360" w:lineRule="auto"/>
        <w:ind w:firstLine="643" w:firstLineChars="200"/>
        <w:contextualSpacing/>
        <w:rPr>
          <w:rFonts w:ascii="仿宋_GB2312" w:eastAsia="仿宋_GB2312"/>
          <w:b/>
          <w:kern w:val="44"/>
          <w:sz w:val="32"/>
          <w:szCs w:val="32"/>
        </w:rPr>
      </w:pPr>
      <w:r>
        <w:rPr>
          <w:rFonts w:hint="eastAsia" w:ascii="仿宋_GB2312" w:eastAsia="仿宋_GB2312"/>
          <w:b/>
          <w:kern w:val="44"/>
          <w:sz w:val="32"/>
          <w:szCs w:val="32"/>
        </w:rPr>
        <w:t>5.项目资金情况</w:t>
      </w:r>
    </w:p>
    <w:p>
      <w:pPr>
        <w:spacing w:line="360" w:lineRule="auto"/>
        <w:ind w:firstLine="643" w:firstLineChars="200"/>
        <w:contextualSpacing/>
        <w:rPr>
          <w:rFonts w:ascii="仿宋_GB2312" w:eastAsia="仿宋_GB2312" w:cs="仿宋_GB2312"/>
          <w:b/>
          <w:sz w:val="32"/>
          <w:szCs w:val="32"/>
        </w:rPr>
      </w:pPr>
      <w:r>
        <w:rPr>
          <w:rFonts w:hint="eastAsia" w:ascii="仿宋_GB2312" w:eastAsia="仿宋_GB2312" w:cs="仿宋_GB2312"/>
          <w:b/>
          <w:sz w:val="32"/>
          <w:szCs w:val="32"/>
        </w:rPr>
        <w:t>（1）项目预算管理情况分析</w:t>
      </w:r>
    </w:p>
    <w:p>
      <w:pPr>
        <w:spacing w:line="360" w:lineRule="auto"/>
        <w:ind w:firstLine="640" w:firstLineChars="200"/>
        <w:contextualSpacing/>
        <w:rPr>
          <w:rFonts w:ascii="仿宋_GB2312" w:eastAsia="仿宋_GB2312" w:cs="仿宋_GB2312"/>
          <w:sz w:val="32"/>
          <w:szCs w:val="32"/>
        </w:rPr>
      </w:pPr>
      <w:r>
        <w:rPr>
          <w:rFonts w:ascii="仿宋_GB2312" w:eastAsia="仿宋_GB2312" w:cs="仿宋_GB2312"/>
          <w:sz w:val="32"/>
          <w:szCs w:val="32"/>
        </w:rPr>
        <w:t>该项资金</w:t>
      </w:r>
      <w:r>
        <w:rPr>
          <w:rFonts w:hint="eastAsia" w:ascii="仿宋_GB2312" w:eastAsia="仿宋_GB2312" w:cs="仿宋_GB2312"/>
          <w:sz w:val="32"/>
          <w:szCs w:val="32"/>
        </w:rPr>
        <w:t>由区检察院向北京市财政局提交项目申报书，项目申报书中列示业务装备费总金额117.5万元，</w:t>
      </w:r>
      <w:r>
        <w:rPr>
          <w:rFonts w:hint="eastAsia" w:ascii="仿宋_GB2312" w:eastAsia="仿宋_GB2312"/>
          <w:sz w:val="32"/>
          <w:szCs w:val="32"/>
        </w:rPr>
        <w:t>北京市财政局2021年2月15日下达2021年度预算批复（京财公检法指【2021】923号），</w:t>
      </w:r>
      <w:r>
        <w:rPr>
          <w:rFonts w:hint="eastAsia" w:ascii="仿宋_GB2312" w:eastAsia="仿宋_GB2312" w:cs="仿宋_GB2312"/>
          <w:sz w:val="32"/>
          <w:szCs w:val="32"/>
        </w:rPr>
        <w:t>北京市财政局直接将预算指标下达给区检察院。</w:t>
      </w:r>
    </w:p>
    <w:p>
      <w:pPr>
        <w:spacing w:line="360" w:lineRule="auto"/>
        <w:ind w:firstLine="643" w:firstLineChars="200"/>
        <w:contextualSpacing/>
        <w:rPr>
          <w:rFonts w:ascii="仿宋_GB2312" w:hAnsi="仿宋_GB2312" w:eastAsia="仿宋_GB2312"/>
          <w:b/>
          <w:sz w:val="32"/>
          <w:szCs w:val="32"/>
        </w:rPr>
      </w:pPr>
      <w:r>
        <w:rPr>
          <w:rFonts w:hint="eastAsia" w:ascii="仿宋_GB2312" w:hAnsi="仿宋_GB2312" w:eastAsia="仿宋_GB2312"/>
          <w:b/>
          <w:sz w:val="32"/>
          <w:szCs w:val="32"/>
        </w:rPr>
        <w:t>（2）资金使用情况分析</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2021年2月23日收到财政授权支付正常额度到账通知书1,175,000.00元。2021年支付</w:t>
      </w:r>
      <w:r>
        <w:rPr>
          <w:rFonts w:hint="eastAsia" w:ascii="仿宋_GB2312" w:hAnsi="宋体" w:eastAsia="仿宋_GB2312" w:cs="宋体"/>
          <w:kern w:val="0"/>
          <w:sz w:val="32"/>
          <w:szCs w:val="32"/>
        </w:rPr>
        <w:t>业务装备费</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174</w:t>
      </w:r>
      <w:r>
        <w:rPr>
          <w:rFonts w:hint="eastAsia" w:ascii="仿宋_GB2312" w:eastAsia="仿宋_GB2312"/>
          <w:sz w:val="32"/>
          <w:szCs w:val="32"/>
        </w:rPr>
        <w:t>,</w:t>
      </w:r>
      <w:r>
        <w:rPr>
          <w:rFonts w:ascii="仿宋_GB2312" w:eastAsia="仿宋_GB2312"/>
          <w:sz w:val="32"/>
          <w:szCs w:val="32"/>
        </w:rPr>
        <w:t>977.83</w:t>
      </w:r>
      <w:r>
        <w:rPr>
          <w:rFonts w:hint="eastAsia" w:ascii="仿宋_GB2312" w:hAnsi="宋体" w:eastAsia="仿宋_GB2312" w:cs="宋体"/>
          <w:kern w:val="0"/>
          <w:sz w:val="32"/>
          <w:szCs w:val="32"/>
        </w:rPr>
        <w:t>元，共采购8项装备，项目结余资金</w:t>
      </w:r>
      <w:r>
        <w:rPr>
          <w:rFonts w:ascii="仿宋_GB2312" w:hAnsi="宋体" w:eastAsia="仿宋_GB2312" w:cs="宋体"/>
          <w:kern w:val="0"/>
          <w:sz w:val="32"/>
          <w:szCs w:val="32"/>
        </w:rPr>
        <w:t>22.17元</w:t>
      </w:r>
      <w:r>
        <w:rPr>
          <w:rFonts w:hint="eastAsia" w:ascii="仿宋_GB2312" w:hAnsi="宋体" w:eastAsia="仿宋_GB2312" w:cs="宋体"/>
          <w:kern w:val="0"/>
          <w:sz w:val="32"/>
          <w:szCs w:val="32"/>
        </w:rPr>
        <w:t>。</w:t>
      </w:r>
    </w:p>
    <w:p>
      <w:pPr>
        <w:spacing w:line="360" w:lineRule="auto"/>
        <w:ind w:firstLine="643" w:firstLineChars="200"/>
        <w:contextualSpacing/>
        <w:rPr>
          <w:rFonts w:ascii="仿宋_GB2312" w:eastAsia="仿宋_GB2312"/>
          <w:b/>
          <w:sz w:val="32"/>
          <w:szCs w:val="32"/>
        </w:rPr>
      </w:pPr>
      <w:r>
        <w:rPr>
          <w:rFonts w:hint="eastAsia" w:ascii="仿宋_GB2312" w:eastAsia="仿宋_GB2312"/>
          <w:b/>
          <w:sz w:val="32"/>
          <w:szCs w:val="32"/>
        </w:rPr>
        <w:t>(二)项目绩效目标</w:t>
      </w:r>
    </w:p>
    <w:p>
      <w:pPr>
        <w:spacing w:line="360" w:lineRule="auto"/>
        <w:ind w:firstLine="643" w:firstLineChars="200"/>
        <w:contextualSpacing/>
        <w:rPr>
          <w:rFonts w:ascii="仿宋_GB2312" w:eastAsia="仿宋_GB2312"/>
          <w:b/>
          <w:kern w:val="44"/>
          <w:sz w:val="32"/>
          <w:szCs w:val="32"/>
        </w:rPr>
      </w:pPr>
      <w:r>
        <w:rPr>
          <w:rFonts w:hint="eastAsia" w:ascii="仿宋_GB2312" w:eastAsia="仿宋_GB2312"/>
          <w:b/>
          <w:sz w:val="32"/>
          <w:szCs w:val="32"/>
        </w:rPr>
        <w:t>1.</w:t>
      </w:r>
      <w:r>
        <w:rPr>
          <w:rFonts w:hint="eastAsia" w:ascii="仿宋_GB2312" w:eastAsia="仿宋_GB2312"/>
          <w:b/>
          <w:kern w:val="44"/>
          <w:sz w:val="32"/>
          <w:szCs w:val="32"/>
        </w:rPr>
        <w:t>总体目标</w:t>
      </w:r>
    </w:p>
    <w:p>
      <w:pPr>
        <w:adjustRightInd w:val="0"/>
        <w:snapToGrid w:val="0"/>
        <w:spacing w:line="600" w:lineRule="exact"/>
        <w:ind w:firstLine="640" w:firstLineChars="200"/>
        <w:rPr>
          <w:rFonts w:ascii="仿宋_GB2312" w:eastAsia="仿宋_GB2312"/>
          <w:bCs/>
          <w:sz w:val="32"/>
          <w:szCs w:val="32"/>
        </w:rPr>
      </w:pPr>
      <w:r>
        <w:rPr>
          <w:rFonts w:hint="eastAsia" w:ascii="仿宋_GB2312" w:eastAsia="仿宋_GB2312"/>
          <w:bCs/>
          <w:sz w:val="32"/>
          <w:szCs w:val="32"/>
        </w:rPr>
        <w:t>深入贯彻科技强检战略，强化科技装备建设，加快提升检察工作科技含量，依照配备标准，适应改革后以检察官为主体的要求，逐步开展对检察官办案单元的装备装配，提升检察办案的科技水平，满足执法办案中科技装备的需求。</w:t>
      </w:r>
    </w:p>
    <w:p>
      <w:pPr>
        <w:ind w:firstLine="640"/>
        <w:rPr>
          <w:rFonts w:ascii="仿宋_GB2312" w:hAnsi="仿宋_GB2312" w:eastAsia="仿宋_GB2312" w:cs="仿宋_GB2312"/>
          <w:b/>
          <w:sz w:val="32"/>
          <w:szCs w:val="32"/>
        </w:rPr>
      </w:pPr>
      <w:r>
        <w:rPr>
          <w:rFonts w:hint="eastAsia" w:ascii="仿宋_GB2312" w:hAnsi="仿宋_GB2312" w:eastAsia="仿宋_GB2312" w:cs="仿宋_GB2312"/>
          <w:b/>
          <w:sz w:val="32"/>
          <w:szCs w:val="32"/>
        </w:rPr>
        <w:t>2.阶段性目标</w:t>
      </w:r>
    </w:p>
    <w:p>
      <w:pPr>
        <w:adjustRightInd w:val="0"/>
        <w:snapToGrid w:val="0"/>
        <w:spacing w:line="600" w:lineRule="exact"/>
        <w:ind w:firstLine="640" w:firstLineChars="200"/>
        <w:rPr>
          <w:rFonts w:ascii="仿宋_GB2312" w:eastAsia="仿宋_GB2312"/>
          <w:bCs/>
          <w:sz w:val="32"/>
          <w:szCs w:val="32"/>
        </w:rPr>
      </w:pPr>
      <w:r>
        <w:rPr>
          <w:rFonts w:hint="eastAsia" w:ascii="仿宋_GB2312" w:eastAsia="仿宋_GB2312"/>
          <w:bCs/>
          <w:sz w:val="32"/>
          <w:szCs w:val="32"/>
        </w:rPr>
        <w:t>通过项目的实施，及时更新执法办案设备，提升业务装备的科技含量，持续提升检察办案质效，发挥公益诉讼检察职能，加大对生态环境保护，加大对外宣传力度，让更多的百姓了解检察院职能，畅通为民办实事通道。</w:t>
      </w:r>
    </w:p>
    <w:p>
      <w:pPr>
        <w:spacing w:line="360" w:lineRule="auto"/>
        <w:ind w:firstLine="643" w:firstLineChars="200"/>
        <w:contextualSpacing/>
        <w:rPr>
          <w:rFonts w:ascii="仿宋_GB2312" w:eastAsia="仿宋_GB2312"/>
          <w:b/>
          <w:sz w:val="32"/>
          <w:szCs w:val="32"/>
        </w:rPr>
      </w:pPr>
      <w:r>
        <w:rPr>
          <w:rFonts w:hint="eastAsia" w:ascii="仿宋_GB2312" w:eastAsia="仿宋_GB2312"/>
          <w:b/>
          <w:sz w:val="32"/>
          <w:szCs w:val="32"/>
        </w:rPr>
        <w:t>二、绩效评价工作开展情况</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（一）绩效评价目的、对象和范围</w:t>
      </w:r>
    </w:p>
    <w:p>
      <w:pPr>
        <w:spacing w:line="360" w:lineRule="auto"/>
        <w:ind w:firstLine="643" w:firstLineChars="200"/>
        <w:contextualSpacing/>
        <w:rPr>
          <w:rFonts w:ascii="仿宋_GB2312" w:eastAsia="仿宋_GB2312" w:cs="仿宋_GB2312"/>
          <w:b/>
          <w:bCs/>
          <w:sz w:val="32"/>
          <w:szCs w:val="32"/>
        </w:rPr>
      </w:pPr>
      <w:bookmarkStart w:id="0" w:name="_Toc331419433"/>
      <w:bookmarkStart w:id="1" w:name="_Toc331420045"/>
      <w:r>
        <w:rPr>
          <w:rFonts w:hint="eastAsia" w:ascii="仿宋_GB2312" w:eastAsia="仿宋_GB2312" w:cs="仿宋_GB2312"/>
          <w:b/>
          <w:bCs/>
          <w:sz w:val="32"/>
          <w:szCs w:val="32"/>
        </w:rPr>
        <w:t>1.绩效评价目的</w:t>
      </w:r>
      <w:bookmarkEnd w:id="0"/>
      <w:bookmarkEnd w:id="1"/>
    </w:p>
    <w:p>
      <w:pPr>
        <w:spacing w:line="360" w:lineRule="auto"/>
        <w:ind w:firstLine="640" w:firstLineChars="200"/>
        <w:contextualSpacing/>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评价的目的主要是了解业务装备费项目使用情况和取得的效果，总结项目管理经验，发现项目管理存在的问题，进一步加强和规范项目资金管理，完善项目和资金管理办法，指导预算编制和申报绩效目标，为优化财政支出结构提供决策参考和依据。</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2.绩效评价对象</w:t>
      </w:r>
    </w:p>
    <w:p>
      <w:pPr>
        <w:pStyle w:val="2"/>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北京市怀柔区人民检察院。</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3.绩效评价范围</w:t>
      </w:r>
    </w:p>
    <w:p>
      <w:pPr>
        <w:pStyle w:val="2"/>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2021年度业务装备费。</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（二）绩效评价原则、评价指标体系（附表说明）、评价方法、评价标准等</w:t>
      </w:r>
    </w:p>
    <w:p>
      <w:pPr>
        <w:spacing w:line="360" w:lineRule="auto"/>
        <w:ind w:firstLine="643" w:firstLineChars="200"/>
        <w:contextualSpacing/>
        <w:rPr>
          <w:rFonts w:ascii="仿宋_GB2312" w:eastAsia="仿宋_GB2312" w:cs="仿宋_GB2312"/>
          <w:b/>
          <w:bCs/>
          <w:sz w:val="32"/>
          <w:szCs w:val="32"/>
        </w:rPr>
      </w:pPr>
      <w:bookmarkStart w:id="2" w:name="_Toc331420046"/>
      <w:bookmarkStart w:id="3" w:name="_Toc331419434"/>
      <w:r>
        <w:rPr>
          <w:rFonts w:hint="eastAsia" w:ascii="仿宋_GB2312" w:eastAsia="仿宋_GB2312" w:cs="仿宋_GB2312"/>
          <w:b/>
          <w:bCs/>
          <w:sz w:val="32"/>
          <w:szCs w:val="32"/>
        </w:rPr>
        <w:t>1.绩效评价原则与方法</w:t>
      </w:r>
      <w:bookmarkEnd w:id="2"/>
      <w:bookmarkEnd w:id="3"/>
    </w:p>
    <w:p>
      <w:pPr>
        <w:spacing w:line="360" w:lineRule="auto"/>
        <w:ind w:firstLine="640" w:firstLineChars="200"/>
        <w:contextualSpacing/>
        <w:rPr>
          <w:rFonts w:ascii="仿宋_GB2312" w:eastAsia="仿宋_GB2312"/>
          <w:sz w:val="32"/>
          <w:szCs w:val="32"/>
        </w:rPr>
      </w:pPr>
      <w:r>
        <w:rPr>
          <w:rFonts w:hint="eastAsia" w:ascii="仿宋_GB2312" w:hAnsi="仿宋_GB2312" w:eastAsia="仿宋_GB2312" w:cs="仿宋_GB2312"/>
          <w:color w:val="000000"/>
          <w:sz w:val="32"/>
          <w:szCs w:val="32"/>
        </w:rPr>
        <w:t>评价工作组</w:t>
      </w:r>
      <w:r>
        <w:rPr>
          <w:rFonts w:hint="eastAsia" w:ascii="仿宋_GB2312" w:eastAsia="仿宋_GB2312"/>
          <w:sz w:val="32"/>
          <w:szCs w:val="32"/>
        </w:rPr>
        <w:t>本着独立、科学、规范、客观、公正的原则，依据相关方面的规范文件、预算批复文件、项目绩效报告和现场调研信息等，对业务装备费项目进行了绩效评价。</w:t>
      </w:r>
      <w:bookmarkStart w:id="4" w:name="_Toc331420047"/>
      <w:bookmarkStart w:id="5" w:name="_Toc331419435"/>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（1）绩效评价原则</w:t>
      </w:r>
      <w:bookmarkEnd w:id="4"/>
      <w:bookmarkEnd w:id="5"/>
    </w:p>
    <w:p>
      <w:pPr>
        <w:pStyle w:val="3"/>
        <w:ind w:firstLine="640"/>
        <w:contextualSpacing/>
        <w:rPr>
          <w:rFonts w:ascii="仿宋_GB2312" w:hAnsi="宋体" w:eastAsia="仿宋_GB2312"/>
          <w:sz w:val="32"/>
          <w:szCs w:val="32"/>
        </w:rPr>
      </w:pPr>
      <w:bookmarkStart w:id="6" w:name="_Toc331419436"/>
      <w:bookmarkStart w:id="7" w:name="_Toc331420048"/>
      <w:r>
        <w:rPr>
          <w:rFonts w:hint="eastAsia" w:ascii="仿宋_GB2312" w:hAnsi="宋体" w:eastAsia="仿宋_GB2312"/>
          <w:sz w:val="32"/>
          <w:szCs w:val="32"/>
        </w:rPr>
        <w:t>科学规范原则。绩效评价应当严格执行规定的程序，按照科学可行的要求，采用定量与定性分析相结合的方法。</w:t>
      </w:r>
    </w:p>
    <w:p>
      <w:pPr>
        <w:pStyle w:val="3"/>
        <w:ind w:firstLine="640"/>
        <w:contextualSpacing/>
        <w:rPr>
          <w:rFonts w:ascii="仿宋_GB2312" w:hAnsi="宋体" w:eastAsia="仿宋_GB2312"/>
          <w:sz w:val="32"/>
          <w:szCs w:val="32"/>
        </w:rPr>
      </w:pPr>
      <w:r>
        <w:rPr>
          <w:rFonts w:hint="eastAsia" w:ascii="仿宋_GB2312" w:hAnsi="宋体" w:eastAsia="仿宋_GB2312"/>
          <w:sz w:val="32"/>
          <w:szCs w:val="32"/>
        </w:rPr>
        <w:t>公正公开原则。绩效评价应当符合真实、客观、公正的要求，依法公开并接受监督。</w:t>
      </w:r>
    </w:p>
    <w:p>
      <w:pPr>
        <w:pStyle w:val="3"/>
        <w:ind w:firstLine="640"/>
        <w:contextualSpacing/>
        <w:rPr>
          <w:rFonts w:ascii="仿宋_GB2312" w:hAnsi="宋体" w:eastAsia="仿宋_GB2312"/>
          <w:sz w:val="32"/>
          <w:szCs w:val="32"/>
        </w:rPr>
      </w:pPr>
      <w:r>
        <w:rPr>
          <w:rFonts w:hint="eastAsia" w:ascii="仿宋_GB2312" w:hAnsi="宋体" w:eastAsia="仿宋_GB2312"/>
          <w:sz w:val="32"/>
          <w:szCs w:val="32"/>
        </w:rPr>
        <w:t>绩效相关原则。绩效评价应当针对具体支出及其产出绩效进行，评价结果应当清晰反映支出和产出绩效之间的紧密对应关系。</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（2）评价方式方法</w:t>
      </w:r>
      <w:bookmarkEnd w:id="6"/>
      <w:bookmarkEnd w:id="7"/>
    </w:p>
    <w:p>
      <w:pPr>
        <w:widowControl/>
        <w:spacing w:line="360" w:lineRule="auto"/>
        <w:ind w:firstLine="640" w:firstLineChars="200"/>
        <w:contextualSpacing/>
        <w:rPr>
          <w:rFonts w:ascii="仿宋_GB2312" w:eastAsia="仿宋_GB2312"/>
          <w:kern w:val="0"/>
          <w:sz w:val="32"/>
          <w:szCs w:val="32"/>
        </w:rPr>
      </w:pPr>
      <w:r>
        <w:rPr>
          <w:rFonts w:hint="eastAsia" w:ascii="仿宋_GB2312" w:eastAsia="仿宋_GB2312"/>
          <w:kern w:val="0"/>
          <w:sz w:val="32"/>
          <w:szCs w:val="32"/>
        </w:rPr>
        <w:t>本着科学、规范、独立、客观、公正的原则，</w:t>
      </w:r>
      <w:r>
        <w:rPr>
          <w:rFonts w:hint="eastAsia" w:ascii="仿宋_GB2312" w:hAnsi="仿宋_GB2312" w:eastAsia="仿宋_GB2312" w:cs="仿宋_GB2312"/>
          <w:color w:val="000000"/>
          <w:sz w:val="32"/>
          <w:szCs w:val="32"/>
        </w:rPr>
        <w:t>评价工作组</w:t>
      </w:r>
      <w:r>
        <w:rPr>
          <w:rFonts w:hint="eastAsia" w:ascii="仿宋_GB2312" w:eastAsia="仿宋_GB2312"/>
          <w:kern w:val="0"/>
          <w:sz w:val="32"/>
          <w:szCs w:val="32"/>
        </w:rPr>
        <w:t>采用全面评价和重点评价相结合、采取现场评价的方式，成本效益分析法、比较法、专家评议法等分析方法，对项目进行综合评价。</w:t>
      </w:r>
    </w:p>
    <w:p>
      <w:pPr>
        <w:widowControl/>
        <w:spacing w:line="360" w:lineRule="auto"/>
        <w:ind w:firstLine="640" w:firstLineChars="200"/>
        <w:contextualSpacing/>
        <w:rPr>
          <w:rFonts w:ascii="仿宋_GB2312" w:eastAsia="仿宋_GB2312"/>
          <w:sz w:val="32"/>
          <w:szCs w:val="32"/>
        </w:rPr>
      </w:pPr>
      <w:r>
        <w:rPr>
          <w:rFonts w:hint="eastAsia" w:ascii="仿宋_GB2312" w:eastAsia="仿宋_GB2312"/>
          <w:kern w:val="0"/>
          <w:sz w:val="32"/>
          <w:szCs w:val="32"/>
        </w:rPr>
        <w:t>本次绩效评价</w:t>
      </w:r>
      <w:r>
        <w:rPr>
          <w:rFonts w:hint="eastAsia" w:ascii="仿宋_GB2312" w:eastAsia="仿宋_GB2312"/>
          <w:sz w:val="32"/>
          <w:szCs w:val="32"/>
        </w:rPr>
        <w:t>对项目单位在项目决策、项目管理、项目绩效方面的情况进行专家组现场评价，专家组通过查阅相关资料，与项目单位沟通交流，形成绩效评价综合结论。</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2. 评价指标体系及评分标准</w:t>
      </w:r>
    </w:p>
    <w:p>
      <w:pPr>
        <w:spacing w:line="360" w:lineRule="auto"/>
        <w:ind w:firstLine="640" w:firstLineChars="200"/>
        <w:contextualSpacing/>
        <w:rPr>
          <w:rFonts w:ascii="仿宋_GB2312" w:eastAsia="仿宋_GB2312" w:cs="仿宋_GB2312"/>
          <w:bCs/>
          <w:sz w:val="32"/>
          <w:szCs w:val="32"/>
        </w:rPr>
      </w:pPr>
      <w:r>
        <w:rPr>
          <w:rFonts w:hint="eastAsia" w:ascii="仿宋_GB2312" w:eastAsia="仿宋_GB2312" w:cs="仿宋_GB2312"/>
          <w:bCs/>
          <w:sz w:val="32"/>
          <w:szCs w:val="32"/>
        </w:rPr>
        <w:t>详见《项目支出指标体系及评分情况表》。</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（三）绩效评价工作过程</w:t>
      </w:r>
    </w:p>
    <w:p>
      <w:pPr>
        <w:spacing w:line="360" w:lineRule="auto"/>
        <w:ind w:firstLine="643" w:firstLineChars="200"/>
        <w:contextualSpacing/>
        <w:rPr>
          <w:rFonts w:ascii="仿宋_GB2312" w:eastAsia="仿宋_GB2312"/>
          <w:b/>
          <w:kern w:val="44"/>
          <w:sz w:val="32"/>
          <w:szCs w:val="32"/>
        </w:rPr>
      </w:pPr>
      <w:r>
        <w:rPr>
          <w:rFonts w:hint="eastAsia" w:ascii="仿宋_GB2312" w:eastAsia="仿宋_GB2312"/>
          <w:b/>
          <w:kern w:val="44"/>
          <w:sz w:val="32"/>
          <w:szCs w:val="32"/>
        </w:rPr>
        <w:t>1.评价组织实施</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（1）前期准备情况</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1）全面了解项目有关情况，组建工作组</w:t>
      </w:r>
    </w:p>
    <w:p>
      <w:pPr>
        <w:spacing w:line="360" w:lineRule="auto"/>
        <w:ind w:firstLine="640" w:firstLineChars="200"/>
        <w:contextualSpacing/>
        <w:rPr>
          <w:rFonts w:ascii="仿宋_GB2312" w:eastAsia="仿宋_GB2312" w:cs="仿宋_GB2312"/>
          <w:sz w:val="32"/>
          <w:szCs w:val="32"/>
        </w:rPr>
      </w:pPr>
      <w:r>
        <w:rPr>
          <w:rFonts w:hint="eastAsia" w:ascii="仿宋_GB2312" w:eastAsia="仿宋_GB2312" w:cs="仿宋_GB2312"/>
          <w:sz w:val="32"/>
          <w:szCs w:val="32"/>
        </w:rPr>
        <w:t>2022年4月20日组建了评价工作组，明确了各方职责。2022年4月25日评价工作组第一次进行入户，在与项目单位充分沟通的基础上进行项目资料收集、整理和分析工作。</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2）制定工作方案，明确时间及进度要求</w:t>
      </w:r>
    </w:p>
    <w:p>
      <w:pPr>
        <w:spacing w:line="360" w:lineRule="auto"/>
        <w:ind w:firstLine="640" w:firstLineChars="200"/>
        <w:contextualSpacing/>
        <w:rPr>
          <w:rFonts w:ascii="仿宋_GB2312" w:eastAsia="仿宋_GB2312" w:cs="仿宋_GB2312"/>
          <w:sz w:val="32"/>
          <w:szCs w:val="32"/>
        </w:rPr>
      </w:pPr>
      <w:r>
        <w:rPr>
          <w:rFonts w:hint="eastAsia" w:ascii="仿宋_GB2312" w:eastAsia="仿宋_GB2312" w:cs="仿宋_GB2312"/>
          <w:sz w:val="32"/>
          <w:szCs w:val="32"/>
        </w:rPr>
        <w:t>为了保证按时按质完成绩效评价工作，评价工作组认真研究制定项目绩效评价工作方案。方案中根据本次绩效评价工作的任务和时间要求，确定了绩效评价具体工作内容和进度安排，明确工作内容、责任主体以及时间等事项。</w:t>
      </w:r>
    </w:p>
    <w:p>
      <w:pPr>
        <w:spacing w:line="360" w:lineRule="auto"/>
        <w:ind w:firstLine="643" w:firstLineChars="200"/>
        <w:contextualSpacing/>
        <w:rPr>
          <w:rFonts w:ascii="仿宋_GB2312" w:eastAsia="仿宋_GB2312" w:cs="仿宋_GB2312"/>
          <w:sz w:val="32"/>
          <w:szCs w:val="32"/>
        </w:rPr>
      </w:pPr>
      <w:r>
        <w:rPr>
          <w:rFonts w:hint="eastAsia" w:ascii="仿宋_GB2312" w:hAnsi="宋体" w:eastAsia="仿宋_GB2312" w:cs="仿宋_GB2312"/>
          <w:b/>
          <w:bCs/>
          <w:sz w:val="32"/>
          <w:szCs w:val="32"/>
        </w:rPr>
        <w:t>3）辅导项目单位编写绩效报告</w:t>
      </w:r>
    </w:p>
    <w:p>
      <w:pPr>
        <w:spacing w:line="360" w:lineRule="auto"/>
        <w:ind w:firstLine="640" w:firstLineChars="200"/>
        <w:contextualSpacing/>
        <w:rPr>
          <w:rFonts w:ascii="仿宋_GB2312" w:hAnsi="宋体" w:eastAsia="仿宋_GB2312" w:cs="仿宋_GB2312"/>
          <w:b/>
          <w:bCs/>
          <w:sz w:val="32"/>
          <w:szCs w:val="32"/>
        </w:rPr>
      </w:pPr>
      <w:r>
        <w:rPr>
          <w:rFonts w:hint="eastAsia" w:ascii="仿宋_GB2312" w:hAnsi="仿宋_GB2312" w:eastAsia="仿宋_GB2312" w:cs="仿宋_GB2312"/>
          <w:color w:val="000000"/>
          <w:sz w:val="32"/>
          <w:szCs w:val="32"/>
        </w:rPr>
        <w:t>通过分析项目资料，深入了解项目工作流程、项目工作内容、项目取得的成果、资金使用状况、现有的项目管理经验和问题等信息，评价工作组结合项目的特点，对绩效报告范本进行了完善和细化，对评价的主要指标和重点内容进行了提示和补充。为了确保绩效报告编报质量和绩效评价工作的顺利开展，评价工作组与项目单位就绩效评价工作安排</w:t>
      </w:r>
      <w:r>
        <w:rPr>
          <w:rFonts w:hint="eastAsia" w:ascii="仿宋_GB2312" w:hAnsi="仿宋_GB2312" w:eastAsia="仿宋_GB2312" w:cs="仿宋_GB2312"/>
          <w:sz w:val="32"/>
          <w:szCs w:val="32"/>
        </w:rPr>
        <w:t>、资料准备</w:t>
      </w:r>
      <w:r>
        <w:rPr>
          <w:rFonts w:hint="eastAsia" w:ascii="仿宋_GB2312" w:hAnsi="仿宋_GB2312" w:eastAsia="仿宋_GB2312" w:cs="仿宋_GB2312"/>
          <w:color w:val="000000"/>
          <w:sz w:val="32"/>
          <w:szCs w:val="32"/>
        </w:rPr>
        <w:t>和绩效报告编制工作进行了多次沟通，对提高绩效材料编报质量、顺利完成绩效评价工作起到了促进作用。</w:t>
      </w:r>
    </w:p>
    <w:p>
      <w:pPr>
        <w:spacing w:line="360" w:lineRule="auto"/>
        <w:ind w:firstLine="643" w:firstLineChars="200"/>
        <w:contextualSpacing/>
        <w:rPr>
          <w:rFonts w:ascii="仿宋_GB2312" w:eastAsia="仿宋_GB2312" w:cs="仿宋_GB2312"/>
          <w:b/>
          <w:bCs/>
          <w:sz w:val="32"/>
          <w:szCs w:val="32"/>
        </w:rPr>
      </w:pPr>
      <w:bookmarkStart w:id="8" w:name="_Toc331420051"/>
      <w:bookmarkStart w:id="9" w:name="_Toc331419439"/>
      <w:r>
        <w:rPr>
          <w:rFonts w:hint="eastAsia" w:ascii="仿宋_GB2312" w:eastAsia="仿宋_GB2312" w:cs="仿宋_GB2312"/>
          <w:b/>
          <w:bCs/>
          <w:sz w:val="32"/>
          <w:szCs w:val="32"/>
        </w:rPr>
        <w:t>（2）实施阶段</w:t>
      </w:r>
      <w:bookmarkEnd w:id="8"/>
      <w:bookmarkEnd w:id="9"/>
    </w:p>
    <w:p>
      <w:pPr>
        <w:spacing w:line="360" w:lineRule="auto"/>
        <w:ind w:firstLine="643" w:firstLineChars="200"/>
        <w:contextualSpacing/>
        <w:rPr>
          <w:rFonts w:ascii="仿宋_GB2312" w:eastAsia="仿宋_GB2312" w:cs="仿宋_GB2312"/>
          <w:b/>
          <w:bCs/>
          <w:sz w:val="32"/>
          <w:szCs w:val="32"/>
        </w:rPr>
      </w:pPr>
      <w:bookmarkStart w:id="10" w:name="_Toc331420052"/>
      <w:bookmarkStart w:id="11" w:name="_Toc331419440"/>
      <w:r>
        <w:rPr>
          <w:rFonts w:hint="eastAsia" w:ascii="仿宋_GB2312" w:eastAsia="仿宋_GB2312" w:cs="仿宋_GB2312"/>
          <w:b/>
          <w:bCs/>
          <w:sz w:val="32"/>
          <w:szCs w:val="32"/>
        </w:rPr>
        <w:t>1）组建绩效评价专家组</w:t>
      </w:r>
      <w:bookmarkEnd w:id="10"/>
      <w:bookmarkEnd w:id="11"/>
    </w:p>
    <w:p>
      <w:pPr>
        <w:spacing w:line="360" w:lineRule="auto"/>
        <w:ind w:firstLine="640" w:firstLineChars="200"/>
        <w:contextualSpacing/>
        <w:rPr>
          <w:rFonts w:ascii="仿宋_GB2312" w:eastAsia="仿宋_GB2312"/>
          <w:color w:val="000000"/>
          <w:sz w:val="32"/>
          <w:szCs w:val="32"/>
        </w:rPr>
      </w:pPr>
      <w:r>
        <w:rPr>
          <w:rFonts w:hint="eastAsia" w:ascii="仿宋_GB2312" w:hAnsi="仿宋_GB2312" w:eastAsia="仿宋_GB2312" w:cs="仿宋_GB2312"/>
          <w:color w:val="000000"/>
          <w:sz w:val="32"/>
          <w:szCs w:val="32"/>
        </w:rPr>
        <w:t>在公平公正的前提下，评价工作组选取了从事相关业务领域的业务、管理专家，从技术角度把握项目实际目标完成情况，分析项目实施及管理存在的问题，提出改进建议。本次业务装备费项目绩效评价，评价工作组共选择了5位专家，其中管理专家2位，业务专家2位、财务专家1位。</w:t>
      </w:r>
    </w:p>
    <w:p>
      <w:pPr>
        <w:spacing w:line="360" w:lineRule="auto"/>
        <w:ind w:firstLine="803" w:firstLineChars="250"/>
        <w:contextualSpacing/>
        <w:rPr>
          <w:rFonts w:ascii="仿宋_GB2312" w:eastAsia="仿宋_GB2312" w:cs="仿宋_GB2312"/>
          <w:b/>
          <w:bCs/>
          <w:sz w:val="32"/>
          <w:szCs w:val="32"/>
        </w:rPr>
      </w:pPr>
      <w:r>
        <w:rPr>
          <w:rFonts w:hint="eastAsia" w:ascii="仿宋_GB2312" w:eastAsia="仿宋_GB2312" w:cs="仿宋_GB2312"/>
          <w:b/>
          <w:bCs/>
          <w:sz w:val="32"/>
          <w:szCs w:val="32"/>
        </w:rPr>
        <w:t>2）培训专家并发放绩效材料</w:t>
      </w:r>
    </w:p>
    <w:p>
      <w:pPr>
        <w:spacing w:line="360" w:lineRule="auto"/>
        <w:ind w:firstLine="800" w:firstLineChars="250"/>
        <w:contextualSpacing/>
        <w:rPr>
          <w:rFonts w:ascii="仿宋_GB2312" w:hAnsi="宋体" w:eastAsia="仿宋_GB2312"/>
          <w:b/>
          <w:bCs/>
          <w:sz w:val="32"/>
          <w:szCs w:val="32"/>
        </w:rPr>
      </w:pPr>
      <w:r>
        <w:rPr>
          <w:rFonts w:hint="eastAsia" w:ascii="仿宋_GB2312" w:hAnsi="宋体" w:eastAsia="仿宋_GB2312" w:cs="仿宋_GB2312"/>
          <w:sz w:val="32"/>
          <w:szCs w:val="32"/>
        </w:rPr>
        <w:t>在评价工作开始之前，</w:t>
      </w:r>
      <w:r>
        <w:rPr>
          <w:rFonts w:hint="eastAsia" w:ascii="仿宋_GB2312" w:hAnsi="仿宋_GB2312" w:eastAsia="仿宋_GB2312" w:cs="仿宋_GB2312"/>
          <w:color w:val="000000"/>
          <w:sz w:val="32"/>
          <w:szCs w:val="32"/>
        </w:rPr>
        <w:t>评价工作组</w:t>
      </w:r>
      <w:r>
        <w:rPr>
          <w:rFonts w:hint="eastAsia" w:ascii="仿宋_GB2312" w:hAnsi="宋体" w:eastAsia="仿宋_GB2312" w:cs="仿宋_GB2312"/>
          <w:sz w:val="32"/>
          <w:szCs w:val="32"/>
        </w:rPr>
        <w:t>与专家签订“专家承诺书”，要求专家遵守评价规则、保密原则，并对专家进行系统的培训。</w:t>
      </w:r>
      <w:r>
        <w:rPr>
          <w:rFonts w:hint="eastAsia" w:ascii="仿宋_GB2312" w:hAnsi="仿宋_GB2312" w:eastAsia="仿宋_GB2312" w:cs="仿宋_GB2312"/>
          <w:color w:val="000000"/>
          <w:sz w:val="32"/>
          <w:szCs w:val="32"/>
        </w:rPr>
        <w:t>评价工作组</w:t>
      </w:r>
      <w:r>
        <w:rPr>
          <w:rFonts w:hint="eastAsia" w:ascii="仿宋_GB2312" w:hAnsi="宋体" w:eastAsia="仿宋_GB2312" w:cs="仿宋_GB2312"/>
          <w:sz w:val="32"/>
          <w:szCs w:val="32"/>
        </w:rPr>
        <w:t>为专家制作了专家工作手册，从绩效评价工作的政策和技术角度向专家介绍了绩效评价指标、评分标准、工作方法、注意事项以及项目单位和项目的基本情况等。将项目单位报送的绩效报告及相关材料发放给专家，请专家熟悉项目情况，便于后续的现场调研及评价</w:t>
      </w:r>
      <w:bookmarkStart w:id="12" w:name="_Toc331420054"/>
      <w:bookmarkStart w:id="13" w:name="_Toc331419442"/>
      <w:r>
        <w:rPr>
          <w:rFonts w:hint="eastAsia" w:ascii="仿宋_GB2312" w:hAnsi="宋体" w:eastAsia="仿宋_GB2312" w:cs="仿宋_GB2312"/>
          <w:sz w:val="32"/>
          <w:szCs w:val="32"/>
        </w:rPr>
        <w:t>。</w:t>
      </w:r>
      <w:bookmarkEnd w:id="12"/>
      <w:bookmarkEnd w:id="13"/>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（3）分析评价</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1）召开现场（腾讯视频会议）评价会</w:t>
      </w:r>
    </w:p>
    <w:p>
      <w:pPr>
        <w:spacing w:line="360" w:lineRule="auto"/>
        <w:ind w:firstLine="640" w:firstLineChars="200"/>
        <w:contextualSpacing/>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2022年5月16日，评价工作组组织召开了腾讯会议视频评价会，</w:t>
      </w:r>
      <w:r>
        <w:rPr>
          <w:rFonts w:hint="eastAsia" w:ascii="仿宋_GB2312" w:hAnsi="仿宋_GB2312" w:eastAsia="仿宋_GB2312" w:cs="仿宋_GB2312"/>
          <w:color w:val="000000"/>
          <w:sz w:val="32"/>
          <w:szCs w:val="32"/>
        </w:rPr>
        <w:t>由评价工作组、专家组及区检察院等相关人员共同参加。会议就前期</w:t>
      </w:r>
      <w:r>
        <w:rPr>
          <w:rFonts w:hint="eastAsia" w:ascii="仿宋_GB2312" w:hAnsi="仿宋_GB2312" w:eastAsia="仿宋_GB2312" w:cs="仿宋_GB2312"/>
          <w:sz w:val="32"/>
          <w:szCs w:val="32"/>
        </w:rPr>
        <w:t>收集的资料、</w:t>
      </w:r>
      <w:r>
        <w:rPr>
          <w:rFonts w:hint="eastAsia" w:ascii="仿宋_GB2312" w:hAnsi="仿宋_GB2312" w:eastAsia="仿宋_GB2312" w:cs="仿宋_GB2312"/>
          <w:color w:val="000000"/>
          <w:sz w:val="32"/>
          <w:szCs w:val="32"/>
        </w:rPr>
        <w:t>了解到的情况及现场评价中发现的情况与区检察院相关人员进行了沟通。</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2）形成专家组意见</w:t>
      </w:r>
    </w:p>
    <w:p>
      <w:pPr>
        <w:spacing w:line="360" w:lineRule="auto"/>
        <w:ind w:firstLine="640" w:firstLineChars="200"/>
        <w:contextualSpacing/>
        <w:rPr>
          <w:rFonts w:ascii="仿宋_GB2312" w:eastAsia="仿宋_GB2312"/>
          <w:color w:val="000000"/>
          <w:sz w:val="32"/>
          <w:szCs w:val="32"/>
        </w:rPr>
      </w:pPr>
      <w:r>
        <w:rPr>
          <w:rFonts w:hint="eastAsia" w:ascii="仿宋_GB2312" w:hAnsi="仿宋_GB2312" w:eastAsia="仿宋_GB2312" w:cs="仿宋_GB2312"/>
          <w:color w:val="000000"/>
          <w:sz w:val="32"/>
          <w:szCs w:val="32"/>
        </w:rPr>
        <w:t>评价会后，专家出具个人专家意见，并通过讨论形成对项目总体的初步专家组意见。评价工作组对专家意见进行了汇总，形成了最终的专家组意见。</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3）撰写并报送评价报告</w:t>
      </w:r>
    </w:p>
    <w:p>
      <w:pPr>
        <w:spacing w:line="360" w:lineRule="auto"/>
        <w:ind w:firstLine="640" w:firstLineChars="200"/>
        <w:contextualSpacing/>
        <w:rPr>
          <w:rFonts w:ascii="仿宋_GB2312" w:eastAsia="仿宋_GB2312" w:cs="仿宋_GB2312"/>
          <w:sz w:val="32"/>
          <w:szCs w:val="32"/>
        </w:rPr>
      </w:pPr>
      <w:r>
        <w:rPr>
          <w:rFonts w:hint="eastAsia" w:ascii="仿宋_GB2312" w:hAnsi="仿宋_GB2312" w:eastAsia="仿宋_GB2312" w:cs="仿宋_GB2312"/>
          <w:color w:val="000000"/>
          <w:sz w:val="32"/>
          <w:szCs w:val="32"/>
        </w:rPr>
        <w:t>评价工作组</w:t>
      </w:r>
      <w:r>
        <w:rPr>
          <w:rFonts w:hint="eastAsia" w:ascii="仿宋_GB2312" w:hAnsi="宋体" w:eastAsia="仿宋_GB2312" w:cs="仿宋_GB2312"/>
          <w:sz w:val="32"/>
          <w:szCs w:val="32"/>
        </w:rPr>
        <w:t>根据专家组意见，撰写评价报告，总结本次评价工作，提交绩效评价报告。</w:t>
      </w:r>
    </w:p>
    <w:p>
      <w:pPr>
        <w:spacing w:line="360" w:lineRule="auto"/>
        <w:ind w:firstLine="643" w:firstLineChars="200"/>
        <w:contextualSpacing/>
        <w:rPr>
          <w:rFonts w:ascii="仿宋_GB2312" w:eastAsia="仿宋_GB2312"/>
          <w:b/>
          <w:sz w:val="32"/>
          <w:szCs w:val="32"/>
        </w:rPr>
      </w:pPr>
      <w:r>
        <w:rPr>
          <w:rFonts w:hint="eastAsia" w:ascii="仿宋_GB2312" w:eastAsia="仿宋_GB2312"/>
          <w:b/>
          <w:sz w:val="32"/>
          <w:szCs w:val="32"/>
        </w:rPr>
        <w:t>三.综合评价情况及评价结论（附相关评分表）</w:t>
      </w:r>
    </w:p>
    <w:p>
      <w:pPr>
        <w:spacing w:line="360" w:lineRule="auto"/>
        <w:ind w:firstLine="420" w:firstLineChars="200"/>
        <w:contextualSpacing/>
        <w:rPr>
          <w:rFonts w:ascii="仿宋_GB2312" w:hAnsi="仿宋_GB2312" w:eastAsia="仿宋_GB2312" w:cs="仿宋_GB2312"/>
          <w:color w:val="000000"/>
          <w:sz w:val="32"/>
          <w:szCs w:val="32"/>
        </w:rPr>
      </w:pPr>
      <w:r>
        <w:drawing>
          <wp:anchor distT="0" distB="0" distL="114300" distR="114300" simplePos="0" relativeHeight="251658240" behindDoc="1" locked="0" layoutInCell="1" allowOverlap="1">
            <wp:simplePos x="0" y="0"/>
            <wp:positionH relativeFrom="column">
              <wp:posOffset>-342900</wp:posOffset>
            </wp:positionH>
            <wp:positionV relativeFrom="paragraph">
              <wp:posOffset>1245870</wp:posOffset>
            </wp:positionV>
            <wp:extent cx="6290310" cy="6400800"/>
            <wp:effectExtent l="0" t="0" r="0" b="0"/>
            <wp:wrapTight wrapText="bothSides">
              <wp:wrapPolygon>
                <wp:start x="0" y="0"/>
                <wp:lineTo x="0" y="21536"/>
                <wp:lineTo x="21522" y="21536"/>
                <wp:lineTo x="21522"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290310" cy="6400800"/>
                    </a:xfrm>
                    <a:prstGeom prst="rect">
                      <a:avLst/>
                    </a:prstGeom>
                    <a:noFill/>
                  </pic:spPr>
                </pic:pic>
              </a:graphicData>
            </a:graphic>
          </wp:anchor>
        </w:drawing>
      </w:r>
      <w:r>
        <w:rPr>
          <w:rFonts w:hint="eastAsia" w:ascii="仿宋_GB2312" w:hAnsi="仿宋_GB2312" w:eastAsia="仿宋_GB2312" w:cs="仿宋_GB2312"/>
          <w:color w:val="000000"/>
          <w:sz w:val="32"/>
          <w:szCs w:val="32"/>
        </w:rPr>
        <w:t>通过评价，业务装备费项目评价综合得分为84.32分，其中：项目决策11.24分，项目管理22.58分，项目绩效50.50分，项目绩效评定为“良好”。</w:t>
      </w:r>
    </w:p>
    <w:p>
      <w:pPr>
        <w:pStyle w:val="2"/>
        <w:ind w:firstLine="420"/>
        <w:jc w:val="center"/>
      </w:pPr>
      <w:r>
        <w:drawing>
          <wp:inline distT="0" distB="0" distL="0" distR="0">
            <wp:extent cx="5274310" cy="3996690"/>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74310" cy="3996690"/>
                    </a:xfrm>
                    <a:prstGeom prst="rect">
                      <a:avLst/>
                    </a:prstGeom>
                    <a:noFill/>
                    <a:ln>
                      <a:noFill/>
                    </a:ln>
                  </pic:spPr>
                </pic:pic>
              </a:graphicData>
            </a:graphic>
          </wp:inline>
        </w:drawing>
      </w:r>
    </w:p>
    <w:p>
      <w:pPr>
        <w:spacing w:line="360" w:lineRule="auto"/>
        <w:ind w:firstLine="643" w:firstLineChars="200"/>
        <w:contextualSpacing/>
        <w:rPr>
          <w:rFonts w:ascii="仿宋_GB2312" w:eastAsia="仿宋_GB2312"/>
          <w:b/>
          <w:sz w:val="32"/>
          <w:szCs w:val="32"/>
        </w:rPr>
      </w:pPr>
      <w:r>
        <w:rPr>
          <w:rFonts w:hint="eastAsia" w:ascii="仿宋_GB2312" w:eastAsia="仿宋_GB2312"/>
          <w:b/>
          <w:sz w:val="32"/>
          <w:szCs w:val="32"/>
        </w:rPr>
        <w:t>四.绩效评价指标分析</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(一)项目决策情况</w:t>
      </w:r>
    </w:p>
    <w:p>
      <w:pPr>
        <w:adjustRightInd w:val="0"/>
        <w:snapToGrid w:val="0"/>
        <w:spacing w:line="600" w:lineRule="exact"/>
        <w:ind w:firstLine="640" w:firstLineChars="200"/>
        <w:rPr>
          <w:rFonts w:ascii="仿宋_GB2312" w:eastAsia="仿宋_GB2312"/>
          <w:bCs/>
          <w:sz w:val="32"/>
          <w:szCs w:val="32"/>
        </w:rPr>
      </w:pPr>
      <w:r>
        <w:rPr>
          <w:rFonts w:hint="eastAsia" w:ascii="仿宋_GB2312" w:eastAsia="仿宋_GB2312"/>
          <w:bCs/>
          <w:sz w:val="32"/>
          <w:szCs w:val="32"/>
        </w:rPr>
        <w:t>区检察院办公室是业务装备费项目组织部门。为了满足日常办案办公需要，提升办案科技水平，通过以下决策流程，决定出2021年度需采购业务装备清单。流程如下：</w:t>
      </w:r>
    </w:p>
    <w:p>
      <w:pPr>
        <w:adjustRightInd w:val="0"/>
        <w:snapToGrid w:val="0"/>
        <w:spacing w:line="600" w:lineRule="exact"/>
        <w:ind w:firstLine="640" w:firstLineChars="200"/>
        <w:rPr>
          <w:rFonts w:ascii="仿宋_GB2312" w:eastAsia="仿宋_GB2312"/>
          <w:bCs/>
          <w:sz w:val="32"/>
          <w:szCs w:val="32"/>
        </w:rPr>
      </w:pPr>
      <w:r>
        <w:rPr>
          <w:rFonts w:hint="eastAsia" w:ascii="仿宋_GB2312" w:hAnsi="仿宋_GB2312" w:eastAsia="仿宋_GB2312"/>
          <w:bCs/>
          <w:sz w:val="32"/>
          <w:szCs w:val="32"/>
        </w:rPr>
        <w:t>第一步：</w:t>
      </w:r>
      <w:r>
        <w:rPr>
          <w:rFonts w:hint="eastAsia" w:ascii="仿宋_GB2312" w:hAnsi="仿宋_GB2312" w:eastAsia="仿宋_GB2312"/>
          <w:sz w:val="32"/>
          <w:szCs w:val="32"/>
        </w:rPr>
        <w:t>征求各部门装备采购需求；</w:t>
      </w:r>
    </w:p>
    <w:p>
      <w:pPr>
        <w:adjustRightInd w:val="0"/>
        <w:snapToGrid w:val="0"/>
        <w:spacing w:line="600" w:lineRule="exact"/>
        <w:ind w:firstLine="640" w:firstLineChars="200"/>
        <w:rPr>
          <w:rFonts w:ascii="仿宋_GB2312" w:eastAsia="仿宋_GB2312"/>
          <w:bCs/>
          <w:sz w:val="32"/>
          <w:szCs w:val="32"/>
        </w:rPr>
      </w:pPr>
      <w:r>
        <w:rPr>
          <w:rFonts w:hint="eastAsia" w:ascii="仿宋_GB2312" w:hAnsi="仿宋_GB2312" w:eastAsia="仿宋_GB2312"/>
          <w:bCs/>
          <w:sz w:val="32"/>
          <w:szCs w:val="32"/>
        </w:rPr>
        <w:t>第二步：</w:t>
      </w:r>
      <w:r>
        <w:rPr>
          <w:rFonts w:ascii="仿宋_GB2312" w:hAnsi="仿宋_GB2312" w:eastAsia="仿宋_GB2312"/>
          <w:sz w:val="32"/>
          <w:szCs w:val="32"/>
        </w:rPr>
        <w:t xml:space="preserve"> </w:t>
      </w:r>
      <w:r>
        <w:rPr>
          <w:rFonts w:hint="eastAsia" w:ascii="仿宋_GB2312" w:hAnsi="仿宋_GB2312" w:eastAsia="仿宋_GB2312"/>
          <w:sz w:val="32"/>
          <w:szCs w:val="32"/>
        </w:rPr>
        <w:t>汇总各部门装备采购需求；</w:t>
      </w:r>
    </w:p>
    <w:p>
      <w:pPr>
        <w:adjustRightInd w:val="0"/>
        <w:snapToGrid w:val="0"/>
        <w:spacing w:line="600" w:lineRule="exact"/>
        <w:ind w:firstLine="640" w:firstLineChars="200"/>
        <w:rPr>
          <w:rFonts w:ascii="仿宋_GB2312" w:eastAsia="仿宋_GB2312"/>
          <w:bCs/>
          <w:sz w:val="32"/>
          <w:szCs w:val="32"/>
        </w:rPr>
      </w:pPr>
      <w:r>
        <w:rPr>
          <w:rFonts w:hint="eastAsia" w:ascii="仿宋_GB2312" w:hAnsi="仿宋_GB2312" w:eastAsia="仿宋_GB2312"/>
          <w:bCs/>
          <w:sz w:val="32"/>
          <w:szCs w:val="32"/>
        </w:rPr>
        <w:t>第三步：</w:t>
      </w:r>
      <w:r>
        <w:rPr>
          <w:rFonts w:hint="eastAsia" w:ascii="仿宋_GB2312" w:hAnsi="仿宋_GB2312" w:eastAsia="仿宋_GB2312"/>
          <w:sz w:val="32"/>
          <w:szCs w:val="32"/>
        </w:rPr>
        <w:t>会同资产管理员审核资产装备是否到期报废及配备标准、数量等情况，提出采购计划；</w:t>
      </w:r>
    </w:p>
    <w:p>
      <w:pPr>
        <w:adjustRightInd w:val="0"/>
        <w:snapToGrid w:val="0"/>
        <w:spacing w:line="600" w:lineRule="exact"/>
        <w:ind w:firstLine="640" w:firstLineChars="200"/>
        <w:rPr>
          <w:rFonts w:ascii="仿宋_GB2312" w:eastAsia="仿宋_GB2312"/>
          <w:bCs/>
          <w:sz w:val="32"/>
          <w:szCs w:val="32"/>
        </w:rPr>
      </w:pPr>
      <w:r>
        <w:rPr>
          <w:rFonts w:hint="eastAsia" w:ascii="仿宋_GB2312" w:hAnsi="仿宋_GB2312" w:eastAsia="仿宋_GB2312"/>
          <w:bCs/>
          <w:sz w:val="32"/>
          <w:szCs w:val="32"/>
        </w:rPr>
        <w:t>第四步：</w:t>
      </w:r>
      <w:r>
        <w:rPr>
          <w:rFonts w:hint="eastAsia" w:ascii="仿宋_GB2312" w:hAnsi="仿宋_GB2312" w:eastAsia="仿宋_GB2312"/>
          <w:sz w:val="32"/>
          <w:szCs w:val="32"/>
        </w:rPr>
        <w:t>采购计划提请主管财务院领导审核；</w:t>
      </w:r>
    </w:p>
    <w:p>
      <w:pPr>
        <w:adjustRightInd w:val="0"/>
        <w:snapToGrid w:val="0"/>
        <w:spacing w:line="600" w:lineRule="exact"/>
        <w:ind w:firstLine="640" w:firstLineChars="200"/>
        <w:rPr>
          <w:rFonts w:ascii="仿宋_GB2312" w:eastAsia="仿宋_GB2312"/>
          <w:bCs/>
          <w:sz w:val="32"/>
          <w:szCs w:val="32"/>
        </w:rPr>
      </w:pPr>
      <w:r>
        <w:rPr>
          <w:rFonts w:hint="eastAsia" w:ascii="仿宋_GB2312" w:hAnsi="仿宋_GB2312" w:eastAsia="仿宋_GB2312"/>
          <w:bCs/>
          <w:sz w:val="32"/>
          <w:szCs w:val="32"/>
        </w:rPr>
        <w:t>第五步：</w:t>
      </w:r>
      <w:r>
        <w:rPr>
          <w:rFonts w:hint="eastAsia" w:ascii="仿宋_GB2312" w:hAnsi="仿宋_GB2312" w:eastAsia="仿宋_GB2312"/>
          <w:sz w:val="32"/>
          <w:szCs w:val="32"/>
        </w:rPr>
        <w:t>提请通过党组会审议，决定出最终需采购的业务装备清单。</w:t>
      </w:r>
    </w:p>
    <w:p>
      <w:pPr>
        <w:pStyle w:val="2"/>
        <w:ind w:firstLine="640"/>
      </w:pPr>
      <w:r>
        <w:rPr>
          <w:rFonts w:hint="eastAsia" w:ascii="仿宋_GB2312" w:eastAsia="仿宋_GB2312" w:cs="仿宋_GB2312"/>
          <w:sz w:val="32"/>
          <w:szCs w:val="32"/>
        </w:rPr>
        <w:t>评价认为，项目组织实施情况有待提高，</w:t>
      </w:r>
      <w:r>
        <w:rPr>
          <w:rFonts w:hint="eastAsia" w:ascii="仿宋_GB2312" w:hAnsi="仿宋_GB2312" w:eastAsia="仿宋_GB2312" w:cs="仿宋_GB2312"/>
          <w:sz w:val="32"/>
          <w:szCs w:val="32"/>
        </w:rPr>
        <w:t>项目实施的计划性不足。</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（二）项目过程情况</w:t>
      </w:r>
    </w:p>
    <w:p>
      <w:pPr>
        <w:spacing w:line="360" w:lineRule="auto"/>
        <w:ind w:firstLine="643" w:firstLineChars="200"/>
        <w:contextualSpacing/>
        <w:rPr>
          <w:rFonts w:ascii="仿宋_GB2312" w:eastAsia="仿宋_GB2312" w:cs="仿宋_GB2312"/>
          <w:b/>
          <w:bCs/>
          <w:sz w:val="32"/>
          <w:szCs w:val="32"/>
        </w:rPr>
      </w:pPr>
      <w:r>
        <w:rPr>
          <w:rFonts w:hint="eastAsia" w:ascii="仿宋_GB2312" w:eastAsia="仿宋_GB2312" w:cs="仿宋_GB2312"/>
          <w:b/>
          <w:bCs/>
          <w:sz w:val="32"/>
          <w:szCs w:val="32"/>
        </w:rPr>
        <w:t xml:space="preserve">1.项目采购过程分析 </w:t>
      </w:r>
    </w:p>
    <w:p>
      <w:pPr>
        <w:adjustRightInd w:val="0"/>
        <w:snapToGrid w:val="0"/>
        <w:spacing w:line="600" w:lineRule="exact"/>
        <w:ind w:firstLine="640" w:firstLineChars="200"/>
        <w:rPr>
          <w:rFonts w:ascii="仿宋_GB2312" w:hAnsi="宋体" w:eastAsia="仿宋_GB2312"/>
          <w:bCs/>
          <w:sz w:val="32"/>
          <w:szCs w:val="32"/>
        </w:rPr>
      </w:pPr>
      <w:r>
        <w:rPr>
          <w:rFonts w:hint="eastAsia" w:ascii="仿宋_GB2312" w:eastAsia="仿宋_GB2312"/>
          <w:bCs/>
          <w:sz w:val="32"/>
          <w:szCs w:val="32"/>
        </w:rPr>
        <w:t>办公室根据内部决策及年初业务装备费预算申报情况，依据政府采购管理办法等相关要求，共组织了八次业务装备采购。</w:t>
      </w:r>
      <w:r>
        <w:rPr>
          <w:rFonts w:hint="eastAsia" w:ascii="仿宋_GB2312" w:hAnsi="宋体" w:eastAsia="仿宋_GB2312"/>
          <w:bCs/>
          <w:sz w:val="32"/>
          <w:szCs w:val="32"/>
        </w:rPr>
        <w:t>装备收货完成调试安装等步骤后，根据业务装备采购合同，由需求部门、办公室采购人员共同参与装备验收，对装备的数量、质量等进行检查，并在验收单上签字盖章，同时对接资产管理员填写资产入库单并签字确认。</w:t>
      </w:r>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评价认为，</w:t>
      </w:r>
      <w:r>
        <w:rPr>
          <w:rFonts w:hint="eastAsia" w:ascii="仿宋_GB2312" w:hAnsi="仿宋_GB2312" w:eastAsia="仿宋_GB2312" w:cs="仿宋_GB2312"/>
          <w:sz w:val="32"/>
          <w:szCs w:val="32"/>
        </w:rPr>
        <w:t>执行过程缺少项目整体实施方案，实施方案应包含：项目组织机构人员分工、实施进度安排、采购审批流程、采购方式选择、采购过程控制、项目验收、经费执行计划、绩效管理等项目执行全流程内容。</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sz w:val="32"/>
          <w:szCs w:val="32"/>
        </w:rPr>
      </w:pPr>
      <w:r>
        <w:rPr>
          <w:rFonts w:hint="eastAsia" w:ascii="仿宋_GB2312" w:eastAsia="仿宋_GB2312" w:cs="仿宋_GB2312"/>
          <w:b/>
          <w:bCs/>
          <w:sz w:val="32"/>
          <w:szCs w:val="32"/>
        </w:rPr>
        <w:t>2.</w:t>
      </w:r>
      <w:r>
        <w:rPr>
          <w:rFonts w:hint="eastAsia" w:ascii="仿宋_GB2312" w:eastAsia="仿宋_GB2312"/>
          <w:b/>
          <w:sz w:val="32"/>
          <w:szCs w:val="32"/>
        </w:rPr>
        <w:t>项目管理情况分析</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sz w:val="32"/>
          <w:szCs w:val="32"/>
        </w:rPr>
      </w:pPr>
      <w:r>
        <w:rPr>
          <w:rFonts w:hint="eastAsia" w:ascii="仿宋_GB2312" w:eastAsia="仿宋_GB2312" w:cs="仿宋_GB2312"/>
          <w:b/>
          <w:bCs/>
          <w:sz w:val="32"/>
          <w:szCs w:val="32"/>
        </w:rPr>
        <w:t>（1）</w:t>
      </w:r>
      <w:r>
        <w:rPr>
          <w:rFonts w:hint="eastAsia" w:ascii="仿宋_GB2312" w:eastAsia="仿宋_GB2312"/>
          <w:b/>
          <w:sz w:val="32"/>
          <w:szCs w:val="32"/>
        </w:rPr>
        <w:t>项目管理制度建设</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宋体" w:eastAsia="仿宋_GB2312"/>
          <w:sz w:val="32"/>
          <w:szCs w:val="32"/>
        </w:rPr>
        <w:t>区检察院建立“以预算管理为主线、以资金管控为核心”的内部控制体系，梳理明确了各经济业务活动流程及环节，依据</w:t>
      </w:r>
      <w:r>
        <w:rPr>
          <w:rFonts w:hint="eastAsia" w:ascii="仿宋_GB2312" w:eastAsia="仿宋_GB2312"/>
          <w:color w:val="000000"/>
          <w:sz w:val="32"/>
          <w:szCs w:val="32"/>
        </w:rPr>
        <w:t>北京市财政局关于《北京市人民检察院财务管理暂行办理》、《北京市财政局关于印发北京市2020-2022年政府采购集中采购目录及标准的通知》、《北京市基层检察院业务装备配备标准（修订）》</w:t>
      </w:r>
      <w:r>
        <w:rPr>
          <w:rFonts w:hint="eastAsia" w:ascii="仿宋_GB2312" w:hAnsi="宋体" w:eastAsia="仿宋_GB2312"/>
          <w:sz w:val="32"/>
          <w:szCs w:val="32"/>
        </w:rPr>
        <w:t>，建立《北京市怀柔区人民检察院预算管理办法》、《北京市怀柔区人民检察院预算项目管理办法》、《北京市怀柔区人民检察院采购管理办法》等制度，从制度上约束业务装备费支出，</w:t>
      </w:r>
      <w:r>
        <w:rPr>
          <w:rFonts w:hint="eastAsia" w:ascii="仿宋_GB2312" w:hAnsi="宋体" w:eastAsia="仿宋_GB2312"/>
          <w:color w:val="000000"/>
          <w:sz w:val="32"/>
          <w:szCs w:val="32"/>
        </w:rPr>
        <w:t>确保能把有限的资金用在刀刃上，提高资金的使用效益，会计核算更加规范，数字更加准确，支付更加及时。</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eastAsia="仿宋_GB2312"/>
          <w:color w:val="000000"/>
          <w:sz w:val="32"/>
          <w:szCs w:val="32"/>
        </w:rPr>
        <w:t>评价认为，该项目实施管理制度较健全，但</w:t>
      </w:r>
      <w:r>
        <w:rPr>
          <w:rFonts w:hint="eastAsia" w:ascii="仿宋_GB2312" w:eastAsia="仿宋_GB2312" w:cs="仿宋_GB2312"/>
          <w:sz w:val="32"/>
          <w:szCs w:val="32"/>
        </w:rPr>
        <w:t>设备验收环节管理有待加强，</w:t>
      </w:r>
      <w:r>
        <w:rPr>
          <w:rFonts w:hint="eastAsia" w:ascii="仿宋_GB2312" w:eastAsia="仿宋_GB2312"/>
          <w:color w:val="000000"/>
          <w:sz w:val="32"/>
          <w:szCs w:val="32"/>
        </w:rPr>
        <w:t>缺乏购置设备的相关技术指标验收标准认定。</w:t>
      </w:r>
    </w:p>
    <w:p>
      <w:pPr>
        <w:pBdr>
          <w:bottom w:val="single" w:color="FFFFFF" w:sz="4" w:space="31"/>
        </w:pBdr>
        <w:tabs>
          <w:tab w:val="left" w:pos="1440"/>
        </w:tabs>
        <w:spacing w:line="360" w:lineRule="auto"/>
        <w:ind w:firstLine="643" w:firstLineChars="200"/>
        <w:contextualSpacing/>
        <w:rPr>
          <w:rFonts w:ascii="仿宋_GB2312" w:eastAsia="仿宋_GB2312"/>
          <w:color w:val="000000"/>
          <w:sz w:val="32"/>
          <w:szCs w:val="32"/>
        </w:rPr>
      </w:pPr>
      <w:r>
        <w:rPr>
          <w:rFonts w:hint="eastAsia" w:ascii="仿宋_GB2312" w:hAnsi="仿宋_GB2312" w:eastAsia="仿宋_GB2312" w:cs="仿宋_GB2312"/>
          <w:b/>
          <w:sz w:val="32"/>
          <w:szCs w:val="32"/>
        </w:rPr>
        <w:t>（2）财务管理制度</w:t>
      </w:r>
    </w:p>
    <w:p>
      <w:pPr>
        <w:pBdr>
          <w:bottom w:val="single" w:color="FFFFFF" w:sz="4" w:space="31"/>
        </w:pBdr>
        <w:tabs>
          <w:tab w:val="left" w:pos="1440"/>
        </w:tabs>
        <w:spacing w:line="360" w:lineRule="auto"/>
        <w:ind w:firstLine="640" w:firstLineChars="200"/>
        <w:contextualSpacing/>
        <w:rPr>
          <w:rFonts w:ascii="仿宋_GB2312" w:eastAsia="仿宋_GB2312"/>
          <w:color w:val="000000"/>
          <w:sz w:val="32"/>
          <w:szCs w:val="32"/>
        </w:rPr>
      </w:pPr>
      <w:r>
        <w:rPr>
          <w:rFonts w:hint="eastAsia" w:ascii="仿宋_GB2312" w:eastAsia="仿宋_GB2312" w:cs="仿宋_GB2312"/>
          <w:sz w:val="32"/>
          <w:szCs w:val="32"/>
        </w:rPr>
        <w:t>区检察院制定了《北京市怀柔区人民检察院财务管理办法（试行）》，按照现行会计制度规定和北京市财政局相关要求进行核算，项目的原始凭证和记账手续齐全，所有单据均已入账，明细账、日记账按照相关规定进行登记，会计档案管理符合规定。</w:t>
      </w:r>
    </w:p>
    <w:p>
      <w:pPr>
        <w:pBdr>
          <w:bottom w:val="single" w:color="FFFFFF" w:sz="4" w:space="31"/>
        </w:pBdr>
        <w:tabs>
          <w:tab w:val="left" w:pos="1440"/>
        </w:tabs>
        <w:spacing w:line="360" w:lineRule="auto"/>
        <w:ind w:firstLine="640" w:firstLineChars="200"/>
        <w:contextualSpacing/>
        <w:rPr>
          <w:rFonts w:ascii="仿宋_GB2312" w:eastAsia="仿宋_GB2312"/>
          <w:color w:val="000000"/>
          <w:sz w:val="32"/>
          <w:szCs w:val="32"/>
        </w:rPr>
      </w:pPr>
      <w:r>
        <w:rPr>
          <w:rFonts w:hint="eastAsia" w:ascii="仿宋_GB2312" w:hAnsi="仿宋" w:eastAsia="仿宋_GB2312" w:cs="仿宋"/>
          <w:sz w:val="32"/>
          <w:szCs w:val="32"/>
        </w:rPr>
        <w:t>评价认为，该项目财务管理制度较为健全，项目资金支出审批内控管理制度较完善。</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（3）项目资金管理情况分析</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项目资金严格按照市财政资金有关管理制度、财务管理制度和“三重一大”执行办法等规定执行。资金支付前严格按照以下流程执行：</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第一步：根据装备采购计划，通过三方比价或在政府采购、电子卖场中查询并选定相关供应商，上党组会研究确定供应商;</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第二步:根据会议纪要等进行事前审批；</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第三步：进行合同审批；</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第四步：签订合同；</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第五步：装备采购；</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第六步：装备验收；</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第七步：资产入库；</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第八步：财务支出, 由业务部门提出资金使用申请，财务部门审核，确保资金专款专用。</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资金使用无截留、挪用、虚列支出等情况。资金实行专人负责、专项核算，会计核算数据准确，财务资料保存完整。</w:t>
      </w:r>
    </w:p>
    <w:p>
      <w:pPr>
        <w:pBdr>
          <w:bottom w:val="single" w:color="FFFFFF" w:sz="4" w:space="31"/>
        </w:pBdr>
        <w:tabs>
          <w:tab w:val="left" w:pos="1440"/>
        </w:tabs>
        <w:spacing w:line="360" w:lineRule="auto"/>
        <w:ind w:firstLine="640" w:firstLineChars="200"/>
        <w:contextualSpacing/>
        <w:rPr>
          <w:rFonts w:ascii="仿宋_GB2312" w:hAnsi="仿宋" w:eastAsia="仿宋_GB2312" w:cs="仿宋"/>
          <w:sz w:val="32"/>
          <w:szCs w:val="32"/>
        </w:rPr>
      </w:pPr>
      <w:r>
        <w:rPr>
          <w:rFonts w:hint="eastAsia" w:ascii="仿宋_GB2312" w:hAnsi="仿宋" w:eastAsia="仿宋_GB2312" w:cs="仿宋"/>
          <w:sz w:val="32"/>
          <w:szCs w:val="32"/>
        </w:rPr>
        <w:t xml:space="preserve">评价认为，该项目财务核算比较规范，财务手续比较健全。 </w:t>
      </w:r>
    </w:p>
    <w:p>
      <w:pPr>
        <w:pBdr>
          <w:bottom w:val="single" w:color="FFFFFF" w:sz="4" w:space="31"/>
        </w:pBdr>
        <w:tabs>
          <w:tab w:val="left" w:pos="1440"/>
        </w:tabs>
        <w:spacing w:line="360" w:lineRule="auto"/>
        <w:ind w:firstLine="643" w:firstLineChars="200"/>
        <w:contextualSpacing/>
        <w:rPr>
          <w:rFonts w:ascii="仿宋_GB2312" w:hAnsi="仿宋" w:eastAsia="仿宋_GB2312" w:cs="仿宋"/>
          <w:b/>
          <w:sz w:val="32"/>
          <w:szCs w:val="32"/>
        </w:rPr>
      </w:pPr>
      <w:r>
        <w:rPr>
          <w:rFonts w:hint="eastAsia" w:ascii="仿宋_GB2312" w:hAnsi="仿宋" w:eastAsia="仿宋_GB2312" w:cs="仿宋"/>
          <w:b/>
          <w:sz w:val="32"/>
          <w:szCs w:val="32"/>
        </w:rPr>
        <w:t>（三）项目产出情况</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1.项目预期目标完成情况</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b/>
          <w:sz w:val="32"/>
          <w:szCs w:val="32"/>
        </w:rPr>
      </w:pPr>
      <w:r>
        <w:rPr>
          <w:rFonts w:hint="eastAsia" w:ascii="仿宋_GB2312" w:eastAsia="仿宋_GB2312"/>
          <w:bCs/>
          <w:sz w:val="32"/>
          <w:szCs w:val="32"/>
        </w:rPr>
        <w:t>2021年新增业务装备8类，符合固定资产入账标准的资产125件，均登记固定资产台账，并作为固定资产管理。</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评价认为，2021年度完成采购业务装备的绩效目标，但</w:t>
      </w:r>
      <w:r>
        <w:rPr>
          <w:rFonts w:ascii="仿宋_GB2312" w:hAnsi="仿宋_GB2312" w:eastAsia="仿宋_GB2312" w:cs="仿宋_GB2312"/>
          <w:sz w:val="32"/>
          <w:szCs w:val="32"/>
        </w:rPr>
        <w:t>固定资产入账原值不完整</w:t>
      </w:r>
      <w:r>
        <w:rPr>
          <w:rFonts w:hint="eastAsia" w:ascii="仿宋_GB2312" w:hAnsi="仿宋_GB2312" w:eastAsia="仿宋_GB2312" w:cs="仿宋_GB2312"/>
          <w:sz w:val="32"/>
          <w:szCs w:val="32"/>
        </w:rPr>
        <w:t>，安装费及部分辅材等计入相关设备价值中，固定资产未按照“《政府会计准则第3号-固定资产》第九条的规定： 政府会计主体外购的固定资产，其成本包括购买价款、相关税费以及固定资产交付使用前所发生的可归属于该项资产的运输费、装卸费、安装费和专业人员服务费等。”规范入账。</w:t>
      </w:r>
      <w:r>
        <w:rPr>
          <w:rFonts w:ascii="仿宋_GB2312" w:hAnsi="仿宋_GB2312" w:eastAsia="仿宋_GB2312" w:cs="仿宋_GB2312"/>
          <w:sz w:val="32"/>
          <w:szCs w:val="32"/>
        </w:rPr>
        <w:t xml:space="preserve"> </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2.项目效率性分析</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（1）项目的实施进度</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2021年度所需业务装备全部按照采购计划采购并验收入库，资金按时支付。</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评价认为，项目执行进度及资金拨付按时完成，符合2021年度预期目标。</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（2）项目完成质量</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b/>
          <w:sz w:val="32"/>
          <w:szCs w:val="32"/>
        </w:rPr>
      </w:pPr>
      <w:r>
        <w:rPr>
          <w:rFonts w:hint="eastAsia" w:ascii="仿宋_GB2312" w:eastAsia="仿宋_GB2312"/>
          <w:bCs/>
          <w:sz w:val="32"/>
          <w:szCs w:val="32"/>
        </w:rPr>
        <w:t>2021年新购置业务装备验收合格100%，，能达到需求部门要求。</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评价认为，该项目完成质量良好。</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(四)项目效益情况</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1.项目效益性分析</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（1）项目经济性分析</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通过项目的实施，区检察院及时更新执法办案设备，增加了业务装备的科技含量，提高了办案准确率和办案质量。2021年区检察院审结的案件数量为1843件，同比2020年增加959件，增长108.48%，进一步提升了办案效率，节省了人员成本开支。</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评价认为，项目单位在资金使用过程按照相关管理制度执行，该项目未直接产生经济收益。</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（2）社会效益完成情况分析</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b/>
          <w:sz w:val="32"/>
          <w:szCs w:val="32"/>
        </w:rPr>
      </w:pPr>
      <w:r>
        <w:rPr>
          <w:rFonts w:hint="eastAsia" w:ascii="仿宋_GB2312" w:eastAsia="仿宋_GB2312"/>
          <w:sz w:val="32"/>
          <w:szCs w:val="32"/>
        </w:rPr>
        <w:t>项目单位2021年度加大对外宣传力度，办公楼北侧的宣传屏协助配合检察监督热线“59559511”，</w:t>
      </w:r>
      <w:bookmarkStart w:id="14" w:name="_GoBack"/>
      <w:bookmarkEnd w:id="14"/>
      <w:r>
        <w:rPr>
          <w:rFonts w:hint="eastAsia" w:ascii="仿宋_GB2312" w:eastAsia="仿宋_GB2312"/>
          <w:sz w:val="32"/>
          <w:szCs w:val="32"/>
        </w:rPr>
        <w:t>滚动播放检察宣传片（2021年以政法队伍教育整顿、检察监督热线、检察职能为主），特别是重大节日节点，让更多的百姓了解检察院职能，畅通为民办实事通道。2021年区检察院监督案件受理数大幅增长。</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评价认为，区检察院坚持以求极致的精神加强法律监督、提升办案质效，落实普法责任制方面取得的社会效益影响比较显著。 </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（3）生态环境效益分析</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sz w:val="32"/>
          <w:szCs w:val="32"/>
        </w:rPr>
        <w:t>区检察院</w:t>
      </w:r>
      <w:r>
        <w:rPr>
          <w:rFonts w:hint="eastAsia" w:ascii="仿宋_GB2312" w:eastAsia="仿宋_GB2312"/>
          <w:sz w:val="32"/>
          <w:szCs w:val="32"/>
          <w:lang w:val="zh-CN"/>
        </w:rPr>
        <w:t>发挥公益诉讼检察职能，加大对生态环境的保护。</w:t>
      </w:r>
      <w:r>
        <w:rPr>
          <w:rFonts w:hint="eastAsia" w:ascii="仿宋_GB2312" w:eastAsia="仿宋_GB2312"/>
          <w:sz w:val="32"/>
          <w:szCs w:val="32"/>
        </w:rPr>
        <w:t>2021年专门为第五检察部配备密拍设备，</w:t>
      </w:r>
      <w:r>
        <w:rPr>
          <w:rFonts w:hint="eastAsia" w:ascii="仿宋_GB2312" w:eastAsia="仿宋_GB2312"/>
          <w:sz w:val="32"/>
          <w:szCs w:val="32"/>
          <w:lang w:val="zh-CN"/>
        </w:rPr>
        <w:t>坚决守护绿水青山。生态环境领域</w:t>
      </w:r>
      <w:r>
        <w:rPr>
          <w:rFonts w:hint="eastAsia" w:ascii="仿宋_GB2312" w:eastAsia="仿宋_GB2312"/>
          <w:sz w:val="32"/>
          <w:szCs w:val="32"/>
        </w:rPr>
        <w:t>2021年</w:t>
      </w:r>
      <w:r>
        <w:rPr>
          <w:rFonts w:hint="eastAsia" w:ascii="仿宋_GB2312" w:eastAsia="仿宋_GB2312"/>
          <w:sz w:val="32"/>
          <w:szCs w:val="32"/>
          <w:lang w:val="zh-CN"/>
        </w:rPr>
        <w:t>立案数</w:t>
      </w:r>
      <w:r>
        <w:rPr>
          <w:rFonts w:hint="eastAsia" w:ascii="仿宋_GB2312" w:eastAsia="仿宋_GB2312"/>
          <w:sz w:val="32"/>
          <w:szCs w:val="32"/>
        </w:rPr>
        <w:t>24件，同比增长2.43倍。</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评价认为，区检察院加强办理生态环境保护案件，对保护怀柔区生态环境起到重要作用。</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（4）项目可持续影响分析</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b/>
          <w:sz w:val="32"/>
          <w:szCs w:val="32"/>
        </w:rPr>
      </w:pPr>
      <w:r>
        <w:rPr>
          <w:rFonts w:hint="eastAsia" w:ascii="仿宋_GB2312" w:eastAsia="仿宋_GB2312"/>
          <w:sz w:val="32"/>
          <w:szCs w:val="32"/>
        </w:rPr>
        <w:t>检察办案质效持续提升，“案-件比”、认罪认罚适用率等排名全市靠前列。</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sz w:val="32"/>
          <w:szCs w:val="32"/>
        </w:rPr>
        <w:t>评价认为，该项目的实施</w:t>
      </w:r>
      <w:r>
        <w:rPr>
          <w:rFonts w:hint="eastAsia" w:ascii="仿宋_GB2312" w:eastAsia="仿宋_GB2312"/>
          <w:bCs/>
          <w:sz w:val="32"/>
          <w:szCs w:val="32"/>
        </w:rPr>
        <w:t>，对提升业务装备的科技含量，持续提升检察办案质效，发挥公益诉讼检察职能，加大对生态环境的保护，加大对外宣传力度，让更多的百姓了解检察院职能，畅通为民办实事通道</w:t>
      </w:r>
      <w:r>
        <w:rPr>
          <w:rFonts w:hint="eastAsia" w:ascii="仿宋_GB2312" w:hAnsi="仿宋_GB2312" w:eastAsia="仿宋_GB2312" w:cs="仿宋_GB2312"/>
          <w:sz w:val="32"/>
          <w:szCs w:val="32"/>
        </w:rPr>
        <w:t>具有长远意义。</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（5）服务对象满意度分析</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2021年度发放装备采购满意度调查表80份，全部满意。</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评价认为，满意度调查覆盖不够全面，科学性不足。满意度调查工作欠严谨，调查对象仅限于机关内部，未对宣传装备所面向的社会群众进行满意度调查。</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五.主要经验及做法、存在的问题及原因分析</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1.项目申报书填报不规范，缺乏项目可行性论证及实施方案资料</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项目申报书填报不规范，填报内容简单，项目申报理由、设备购置明细都没有填写完整。</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该项目属于延续性项目，</w:t>
      </w:r>
      <w:r>
        <w:rPr>
          <w:rFonts w:ascii="仿宋_GB2312" w:hAnsi="仿宋_GB2312" w:eastAsia="仿宋_GB2312" w:cs="仿宋_GB2312"/>
          <w:sz w:val="32"/>
          <w:szCs w:val="32"/>
        </w:rPr>
        <w:t>没有立项审批报告，</w:t>
      </w:r>
      <w:r>
        <w:rPr>
          <w:rFonts w:hint="eastAsia" w:ascii="仿宋_GB2312" w:hAnsi="仿宋_GB2312" w:eastAsia="仿宋_GB2312" w:cs="仿宋_GB2312"/>
          <w:sz w:val="32"/>
          <w:szCs w:val="32"/>
        </w:rPr>
        <w:t>项目整体缺少开展此项工作的中长期规划，政策依据有欠缺，项目前期的可行性调研论证不充分，对购置设备的必要性、紧迫性论述不够充分。绩效目标不够清晰。采购的政策依据支撑力度不够。对于采购的整体的长期规划和达标的差距等需要完整说明。</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的计划性不足，执行过程缺少项目整体实施方案，实施方案应包含：项目组织机构人员分工、实施进度安排、采购审批流程、采购方式选择、采购过程控制、项目验收、经费执行计划、绩效管理等项目执行全流程内容。</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2.项目单位绩效目标设置不够准确</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项目单位绩效目标申报表填报不规范，绩效指标设定不够明确清晰，项目绩效指标的合理性不够充分，未对项目经济效益、社会效益、环境效益、可持续影响方面设置具体的绩效指标，各项指标主要为描述性，不易于对项目的实施效果进行比较和考核。</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3.合同订立、项目验收程序不规范，</w:t>
      </w:r>
      <w:r>
        <w:rPr>
          <w:rFonts w:ascii="仿宋_GB2312" w:hAnsi="仿宋_GB2312" w:eastAsia="仿宋_GB2312" w:cs="仿宋_GB2312"/>
          <w:b/>
          <w:sz w:val="32"/>
          <w:szCs w:val="32"/>
        </w:rPr>
        <w:t>固定资产入账价值不完整</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合同订立不规范，</w:t>
      </w:r>
      <w:r>
        <w:rPr>
          <w:rFonts w:ascii="仿宋_GB2312" w:hAnsi="仿宋_GB2312" w:eastAsia="仿宋_GB2312" w:cs="仿宋_GB2312"/>
          <w:sz w:val="32"/>
          <w:szCs w:val="32"/>
        </w:rPr>
        <w:t>采购合同内容不完善</w:t>
      </w:r>
      <w:r>
        <w:rPr>
          <w:rFonts w:hint="eastAsia" w:ascii="仿宋_GB2312" w:hAnsi="仿宋_GB2312" w:eastAsia="仿宋_GB2312" w:cs="仿宋_GB2312"/>
          <w:sz w:val="32"/>
          <w:szCs w:val="32"/>
        </w:rPr>
        <w:t>,部分合同对于付款条件及付款方式未予明确。</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验收程序不够规范，业务装备费作为一个整体项目，缺少项目的总体验收。</w:t>
      </w:r>
      <w:r>
        <w:rPr>
          <w:rFonts w:ascii="仿宋_GB2312" w:hAnsi="仿宋_GB2312" w:eastAsia="仿宋_GB2312" w:cs="仿宋_GB2312"/>
          <w:sz w:val="32"/>
          <w:szCs w:val="32"/>
        </w:rPr>
        <w:t>设备验收不够规范和严谨，只对</w:t>
      </w:r>
      <w:r>
        <w:rPr>
          <w:rFonts w:hint="eastAsia" w:ascii="仿宋_GB2312" w:hAnsi="仿宋_GB2312" w:eastAsia="仿宋_GB2312" w:cs="仿宋_GB2312"/>
          <w:sz w:val="32"/>
          <w:szCs w:val="32"/>
        </w:rPr>
        <w:t>设备进行了品牌、数量验收，未对设备</w:t>
      </w:r>
      <w:r>
        <w:rPr>
          <w:rFonts w:ascii="仿宋_GB2312" w:hAnsi="仿宋_GB2312" w:eastAsia="仿宋_GB2312" w:cs="仿宋_GB2312"/>
          <w:sz w:val="32"/>
          <w:szCs w:val="32"/>
        </w:rPr>
        <w:t>配件及安装工程进行验收，</w:t>
      </w:r>
      <w:r>
        <w:rPr>
          <w:rFonts w:hint="eastAsia" w:ascii="仿宋_GB2312" w:hAnsi="仿宋_GB2312" w:eastAsia="仿宋_GB2312" w:cs="仿宋_GB2312"/>
          <w:sz w:val="32"/>
          <w:szCs w:val="32"/>
        </w:rPr>
        <w:t>缺乏购置设备的相关技术指标验收标准认定。验收只有两个人，且</w:t>
      </w:r>
      <w:r>
        <w:rPr>
          <w:rFonts w:ascii="仿宋_GB2312" w:hAnsi="仿宋_GB2312" w:eastAsia="仿宋_GB2312" w:cs="仿宋_GB2312"/>
          <w:sz w:val="32"/>
          <w:szCs w:val="32"/>
        </w:rPr>
        <w:t>验收人与采购人为同一人，</w:t>
      </w:r>
      <w:r>
        <w:rPr>
          <w:rFonts w:hint="eastAsia" w:ascii="仿宋_GB2312" w:hAnsi="仿宋_GB2312" w:eastAsia="仿宋_GB2312" w:cs="仿宋_GB2312"/>
          <w:sz w:val="32"/>
          <w:szCs w:val="32"/>
        </w:rPr>
        <w:t>与采购验收的基本验收规范存在差距。</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ascii="仿宋_GB2312" w:hAnsi="仿宋_GB2312" w:eastAsia="仿宋_GB2312" w:cs="仿宋_GB2312"/>
          <w:sz w:val="32"/>
          <w:szCs w:val="32"/>
        </w:rPr>
        <w:t>固定资产入账原值不完整</w:t>
      </w:r>
      <w:r>
        <w:rPr>
          <w:rFonts w:hint="eastAsia" w:ascii="仿宋_GB2312" w:hAnsi="仿宋_GB2312" w:eastAsia="仿宋_GB2312" w:cs="仿宋_GB2312"/>
          <w:sz w:val="32"/>
          <w:szCs w:val="32"/>
        </w:rPr>
        <w:t>，安装费及部分辅材等未计入相关设备价值中，固定资产未按照“《政府会计准则第3号-固定资产》第九条的规定： 政府会计主体外购的固定资产，其成本包括购买价款、相关税费以及固定资产交付使用前所发生的可归属于该项资产的运输费、装卸费、安装费和专业人员服务费等。”规范入账。</w:t>
      </w:r>
      <w:r>
        <w:rPr>
          <w:rFonts w:ascii="仿宋_GB2312" w:hAnsi="仿宋_GB2312" w:eastAsia="仿宋_GB2312" w:cs="仿宋_GB2312"/>
          <w:sz w:val="32"/>
          <w:szCs w:val="32"/>
        </w:rPr>
        <w:t xml:space="preserve"> </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4.满意度调查覆盖不够全面，科学性不足</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满意度调查覆盖不够全面，科学性不足。满意度调查工作欠严谨，调查对象仅限于机关内部，未对宣传装备所面向的社会群众进行满意度调查。</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六.有关建议</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（一）充分进行实际情况的调研与分析，</w:t>
      </w:r>
      <w:r>
        <w:rPr>
          <w:rFonts w:ascii="仿宋_GB2312" w:hAnsi="仿宋_GB2312" w:eastAsia="仿宋_GB2312" w:cs="仿宋_GB2312"/>
          <w:b/>
          <w:sz w:val="32"/>
          <w:szCs w:val="32"/>
        </w:rPr>
        <w:t>做好</w:t>
      </w:r>
      <w:r>
        <w:rPr>
          <w:rFonts w:hint="eastAsia" w:ascii="仿宋_GB2312" w:hAnsi="仿宋_GB2312" w:eastAsia="仿宋_GB2312" w:cs="仿宋_GB2312"/>
          <w:b/>
          <w:sz w:val="32"/>
          <w:szCs w:val="32"/>
        </w:rPr>
        <w:t>中长期发展规划和执行计划</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sz w:val="32"/>
          <w:szCs w:val="32"/>
        </w:rPr>
        <w:t>建议项目单位增强决策支持意识，充分进行实际情况的调研与分析，夯实决策依据，提高项目决策基础，在编制预算前，开展对各部门所需设备的摸底排查，建立设备更新时间表，根据轻重缓急安排装备的购置，并加强装备购置前的可行性调研论证工作，精准设备购置的测算依据。</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制定业务装备费的中长期发展规划和执行计划，根据近期、中期、远期实际工作需要，统筹当年装备购置计划，完善政策依据，合理制定项目的购置计划。</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制定完善项目实施方案，明确项目的责任主体及工作分工，按实际工作流程，完善审批流程、实施采购流程、验收流程、经费支出执行计划、绩效管理措施，确保项目有效实施。</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（二）强化</w:t>
      </w:r>
      <w:r>
        <w:rPr>
          <w:rFonts w:ascii="仿宋_GB2312" w:hAnsi="仿宋_GB2312" w:eastAsia="仿宋_GB2312" w:cs="仿宋_GB2312"/>
          <w:b/>
          <w:sz w:val="32"/>
          <w:szCs w:val="32"/>
        </w:rPr>
        <w:t>预算管理，</w:t>
      </w:r>
      <w:r>
        <w:rPr>
          <w:rFonts w:hint="eastAsia" w:ascii="仿宋_GB2312" w:hAnsi="仿宋_GB2312" w:eastAsia="仿宋_GB2312" w:cs="仿宋_GB2312"/>
          <w:b/>
          <w:sz w:val="32"/>
          <w:szCs w:val="32"/>
        </w:rPr>
        <w:t>提高绩效意识，规范填报项目申报书及绩效目标申报表</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建议项目单位强化预算管理的科学性、严谨性，树立项目预算管理的理念。加强并规范项目预算编报，细化预算编制，对各类设备进行明细预算再汇总，加强预算执行的决策依据，形成最终预算金额。提高绩效意识，强化项目管理，严格按规定编制项目绩效文本，细化量化绩效指标，提高项目绩效指标的可考量性，建立科学、合理的绩效目标体系。</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ascii="仿宋_GB2312" w:hAnsi="仿宋_GB2312" w:eastAsia="仿宋_GB2312" w:cs="仿宋_GB2312"/>
          <w:sz w:val="32"/>
          <w:szCs w:val="32"/>
        </w:rPr>
        <w:t>设置绩效指标要结合每个使用部门的子项目要求，提出符合该部门工作需求的具体量化指标，汇总后再将主要指标列入绩效考核的各项效益指标中。</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（三）规范签订采购合同、完善项目验收手续、规范核算固定资产价值</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建议项目单位强化项目管理的制度落实，规范签订采购合同，明确付款条件及付款方式，对双方的权力和义务要进行明确约束，确保财政资金的执行。</w:t>
      </w:r>
      <w:r>
        <w:rPr>
          <w:rFonts w:ascii="仿宋_GB2312" w:hAnsi="仿宋_GB2312" w:eastAsia="仿宋_GB2312" w:cs="仿宋_GB2312"/>
          <w:sz w:val="32"/>
          <w:szCs w:val="32"/>
        </w:rPr>
        <w:t xml:space="preserve"> </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完善项目的验收制度，对所购置设备的质量要求、技术参数等开展验收工作，并严格履行验收程序。</w:t>
      </w:r>
      <w:r>
        <w:rPr>
          <w:rFonts w:ascii="仿宋_GB2312" w:hAnsi="仿宋_GB2312" w:eastAsia="仿宋_GB2312" w:cs="仿宋_GB2312"/>
          <w:sz w:val="32"/>
          <w:szCs w:val="32"/>
        </w:rPr>
        <w:t>设备验收不仅要对规格、型号、数量进行验收，更重要的是质量指标是否符合验收要求。建议项目单位设立采购需求与质量指标达成度的设备验收表，由采购部门、使用部门和财务部门等组成验收组，共同实施验收。</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按照《政府会计准则第3号——固定资产》的规定，准确核算固定资产。</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（四）加强项目管理，及时完整的归集成果资料</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建议项目单位加强项目管理，及时完整的归集成果资料。规范开展用户满意度调查，扩大调查范围，提高科学性。对调查结果进行分析和总结，提出整改意见，协助项目的执行。</w:t>
      </w:r>
    </w:p>
    <w:p>
      <w:pPr>
        <w:pBdr>
          <w:bottom w:val="single" w:color="FFFFFF" w:sz="4" w:space="31"/>
        </w:pBdr>
        <w:tabs>
          <w:tab w:val="left" w:pos="1440"/>
        </w:tabs>
        <w:spacing w:line="360" w:lineRule="auto"/>
        <w:ind w:firstLine="643" w:firstLineChars="200"/>
        <w:contextualSpacing/>
        <w:rPr>
          <w:rFonts w:ascii="仿宋_GB2312" w:hAnsi="仿宋_GB2312" w:eastAsia="仿宋_GB2312" w:cs="仿宋_GB2312"/>
          <w:b/>
          <w:sz w:val="32"/>
          <w:szCs w:val="32"/>
        </w:rPr>
      </w:pPr>
      <w:r>
        <w:rPr>
          <w:rFonts w:hint="eastAsia" w:ascii="仿宋_GB2312" w:hAnsi="仿宋_GB2312" w:eastAsia="仿宋_GB2312" w:cs="仿宋_GB2312"/>
          <w:b/>
          <w:sz w:val="32"/>
          <w:szCs w:val="32"/>
        </w:rPr>
        <w:t>七.其他需要说明的问题</w:t>
      </w:r>
    </w:p>
    <w:p>
      <w:pPr>
        <w:pBdr>
          <w:bottom w:val="single" w:color="FFFFFF" w:sz="4" w:space="31"/>
        </w:pBdr>
        <w:tabs>
          <w:tab w:val="left" w:pos="1440"/>
        </w:tabs>
        <w:spacing w:line="360" w:lineRule="auto"/>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875F61"/>
    <w:rsid w:val="00025D0A"/>
    <w:rsid w:val="00077AF3"/>
    <w:rsid w:val="00097C67"/>
    <w:rsid w:val="001D5A28"/>
    <w:rsid w:val="0020017C"/>
    <w:rsid w:val="00266CA4"/>
    <w:rsid w:val="0032356B"/>
    <w:rsid w:val="003C4E9B"/>
    <w:rsid w:val="004F7400"/>
    <w:rsid w:val="00522C94"/>
    <w:rsid w:val="006F1DBD"/>
    <w:rsid w:val="00893CEC"/>
    <w:rsid w:val="008A4D76"/>
    <w:rsid w:val="008F1CDD"/>
    <w:rsid w:val="00BC0834"/>
    <w:rsid w:val="00E5733A"/>
    <w:rsid w:val="03875F61"/>
    <w:rsid w:val="0EA61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Body Text Indent"/>
    <w:basedOn w:val="1"/>
    <w:link w:val="7"/>
    <w:qFormat/>
    <w:uiPriority w:val="0"/>
    <w:pPr>
      <w:tabs>
        <w:tab w:val="left" w:pos="2880"/>
      </w:tabs>
      <w:spacing w:line="360" w:lineRule="auto"/>
      <w:ind w:firstLine="200" w:firstLineChars="200"/>
    </w:pPr>
    <w:rPr>
      <w:bCs/>
      <w:sz w:val="24"/>
    </w:rPr>
  </w:style>
  <w:style w:type="paragraph" w:styleId="4">
    <w:name w:val="Balloon Text"/>
    <w:basedOn w:val="1"/>
    <w:link w:val="8"/>
    <w:uiPriority w:val="0"/>
    <w:rPr>
      <w:sz w:val="18"/>
      <w:szCs w:val="18"/>
    </w:rPr>
  </w:style>
  <w:style w:type="character" w:customStyle="1" w:styleId="7">
    <w:name w:val="正文文本缩进 Char"/>
    <w:basedOn w:val="5"/>
    <w:link w:val="3"/>
    <w:qFormat/>
    <w:uiPriority w:val="0"/>
    <w:rPr>
      <w:bCs/>
      <w:kern w:val="2"/>
      <w:sz w:val="24"/>
      <w:szCs w:val="24"/>
    </w:rPr>
  </w:style>
  <w:style w:type="character" w:customStyle="1" w:styleId="8">
    <w:name w:val="批注框文本 Char"/>
    <w:basedOn w:val="5"/>
    <w:link w:val="4"/>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1075</Words>
  <Characters>6131</Characters>
  <Lines>51</Lines>
  <Paragraphs>14</Paragraphs>
  <TotalTime>269</TotalTime>
  <ScaleCrop>false</ScaleCrop>
  <LinksUpToDate>false</LinksUpToDate>
  <CharactersWithSpaces>7192</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2022-08-22T02:50:00Z</dcterms:created>
  <dc:creator>Administrator</dc:creator>
  <cp:lastModifiedBy>Administrator</cp:lastModifiedBy>
  <dcterms:modified xsi:type="dcterms:W3CDTF">2022-08-24T07:44:37Z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