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方正小标宋简体" w:eastAsia="方正小标宋简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附件1-3</w:t>
      </w: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北京市怀柔区人民检察院</w:t>
      </w: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部门整体绩效评价报告</w:t>
      </w:r>
    </w:p>
    <w:p>
      <w:pPr>
        <w:spacing w:line="600" w:lineRule="exact"/>
        <w:ind w:firstLine="720" w:firstLineChars="200"/>
        <w:rPr>
          <w:rFonts w:ascii="方正小标宋简体" w:eastAsia="方正小标宋简体"/>
          <w:sz w:val="36"/>
          <w:szCs w:val="36"/>
        </w:rPr>
      </w:pPr>
    </w:p>
    <w:p>
      <w:pPr>
        <w:spacing w:line="60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一、部门概况</w:t>
      </w:r>
    </w:p>
    <w:p>
      <w:pPr>
        <w:spacing w:line="60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（一）机构设置及职责工作任务情况</w:t>
      </w:r>
    </w:p>
    <w:p>
      <w:pPr>
        <w:tabs>
          <w:tab w:val="center" w:pos="6979"/>
        </w:tabs>
        <w:spacing w:line="580" w:lineRule="exact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1、机构</w:t>
      </w:r>
      <w:r>
        <w:rPr>
          <w:rFonts w:ascii="仿宋_GB2312" w:eastAsia="仿宋_GB2312"/>
          <w:sz w:val="32"/>
          <w:szCs w:val="32"/>
        </w:rPr>
        <w:t>设置、</w:t>
      </w:r>
      <w:r>
        <w:rPr>
          <w:rFonts w:hint="eastAsia" w:ascii="仿宋_GB2312" w:eastAsia="仿宋_GB2312"/>
          <w:sz w:val="32"/>
          <w:szCs w:val="32"/>
        </w:rPr>
        <w:t>职责</w:t>
      </w:r>
    </w:p>
    <w:p>
      <w:pPr>
        <w:tabs>
          <w:tab w:val="center" w:pos="6979"/>
        </w:tabs>
        <w:spacing w:line="580" w:lineRule="exact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北京市怀柔区人民检察院内设10个部门，分别为办公室（行政事务管理部）、政治部（机关党委、机关纪委）、第一检察部、第二检察部、第三检察部、第四检察部、第五检察部、第六检察部、第七检察部、检务督察部。</w:t>
      </w:r>
    </w:p>
    <w:p>
      <w:pPr>
        <w:tabs>
          <w:tab w:val="center" w:pos="6979"/>
        </w:tabs>
        <w:spacing w:line="580" w:lineRule="exact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北京市怀柔区人民检察院主要职责是在辖区内依法独立行使检察权。接受北京市人民检察院和区委的领导，对本区人民代表大会及其常务委员会负责并报告工作；负责受理审查本院管辖提请逮捕的案件；负责受理本院管辖提起公诉的案件，并出庭支持公诉；负责受理辖区内公民和法人检举、控告、申诉的案件；负责对辖区内民事、经济、行政诉讼判决的监督；负责对区公安分局、国家安全分局侦查工作的法律监督；负责对辖区内监管场所收押犯罪嫌疑人、罪犯改造工作的监督；负责对区监察委员会调查案件进行立案审查,衔接侦查程序，对需要的情况由检察机关自行侦查补正，对案件进行审查起诉并出庭支持公诉；负责本院的党建工作和干部教育管理以及思想政治工作；负责本院党的纪律检查和行政监察工作；负责本院的后勤管理和物资装备工作；负责由上级人民检察院交办的其他事项等。</w:t>
      </w:r>
    </w:p>
    <w:p>
      <w:pPr>
        <w:tabs>
          <w:tab w:val="center" w:pos="6979"/>
        </w:tabs>
        <w:spacing w:line="580" w:lineRule="exact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2、人员构成情况</w:t>
      </w:r>
    </w:p>
    <w:p>
      <w:pPr>
        <w:tabs>
          <w:tab w:val="center" w:pos="6979"/>
        </w:tabs>
        <w:spacing w:line="58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行政编制101人，实有人数97人；事业编制10人，实有人数5人。</w:t>
      </w:r>
    </w:p>
    <w:p>
      <w:pPr>
        <w:spacing w:line="60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（二）部门整体绩效目标设立情况。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切实做好预算绩效管理工作，我院建立了由办公室财务牵头，其他业务部门积极配合的工作机制，明确了各责任部门工作重点及承担的具体工作职责;规范了工作程序，明确了分阶段工作任务，强化了预算绩效在预算编制、执行中的全过程管理。在下达年度项目预算时，通过规范格式同步下达绩效目标，对未能如期实现绩效目标或绩效评价结果较差的，在编制下年度预算时适当调减项目资金额度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2021年我院对所有部门财政项目，全部按要求制定绩效目标，由项目部门在申请项目时提报详细绩效信息，作为项目审核的依据。明确项目部门是预算执行主体，负责实现项目绩效目标。部门绩效目标紧紧围绕部门职能职责设立，设立依据充分，符合客观实际；从产出指标、效益指标、满意度指标，设立9个三级指标，设置的指标清晰、明确、可考量，能够反映部门履职目标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管理奠定了我院年度目标实现的基础，增强我院计划管理的有效性，通制订合理绩效目标，从而提高各部门工作的计划性。各部门努力采取多种措施完成目标，提升了我院财政运行管理水平。通过完善部门和单位预算绩效管理，推动我院整体绩效水平的提高。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二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当年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预算执行情况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2021年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全年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预算数5570.73万元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其中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，基本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预算数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4610.89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项目支出预算数959.84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万元，其他支出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预算数0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资金总体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支出5370.76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万元，其中，基本支出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4593.65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万元，项目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支出777.11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万元，其他支出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0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万元。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执行率为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96.41%。</w:t>
      </w:r>
    </w:p>
    <w:p>
      <w:pPr>
        <w:spacing w:line="600" w:lineRule="exact"/>
        <w:ind w:left="105" w:leftChars="50" w:firstLine="480" w:firstLineChars="15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、整体绩效目标实现情况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（一）产出完成情况分析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1.产出数量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2021年全年受理各类案件1564件，与年初指标值1500件相比，完成率104.27%;审结案件数1843件，与年初指标值1500件相比，完成率122.87%；员额检察官人均办案工作量68件，与年初指标值50件相比，完成率136%。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2.产出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质量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2021年度认罪认罚从宽制度适用率93.75%，量刑建议采纳率98.1%，均完成年度指标。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3.产出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进度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2021年度各项工作均按进度完成，完成率100%。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4.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产出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成本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21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年度 “三公经费”实际支出数为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37.78万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元（公务接待费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0万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元、公务用车运行维护费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37.78万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元），“三公经费”年初预算数为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82.28万元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（公务接待费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3万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元、公务用车运行维护费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79.28万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元）。“三公经费”控制率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为45.92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 xml:space="preserve"> %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21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年度实际公用经费支出为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568.82万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元，年初预算安排公用经费为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573.56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元，公用经费控制率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99.17%。                                  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（二）效果</w:t>
      </w:r>
      <w:r>
        <w:rPr>
          <w:rFonts w:ascii="楷体_GB2312" w:eastAsia="楷体_GB2312"/>
          <w:sz w:val="32"/>
          <w:szCs w:val="32"/>
        </w:rPr>
        <w:t>实现情况分析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1.经济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效益</w:t>
      </w:r>
    </w:p>
    <w:p>
      <w:pPr>
        <w:spacing w:line="600" w:lineRule="exact"/>
        <w:ind w:left="105" w:leftChars="50" w:firstLine="480" w:firstLineChars="15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倾力护航百年科学城，制定《怀柔区检察院涉科学城刑事案件专班工作机制》，主动走进80余家科学城辖区企业、科研院所调研问需百余次，牵头构建“三城一区”检察协作机制，打造多维度司法“保护网”。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维护百姓切身利益，针对违法开展医疗活动问题制发检察建议，办理涉案金额近1.1亿元的非法集资案件。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2.社会效益</w:t>
      </w:r>
    </w:p>
    <w:p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 xml:space="preserve">监督办案规模持续扩大，开通“7×24小时”检察监督热线，监督案件受理数同比增长76.28%，司法救济渠道更加通畅。“四大检察”全面推进，共批捕179人，起诉257人，创设民事检察“流动服务站”，推行“行政+检察”公益保护模式，公益诉讼立案数同比增长13.8倍。检察办案质效持续提升，“案-件比”、认罪认罚适用率等排名全市前列，多件案件入选全市检察机关优秀典型案例。 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3.环境效益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坚决守护绿水青山，生态环境领域立案数同比增长3.2倍，成功办理首例非法采矿刑事附带民事公益诉讼案件，督促相关单位清除垃圾1570余吨，回填平整土地2000平米。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4.可持续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性影响</w:t>
      </w:r>
    </w:p>
    <w:p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 xml:space="preserve">扎实推进教育整顿“三个环节”，深化落实“四项任务”，我院综合评分中在全市第一批教育整顿单位中排名第一。提升队伍专业化水平，选拔任用一批优秀年轻干部，5名干警获评“北京市检察机关先进个人”，4名干警在全市检察业务竞赛中入选“十佳”。 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5.服务对象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满意度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守护百姓美好家园，全院干警下沉社区防疫执勤，督导窨井盖整治工作入选最高检落实“四号检察建议”成果展。维护百姓切身利益，针对违法开展医疗活动问题制发检察建议，办理涉案金额近1.1亿元的非法集资案件。解决百姓急难愁盼问题，司法救助“应救尽救”，信访积案全部由党组成员包案承办，均息诉罢访。</w:t>
      </w:r>
    </w:p>
    <w:p>
      <w:pPr>
        <w:spacing w:line="600" w:lineRule="exact"/>
        <w:ind w:left="105" w:leftChars="50" w:firstLine="480" w:firstLineChars="15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四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、预算管理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情况分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析</w:t>
      </w:r>
      <w:bookmarkStart w:id="0" w:name="_GoBack"/>
      <w:bookmarkEnd w:id="0"/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（一）财务管理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1.财务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管理制度健全性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我院制定了《北京市怀柔区人民检察院经费支出管理办法》、《北京市怀柔区人民检察院采购管理办法》、《北京市怀柔区人民检察院公务卡使用管理办法》、《北京市怀柔区人民检察院固定资产管理办法》、《北京市怀柔区人民检察院办案及外出差旅费管理办法》、《北京市怀柔区人民检察院合同管理办法》等相关制度。明确单位领导审批权限及资金支付的审批程序，各种费用报销及项目款的支付，严格执行审核程序、强化监督管理，最大限度地确保会计凭证的真实性、合法性，确保各项支出的合理性和规范性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2.资金使用合规性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和安全性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我院认真执行预算资金管理规定，预算资金严格按资金用途专项用于各项目，做到专账核算，专人管理，专款专用，资金始终不脱离财政轨道。根据财经纪律，切实强化财政预算资金管理。对单位实施的项目高度重视，从项目申报到项目验收都严格把关，最大限度发挥资金使用效益，不存在侵占、滞留、挤占、挪用、套用整合资金等问题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3.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会计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基础信息完善性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我院严格按《政府会计制度》的要求进行财务核算和管理，基础数据信息和会计信息资料真实、完整、准确。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（二）资产管理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根据行政事业单位资产管理的相关要求，我院制定相应的管理制度，对资产的添置、保管、使用、处置作了完整的规定和必须的手续。其中添置固定资产均由按政府采购标准或属于政府采购目录的，全部履行政府采购程序，杜绝了采购过程中的贪腐舞弊；对于资产处置，严格按国有资产处置程序，经报国资局批准后集中处置。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（三）绩效</w:t>
      </w:r>
      <w:r>
        <w:rPr>
          <w:rFonts w:ascii="楷体_GB2312" w:eastAsia="楷体_GB2312"/>
          <w:sz w:val="32"/>
          <w:szCs w:val="32"/>
        </w:rPr>
        <w:t>管理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根据绩效评价要求及考核办法，我院成立了自评工作领导小组，对照自评方案进行研究和布署，业务部门全程参与，按照自评方案的要求，对照各实施项目的内容逐条逐项自评。自评小组及时对绩效信息进行汇总分析整理，在自评过程发现的问题，查找原因，及时纠正偏差，为下一步工作夯实基础。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（四）结转结余率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2020年全年预算支出5490.66万元，结转结余资金331.49万元，结转结余率6.04%；2021年全年预算支出5570.73万元，结转结余资金199.97万元，结转结余率3.59%，低于上年。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（五）部门</w:t>
      </w:r>
      <w:r>
        <w:rPr>
          <w:rFonts w:ascii="楷体_GB2312" w:eastAsia="楷体_GB2312"/>
          <w:sz w:val="32"/>
          <w:szCs w:val="32"/>
        </w:rPr>
        <w:t>预决算差异率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2021年年初部门预算支出5183.85万元，年度部门决算支出5570.73万元，部门预决算差异率7.46%，低于市级平均差异率（28.3%）。</w:t>
      </w:r>
    </w:p>
    <w:p>
      <w:pPr>
        <w:spacing w:line="600" w:lineRule="exact"/>
        <w:ind w:left="105" w:leftChars="50" w:firstLine="480" w:firstLineChars="1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五、总体</w:t>
      </w:r>
      <w:r>
        <w:rPr>
          <w:rFonts w:ascii="黑体" w:hAnsi="黑体" w:eastAsia="黑体"/>
          <w:sz w:val="32"/>
          <w:szCs w:val="32"/>
        </w:rPr>
        <w:t>评价结论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（一）评价</w:t>
      </w:r>
      <w:r>
        <w:rPr>
          <w:rFonts w:ascii="楷体_GB2312" w:eastAsia="楷体_GB2312"/>
          <w:sz w:val="32"/>
          <w:szCs w:val="32"/>
        </w:rPr>
        <w:t>得分</w:t>
      </w:r>
      <w:r>
        <w:rPr>
          <w:rFonts w:hint="eastAsia" w:ascii="楷体_GB2312" w:eastAsia="楷体_GB2312"/>
          <w:sz w:val="32"/>
          <w:szCs w:val="32"/>
        </w:rPr>
        <w:t>情况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经综合评价，怀柔区人民检察院预算配置科学，执行有效，预算管理规范，较好的完成了各项年度工作目标，取得了较好的经济效益和社会效益。按照评价指标体系及评分标准，评定2021年度怀柔区人民检察院部门整体支出绩效等级为优，分数为90.78分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600" w:lineRule="exact"/>
        <w:ind w:firstLine="42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-453390</wp:posOffset>
            </wp:positionV>
            <wp:extent cx="8866505" cy="6112510"/>
            <wp:effectExtent l="0" t="0" r="0" b="2540"/>
            <wp:wrapTight wrapText="bothSides">
              <wp:wrapPolygon>
                <wp:start x="0" y="0"/>
                <wp:lineTo x="0" y="2221"/>
                <wp:lineTo x="928" y="3231"/>
                <wp:lineTo x="928" y="3299"/>
                <wp:lineTo x="6636" y="4308"/>
                <wp:lineTo x="93" y="4578"/>
                <wp:lineTo x="0" y="5318"/>
                <wp:lineTo x="232" y="5385"/>
                <wp:lineTo x="232" y="5655"/>
                <wp:lineTo x="5198" y="6462"/>
                <wp:lineTo x="6636" y="6462"/>
                <wp:lineTo x="928" y="7068"/>
                <wp:lineTo x="1207" y="7540"/>
                <wp:lineTo x="0" y="8415"/>
                <wp:lineTo x="0" y="9559"/>
                <wp:lineTo x="2506" y="9761"/>
                <wp:lineTo x="2460" y="10300"/>
                <wp:lineTo x="3898" y="10771"/>
                <wp:lineTo x="1114" y="10771"/>
                <wp:lineTo x="1114" y="11848"/>
                <wp:lineTo x="6636" y="11848"/>
                <wp:lineTo x="2320" y="12117"/>
                <wp:lineTo x="2320" y="12925"/>
                <wp:lineTo x="2552" y="12925"/>
                <wp:lineTo x="2552" y="14002"/>
                <wp:lineTo x="1114" y="14002"/>
                <wp:lineTo x="1021" y="14069"/>
                <wp:lineTo x="3666" y="15079"/>
                <wp:lineTo x="2552" y="15146"/>
                <wp:lineTo x="2599" y="15483"/>
                <wp:lineTo x="6636" y="16156"/>
                <wp:lineTo x="2320" y="16426"/>
                <wp:lineTo x="2320" y="17099"/>
                <wp:lineTo x="6636" y="17233"/>
                <wp:lineTo x="1114" y="17637"/>
                <wp:lineTo x="1114" y="17974"/>
                <wp:lineTo x="6636" y="18310"/>
                <wp:lineTo x="2320" y="18378"/>
                <wp:lineTo x="2320" y="18512"/>
                <wp:lineTo x="6636" y="19387"/>
                <wp:lineTo x="2367" y="19522"/>
                <wp:lineTo x="2320" y="20330"/>
                <wp:lineTo x="3759" y="20465"/>
                <wp:lineTo x="0" y="21407"/>
                <wp:lineTo x="0" y="21542"/>
                <wp:lineTo x="21533" y="21542"/>
                <wp:lineTo x="21533" y="0"/>
                <wp:lineTo x="0" y="0"/>
              </wp:wrapPolygon>
            </wp:wrapTight>
            <wp:docPr id="506" name="图片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" name="图片 50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66505" cy="611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600" w:lineRule="exact"/>
        <w:ind w:firstLine="42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7620</wp:posOffset>
            </wp:positionV>
            <wp:extent cx="8866505" cy="5023485"/>
            <wp:effectExtent l="0" t="0" r="0" b="5715"/>
            <wp:wrapTight wrapText="bothSides">
              <wp:wrapPolygon>
                <wp:start x="21394" y="0"/>
                <wp:lineTo x="0" y="82"/>
                <wp:lineTo x="0" y="1147"/>
                <wp:lineTo x="3573" y="1311"/>
                <wp:lineTo x="2413" y="1720"/>
                <wp:lineTo x="2413" y="2457"/>
                <wp:lineTo x="3573" y="2621"/>
                <wp:lineTo x="2320" y="3031"/>
                <wp:lineTo x="2320" y="3113"/>
                <wp:lineTo x="3573" y="3932"/>
                <wp:lineTo x="1021" y="4423"/>
                <wp:lineTo x="1021" y="4997"/>
                <wp:lineTo x="3573" y="5242"/>
                <wp:lineTo x="3573" y="6553"/>
                <wp:lineTo x="2413" y="6799"/>
                <wp:lineTo x="2413" y="7454"/>
                <wp:lineTo x="3573" y="7863"/>
                <wp:lineTo x="3573" y="9174"/>
                <wp:lineTo x="1160" y="9666"/>
                <wp:lineTo x="46" y="10075"/>
                <wp:lineTo x="46" y="11549"/>
                <wp:lineTo x="789" y="11795"/>
                <wp:lineTo x="3573" y="11795"/>
                <wp:lineTo x="1021" y="12205"/>
                <wp:lineTo x="1021" y="12532"/>
                <wp:lineTo x="3573" y="13106"/>
                <wp:lineTo x="928" y="13106"/>
                <wp:lineTo x="975" y="14171"/>
                <wp:lineTo x="6636" y="14416"/>
                <wp:lineTo x="975" y="15645"/>
                <wp:lineTo x="975" y="16300"/>
                <wp:lineTo x="4270" y="17038"/>
                <wp:lineTo x="6636" y="17038"/>
                <wp:lineTo x="975" y="17775"/>
                <wp:lineTo x="975" y="17939"/>
                <wp:lineTo x="6636" y="18348"/>
                <wp:lineTo x="975" y="19085"/>
                <wp:lineTo x="975" y="20232"/>
                <wp:lineTo x="7054" y="20969"/>
                <wp:lineTo x="0" y="21297"/>
                <wp:lineTo x="0" y="21543"/>
                <wp:lineTo x="21533" y="21543"/>
                <wp:lineTo x="21533" y="0"/>
                <wp:lineTo x="21394" y="0"/>
              </wp:wrapPolygon>
            </wp:wrapTight>
            <wp:docPr id="507" name="图片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" name="图片 50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66505" cy="502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（二）存在的问题及原因分析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通过对我院2021年度部门整体支出内容及主要工作进行了系统梳理和分析，虽然我院总体绩效目标完成情况较好，但离高标准的预算绩效管理水平还存在一定的差距。主要问题如下：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我院对预算绩效管理工作的相关规范认知程度还有待提高，部分预算支出绩效目标指标设置还不够全面，不够细化，反映部门核心职能的指标设置还应进一步细化、精确、突出。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2.预算编制工作还有待细化，实际支出与预算编制仍存在细微差异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随着项目绩效评估工作逐年开展，项目绩效评估对合理性、规范使用财政专项资金所带来的好处显而易见。但目前绩效评价人员未经过专门培训和系统学习，业务能力水平还有差异，影响整个评价的准确性、客观性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六、措施建议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为了对经费绩效做出更加客观、准确的评价，更好地实现评价的目的，改进措施如下：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1、进一步改进完善评价指标体系，</w:t>
      </w:r>
      <w:r>
        <w:rPr>
          <w:rFonts w:ascii="仿宋_GB2312" w:hAnsi="仿宋_GB2312" w:eastAsia="仿宋_GB2312" w:cs="仿宋_GB2312"/>
          <w:sz w:val="32"/>
          <w:szCs w:val="32"/>
        </w:rPr>
        <w:t>设置符合该部门工作需求的具体量化指标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，增强评价的可操作性。</w:t>
      </w:r>
    </w:p>
    <w:p>
      <w:pPr>
        <w:pBdr>
          <w:bottom w:val="single" w:color="FFFFFF" w:sz="4" w:space="31"/>
        </w:pBdr>
        <w:tabs>
          <w:tab w:val="left" w:pos="1440"/>
        </w:tabs>
        <w:spacing w:line="360" w:lineRule="auto"/>
        <w:ind w:firstLine="640" w:firstLineChars="200"/>
        <w:contextualSpacing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2、进一步</w:t>
      </w:r>
      <w:r>
        <w:rPr>
          <w:rFonts w:hint="eastAsia" w:ascii="仿宋_GB2312" w:hAnsi="仿宋_GB2312" w:eastAsia="仿宋_GB2312" w:cs="仿宋_GB2312"/>
          <w:sz w:val="32"/>
          <w:szCs w:val="32"/>
        </w:rPr>
        <w:t>强化预算管理的科学性、严谨性。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 xml:space="preserve">预算编制前根据年度内部门可预见的工作任务，确定部门年度预算目标，细化预算指标，科学合理编制部门预算， </w:t>
      </w:r>
    </w:p>
    <w:p>
      <w:pPr>
        <w:pBdr>
          <w:bottom w:val="single" w:color="FFFFFF" w:sz="4" w:space="31"/>
        </w:pBdr>
        <w:tabs>
          <w:tab w:val="left" w:pos="1440"/>
        </w:tabs>
        <w:spacing w:line="360" w:lineRule="auto"/>
        <w:ind w:firstLine="640" w:firstLineChars="200"/>
        <w:contextualSpacing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3、进一步完善绩效跟踪管理办法，及时对绩效信息进行汇总分析整理，并对绩效目标偏离情况及时进行矫正。</w:t>
      </w:r>
    </w:p>
    <w:p>
      <w:pPr>
        <w:pBdr>
          <w:bottom w:val="single" w:color="FFFFFF" w:sz="4" w:space="31"/>
        </w:pBdr>
        <w:tabs>
          <w:tab w:val="left" w:pos="1440"/>
        </w:tabs>
        <w:spacing w:line="360" w:lineRule="auto"/>
        <w:ind w:firstLine="640" w:firstLineChars="200"/>
        <w:contextualSpacing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4、进一步加强绩效培训。加强单位领导、部门及具体负责人员的绩效培训，充分重视绩效管理的重大意义与流程，充分保障绩效工作的顺利开展，走深走实。</w:t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383"/>
    <w:rsid w:val="0007107F"/>
    <w:rsid w:val="00083F24"/>
    <w:rsid w:val="001844FD"/>
    <w:rsid w:val="001B3209"/>
    <w:rsid w:val="001B5463"/>
    <w:rsid w:val="001C2158"/>
    <w:rsid w:val="00224AA1"/>
    <w:rsid w:val="0028329D"/>
    <w:rsid w:val="00290741"/>
    <w:rsid w:val="002A252C"/>
    <w:rsid w:val="0030220A"/>
    <w:rsid w:val="00310985"/>
    <w:rsid w:val="00397CA0"/>
    <w:rsid w:val="003C2412"/>
    <w:rsid w:val="003F6585"/>
    <w:rsid w:val="00434998"/>
    <w:rsid w:val="004B43AD"/>
    <w:rsid w:val="004B79AF"/>
    <w:rsid w:val="004E0C88"/>
    <w:rsid w:val="005149AB"/>
    <w:rsid w:val="00522925"/>
    <w:rsid w:val="00556488"/>
    <w:rsid w:val="0057782E"/>
    <w:rsid w:val="00585C41"/>
    <w:rsid w:val="005A067B"/>
    <w:rsid w:val="006976D6"/>
    <w:rsid w:val="006E000F"/>
    <w:rsid w:val="0070296F"/>
    <w:rsid w:val="00807308"/>
    <w:rsid w:val="009B4151"/>
    <w:rsid w:val="00AE4F32"/>
    <w:rsid w:val="00B97383"/>
    <w:rsid w:val="00BD5889"/>
    <w:rsid w:val="00BE651F"/>
    <w:rsid w:val="00C4725D"/>
    <w:rsid w:val="00C81C0A"/>
    <w:rsid w:val="00CA18A6"/>
    <w:rsid w:val="00D04C6F"/>
    <w:rsid w:val="00D20739"/>
    <w:rsid w:val="00D34015"/>
    <w:rsid w:val="00D567A1"/>
    <w:rsid w:val="00D67344"/>
    <w:rsid w:val="00E22779"/>
    <w:rsid w:val="00E731D5"/>
    <w:rsid w:val="00EF341F"/>
    <w:rsid w:val="00F07AE0"/>
    <w:rsid w:val="00FE21EE"/>
    <w:rsid w:val="4A19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5"/>
    <w:link w:val="3"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8">
    <w:name w:val="页眉 Char"/>
    <w:basedOn w:val="5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CF3375-B882-401E-AB0B-69AC03858F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614</Words>
  <Characters>3502</Characters>
  <Lines>29</Lines>
  <Paragraphs>8</Paragraphs>
  <TotalTime>98</TotalTime>
  <ScaleCrop>false</ScaleCrop>
  <LinksUpToDate>false</LinksUpToDate>
  <CharactersWithSpaces>4108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2022-05-18T08:26:00Z</dcterms:created>
  <dc:creator>user</dc:creator>
  <cp:lastModifiedBy>Administrator</cp:lastModifiedBy>
  <dcterms:modified xsi:type="dcterms:W3CDTF">2022-08-24T07:43:41Z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