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firstLineChars="200"/>
        <w:jc w:val="center"/>
        <w:rPr>
          <w:rFonts w:ascii="黑体" w:eastAsia="黑体"/>
          <w:sz w:val="44"/>
          <w:szCs w:val="44"/>
        </w:rPr>
      </w:pPr>
      <w:r>
        <w:rPr>
          <w:rFonts w:hint="eastAsia" w:ascii="黑体" w:eastAsia="黑体"/>
          <w:sz w:val="44"/>
          <w:szCs w:val="44"/>
        </w:rPr>
        <w:t>项目绩效评价报告</w:t>
      </w:r>
    </w:p>
    <w:p>
      <w:pPr>
        <w:spacing w:line="360" w:lineRule="auto"/>
        <w:ind w:firstLine="560" w:firstLineChars="200"/>
        <w:outlineLvl w:val="0"/>
        <w:rPr>
          <w:rFonts w:hint="eastAsia" w:ascii="黑体" w:hAnsi="黑体" w:eastAsia="黑体" w:cs="黑体"/>
          <w:sz w:val="28"/>
          <w:szCs w:val="28"/>
        </w:rPr>
      </w:pPr>
      <w:r>
        <w:rPr>
          <w:rFonts w:hint="eastAsia" w:ascii="黑体" w:hAnsi="黑体" w:eastAsia="黑体" w:cs="黑体"/>
          <w:sz w:val="28"/>
          <w:szCs w:val="28"/>
          <w:lang w:eastAsia="zh-CN"/>
        </w:rPr>
        <w:t>一、</w:t>
      </w:r>
      <w:r>
        <w:rPr>
          <w:rFonts w:hint="eastAsia" w:ascii="黑体" w:hAnsi="黑体" w:eastAsia="黑体" w:cs="黑体"/>
          <w:sz w:val="28"/>
          <w:szCs w:val="28"/>
        </w:rPr>
        <w:t>基本情况</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rPr>
        <w:t>同济南路地铁站及周边环境秩序管理服务外包项目由北京市大兴区荣华街道办事处负责申报，业务科室城市建设管理科组织实施，2021年申请预算445</w:t>
      </w:r>
      <w:r>
        <w:rPr>
          <w:rFonts w:hint="default" w:ascii="仿宋_GB2312" w:hAnsi="黑体" w:eastAsia="仿宋_GB2312"/>
          <w:sz w:val="28"/>
          <w:szCs w:val="28"/>
          <w:lang w:val="en"/>
        </w:rPr>
        <w:t>.</w:t>
      </w:r>
      <w:r>
        <w:rPr>
          <w:rFonts w:hint="eastAsia" w:ascii="仿宋_GB2312" w:hAnsi="黑体" w:eastAsia="仿宋_GB2312"/>
          <w:sz w:val="28"/>
          <w:szCs w:val="28"/>
        </w:rPr>
        <w:t>00</w:t>
      </w:r>
      <w:r>
        <w:rPr>
          <w:rFonts w:hint="eastAsia" w:ascii="仿宋_GB2312" w:hAnsi="黑体" w:eastAsia="仿宋_GB2312"/>
          <w:sz w:val="28"/>
          <w:szCs w:val="28"/>
          <w:lang w:eastAsia="zh-CN"/>
        </w:rPr>
        <w:t>万</w:t>
      </w:r>
      <w:r>
        <w:rPr>
          <w:rFonts w:hint="eastAsia" w:ascii="仿宋_GB2312" w:hAnsi="黑体" w:eastAsia="仿宋_GB2312"/>
          <w:sz w:val="28"/>
          <w:szCs w:val="28"/>
        </w:rPr>
        <w:t>元。主要用于维护同济南路地铁站及周边环境秩序，重点清理“黑摩的”、“黑车”、无照游商、散发小广告等违规违法行为，开展夜间巡查，重点巡查街面社会秩序、安全隐患及突发情况，及时发现上报并采取措施妥善处置。</w:t>
      </w:r>
    </w:p>
    <w:p>
      <w:pPr>
        <w:spacing w:line="360" w:lineRule="auto"/>
        <w:ind w:firstLine="560" w:firstLineChars="200"/>
        <w:outlineLvl w:val="0"/>
        <w:rPr>
          <w:rFonts w:hint="eastAsia" w:ascii="黑体" w:hAnsi="黑体" w:eastAsia="黑体" w:cs="黑体"/>
          <w:sz w:val="28"/>
          <w:szCs w:val="28"/>
          <w:lang w:eastAsia="zh-CN"/>
        </w:rPr>
      </w:pPr>
      <w:r>
        <w:rPr>
          <w:rFonts w:hint="eastAsia" w:ascii="黑体" w:hAnsi="黑体" w:eastAsia="黑体" w:cs="黑体"/>
          <w:sz w:val="28"/>
          <w:szCs w:val="28"/>
          <w:lang w:eastAsia="zh-CN"/>
        </w:rPr>
        <w:t>二、绩效评价工作开展情况</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（一）</w:t>
      </w:r>
      <w:r>
        <w:rPr>
          <w:rFonts w:hint="eastAsia" w:ascii="仿宋_GB2312" w:hAnsi="黑体" w:eastAsia="仿宋_GB2312"/>
          <w:sz w:val="28"/>
          <w:szCs w:val="28"/>
        </w:rPr>
        <w:t>根据《关于印发（北京市项目支出绩效评价管理办法〉的通知》（京财绩效〔2020〕2146号）的要求，结合项目特点，评价机构与委托方、项目单位共同研究细化了同济南路地铁站及周边环境秩序管理服务外包项目的绩效评价指标体系，评价内容包括决策</w:t>
      </w:r>
      <w:bookmarkStart w:id="0" w:name="_GoBack"/>
      <w:bookmarkEnd w:id="0"/>
      <w:r>
        <w:rPr>
          <w:rFonts w:hint="eastAsia" w:ascii="仿宋_GB2312" w:hAnsi="黑体" w:eastAsia="仿宋_GB2312"/>
          <w:sz w:val="28"/>
          <w:szCs w:val="28"/>
        </w:rPr>
        <w:t>、过程、产出和效益四个方面。</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（二）</w:t>
      </w:r>
      <w:r>
        <w:rPr>
          <w:rFonts w:hint="eastAsia" w:ascii="仿宋_GB2312" w:hAnsi="黑体" w:eastAsia="仿宋_GB2312"/>
          <w:sz w:val="28"/>
          <w:szCs w:val="28"/>
        </w:rPr>
        <w:t>本着科学、规范、独立、客观、公正的原则，评价机构采用定量数据分析、行业专家咨询等方法对同济南路地铁站及周边环境秩序管理服务外包项目进行绩效评价，并对照绩效评价指标体系和评分标准进行评分，同时形成综合评价结论。</w:t>
      </w:r>
    </w:p>
    <w:p>
      <w:pPr>
        <w:spacing w:line="360" w:lineRule="auto"/>
        <w:ind w:firstLine="560" w:firstLineChars="200"/>
        <w:outlineLvl w:val="0"/>
        <w:rPr>
          <w:rFonts w:hint="eastAsia" w:ascii="黑体" w:hAnsi="黑体" w:eastAsia="黑体" w:cs="黑体"/>
          <w:sz w:val="28"/>
          <w:szCs w:val="28"/>
          <w:lang w:eastAsia="zh-CN"/>
        </w:rPr>
      </w:pPr>
      <w:r>
        <w:rPr>
          <w:rFonts w:hint="eastAsia" w:ascii="黑体" w:hAnsi="黑体" w:eastAsia="黑体" w:cs="黑体"/>
          <w:sz w:val="28"/>
          <w:szCs w:val="28"/>
          <w:lang w:eastAsia="zh-CN"/>
        </w:rPr>
        <w:t>三、综合评价情况及评价结论（附相关评分表）</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rPr>
        <w:t>根据绩效评价工作组审核结果和专家组从项目决策、项目过程、项目产出和项目效益四个维度出具的综合评价结果，同济南路地铁站及周边环境秩序管理服务外包项目综合评价得分90.37分，其中项目决策平均得分18.08分，项目过程平均得分18.69分，项目产出平均得分27.80分，项目效益平均得分25.80分，绩效级别评价结论为“优”。具体情况详见下表：</w:t>
      </w:r>
    </w:p>
    <w:tbl>
      <w:tblPr>
        <w:tblStyle w:val="7"/>
        <w:tblW w:w="5000" w:type="pct"/>
        <w:tblInd w:w="0" w:type="dxa"/>
        <w:tblLayout w:type="autofit"/>
        <w:tblCellMar>
          <w:top w:w="0" w:type="dxa"/>
          <w:left w:w="108" w:type="dxa"/>
          <w:bottom w:w="0" w:type="dxa"/>
          <w:right w:w="108" w:type="dxa"/>
        </w:tblCellMar>
      </w:tblPr>
      <w:tblGrid>
        <w:gridCol w:w="5185"/>
        <w:gridCol w:w="4496"/>
        <w:gridCol w:w="4493"/>
      </w:tblGrid>
      <w:tr>
        <w:tblPrEx>
          <w:tblCellMar>
            <w:top w:w="0" w:type="dxa"/>
            <w:left w:w="108" w:type="dxa"/>
            <w:bottom w:w="0" w:type="dxa"/>
            <w:right w:w="108" w:type="dxa"/>
          </w:tblCellMar>
        </w:tblPrEx>
        <w:trPr>
          <w:trHeight w:val="20" w:hRule="atLeast"/>
        </w:trPr>
        <w:tc>
          <w:tcPr>
            <w:tcW w:w="1829" w:type="pct"/>
            <w:tcBorders>
              <w:top w:val="single" w:color="000000" w:sz="8" w:space="0"/>
              <w:left w:val="single" w:color="000000" w:sz="8" w:space="0"/>
              <w:bottom w:val="single" w:color="000000" w:sz="8" w:space="0"/>
              <w:right w:val="single" w:color="000000" w:sz="8" w:space="0"/>
            </w:tcBorders>
            <w:shd w:val="clear" w:color="000000" w:fill="BEBEBE"/>
            <w:vAlign w:val="center"/>
          </w:tcPr>
          <w:p>
            <w:pPr>
              <w:widowControl/>
              <w:jc w:val="center"/>
              <w:rPr>
                <w:rFonts w:ascii="宋体" w:hAnsi="宋体" w:cs="Arial"/>
                <w:color w:val="000008"/>
                <w:kern w:val="0"/>
                <w:szCs w:val="21"/>
              </w:rPr>
            </w:pPr>
            <w:r>
              <w:rPr>
                <w:rFonts w:hint="eastAsia" w:ascii="宋体" w:hAnsi="宋体" w:cs="Arial"/>
                <w:color w:val="000008"/>
                <w:kern w:val="0"/>
                <w:szCs w:val="21"/>
              </w:rPr>
              <w:t>评价内容</w:t>
            </w:r>
          </w:p>
        </w:tc>
        <w:tc>
          <w:tcPr>
            <w:tcW w:w="1586" w:type="pct"/>
            <w:tcBorders>
              <w:top w:val="single" w:color="000000" w:sz="8" w:space="0"/>
              <w:left w:val="nil"/>
              <w:bottom w:val="single" w:color="000000" w:sz="8" w:space="0"/>
              <w:right w:val="single" w:color="000000" w:sz="8" w:space="0"/>
            </w:tcBorders>
            <w:shd w:val="clear" w:color="000000" w:fill="BEBEBE"/>
            <w:vAlign w:val="center"/>
          </w:tcPr>
          <w:p>
            <w:pPr>
              <w:widowControl/>
              <w:jc w:val="center"/>
              <w:rPr>
                <w:rFonts w:ascii="宋体" w:hAnsi="宋体" w:cs="Arial"/>
                <w:color w:val="000008"/>
                <w:kern w:val="0"/>
                <w:szCs w:val="21"/>
              </w:rPr>
            </w:pPr>
            <w:r>
              <w:rPr>
                <w:rFonts w:hint="eastAsia" w:ascii="宋体" w:hAnsi="宋体" w:cs="Arial"/>
                <w:color w:val="000008"/>
                <w:kern w:val="0"/>
                <w:szCs w:val="21"/>
              </w:rPr>
              <w:t>标准分值</w:t>
            </w:r>
          </w:p>
        </w:tc>
        <w:tc>
          <w:tcPr>
            <w:tcW w:w="1586" w:type="pct"/>
            <w:tcBorders>
              <w:top w:val="single" w:color="000000" w:sz="8" w:space="0"/>
              <w:left w:val="nil"/>
              <w:bottom w:val="single" w:color="000000" w:sz="8" w:space="0"/>
              <w:right w:val="single" w:color="000000" w:sz="8" w:space="0"/>
            </w:tcBorders>
            <w:shd w:val="clear" w:color="000000" w:fill="BEBEBE"/>
            <w:vAlign w:val="center"/>
          </w:tcPr>
          <w:p>
            <w:pPr>
              <w:widowControl/>
              <w:jc w:val="center"/>
              <w:rPr>
                <w:rFonts w:ascii="宋体" w:hAnsi="宋体" w:cs="Arial"/>
                <w:color w:val="000008"/>
                <w:kern w:val="0"/>
                <w:szCs w:val="21"/>
              </w:rPr>
            </w:pPr>
            <w:r>
              <w:rPr>
                <w:rFonts w:hint="eastAsia" w:ascii="宋体" w:hAnsi="宋体" w:cs="Arial"/>
                <w:color w:val="000008"/>
                <w:kern w:val="0"/>
                <w:szCs w:val="21"/>
              </w:rPr>
              <w:t>评价得分</w:t>
            </w:r>
          </w:p>
        </w:tc>
      </w:tr>
      <w:tr>
        <w:tblPrEx>
          <w:tblCellMar>
            <w:top w:w="0" w:type="dxa"/>
            <w:left w:w="108" w:type="dxa"/>
            <w:bottom w:w="0" w:type="dxa"/>
            <w:right w:w="108" w:type="dxa"/>
          </w:tblCellMar>
        </w:tblPrEx>
        <w:trPr>
          <w:trHeight w:val="20" w:hRule="atLeast"/>
        </w:trPr>
        <w:tc>
          <w:tcPr>
            <w:tcW w:w="1829" w:type="pct"/>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hint="eastAsia" w:ascii="宋体" w:hAnsi="宋体" w:cs="Arial"/>
                <w:color w:val="000008"/>
                <w:kern w:val="0"/>
                <w:szCs w:val="21"/>
              </w:rPr>
              <w:t>项目决策</w:t>
            </w:r>
          </w:p>
        </w:tc>
        <w:tc>
          <w:tcPr>
            <w:tcW w:w="1586" w:type="pct"/>
            <w:tcBorders>
              <w:top w:val="nil"/>
              <w:left w:val="nil"/>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ascii="宋体" w:hAnsi="宋体" w:cs="Arial"/>
                <w:color w:val="000008"/>
                <w:kern w:val="0"/>
                <w:szCs w:val="21"/>
              </w:rPr>
              <w:t>20</w:t>
            </w:r>
          </w:p>
        </w:tc>
        <w:tc>
          <w:tcPr>
            <w:tcW w:w="1586" w:type="pct"/>
            <w:tcBorders>
              <w:top w:val="nil"/>
              <w:left w:val="nil"/>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ascii="宋体" w:hAnsi="宋体" w:cs="Arial"/>
                <w:color w:val="000008"/>
                <w:kern w:val="0"/>
                <w:szCs w:val="21"/>
              </w:rPr>
              <w:t>18.08</w:t>
            </w:r>
          </w:p>
        </w:tc>
      </w:tr>
      <w:tr>
        <w:tblPrEx>
          <w:tblCellMar>
            <w:top w:w="0" w:type="dxa"/>
            <w:left w:w="108" w:type="dxa"/>
            <w:bottom w:w="0" w:type="dxa"/>
            <w:right w:w="108" w:type="dxa"/>
          </w:tblCellMar>
        </w:tblPrEx>
        <w:trPr>
          <w:trHeight w:val="20" w:hRule="atLeast"/>
        </w:trPr>
        <w:tc>
          <w:tcPr>
            <w:tcW w:w="1829" w:type="pct"/>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hint="eastAsia" w:ascii="宋体" w:hAnsi="宋体" w:cs="Arial"/>
                <w:color w:val="000008"/>
                <w:kern w:val="0"/>
                <w:szCs w:val="21"/>
              </w:rPr>
              <w:t>项目过程</w:t>
            </w:r>
          </w:p>
        </w:tc>
        <w:tc>
          <w:tcPr>
            <w:tcW w:w="1586" w:type="pct"/>
            <w:tcBorders>
              <w:top w:val="nil"/>
              <w:left w:val="nil"/>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ascii="宋体" w:hAnsi="宋体" w:cs="Arial"/>
                <w:color w:val="000008"/>
                <w:kern w:val="0"/>
                <w:szCs w:val="21"/>
              </w:rPr>
              <w:t>20</w:t>
            </w:r>
          </w:p>
        </w:tc>
        <w:tc>
          <w:tcPr>
            <w:tcW w:w="1586" w:type="pct"/>
            <w:tcBorders>
              <w:top w:val="nil"/>
              <w:left w:val="nil"/>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ascii="宋体" w:hAnsi="宋体" w:cs="Arial"/>
                <w:color w:val="000008"/>
                <w:kern w:val="0"/>
                <w:szCs w:val="21"/>
              </w:rPr>
              <w:t>18.69</w:t>
            </w:r>
          </w:p>
        </w:tc>
      </w:tr>
      <w:tr>
        <w:trPr>
          <w:trHeight w:val="20" w:hRule="atLeast"/>
        </w:trPr>
        <w:tc>
          <w:tcPr>
            <w:tcW w:w="1829" w:type="pct"/>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hint="eastAsia" w:ascii="宋体" w:hAnsi="宋体" w:cs="Arial"/>
                <w:color w:val="000008"/>
                <w:kern w:val="0"/>
                <w:szCs w:val="21"/>
              </w:rPr>
              <w:t>项目产出</w:t>
            </w:r>
          </w:p>
        </w:tc>
        <w:tc>
          <w:tcPr>
            <w:tcW w:w="1586" w:type="pct"/>
            <w:tcBorders>
              <w:top w:val="nil"/>
              <w:left w:val="nil"/>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ascii="宋体" w:hAnsi="宋体" w:cs="Arial"/>
                <w:color w:val="000008"/>
                <w:kern w:val="0"/>
                <w:szCs w:val="21"/>
              </w:rPr>
              <w:t>30</w:t>
            </w:r>
          </w:p>
        </w:tc>
        <w:tc>
          <w:tcPr>
            <w:tcW w:w="1586" w:type="pct"/>
            <w:tcBorders>
              <w:top w:val="nil"/>
              <w:left w:val="nil"/>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ascii="宋体" w:hAnsi="宋体" w:cs="Arial"/>
                <w:color w:val="000008"/>
                <w:kern w:val="0"/>
                <w:szCs w:val="21"/>
              </w:rPr>
              <w:t>27.80</w:t>
            </w:r>
          </w:p>
        </w:tc>
      </w:tr>
      <w:tr>
        <w:tblPrEx>
          <w:tblCellMar>
            <w:top w:w="0" w:type="dxa"/>
            <w:left w:w="108" w:type="dxa"/>
            <w:bottom w:w="0" w:type="dxa"/>
            <w:right w:w="108" w:type="dxa"/>
          </w:tblCellMar>
        </w:tblPrEx>
        <w:trPr>
          <w:trHeight w:val="20" w:hRule="atLeast"/>
        </w:trPr>
        <w:tc>
          <w:tcPr>
            <w:tcW w:w="1829" w:type="pct"/>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hint="eastAsia" w:ascii="宋体" w:hAnsi="宋体" w:cs="Arial"/>
                <w:color w:val="000008"/>
                <w:kern w:val="0"/>
                <w:szCs w:val="21"/>
              </w:rPr>
              <w:t>项目效益</w:t>
            </w:r>
          </w:p>
        </w:tc>
        <w:tc>
          <w:tcPr>
            <w:tcW w:w="1586" w:type="pct"/>
            <w:tcBorders>
              <w:top w:val="nil"/>
              <w:left w:val="nil"/>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ascii="宋体" w:hAnsi="宋体" w:cs="Arial"/>
                <w:color w:val="000008"/>
                <w:kern w:val="0"/>
                <w:szCs w:val="21"/>
              </w:rPr>
              <w:t>30</w:t>
            </w:r>
          </w:p>
        </w:tc>
        <w:tc>
          <w:tcPr>
            <w:tcW w:w="1586" w:type="pct"/>
            <w:tcBorders>
              <w:top w:val="nil"/>
              <w:left w:val="nil"/>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ascii="宋体" w:hAnsi="宋体" w:cs="Arial"/>
                <w:color w:val="000008"/>
                <w:kern w:val="0"/>
                <w:szCs w:val="21"/>
              </w:rPr>
              <w:t>25.80</w:t>
            </w:r>
          </w:p>
        </w:tc>
      </w:tr>
      <w:tr>
        <w:tblPrEx>
          <w:tblCellMar>
            <w:top w:w="0" w:type="dxa"/>
            <w:left w:w="108" w:type="dxa"/>
            <w:bottom w:w="0" w:type="dxa"/>
            <w:right w:w="108" w:type="dxa"/>
          </w:tblCellMar>
        </w:tblPrEx>
        <w:trPr>
          <w:trHeight w:val="20" w:hRule="atLeast"/>
        </w:trPr>
        <w:tc>
          <w:tcPr>
            <w:tcW w:w="1829" w:type="pct"/>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hint="eastAsia" w:ascii="宋体" w:hAnsi="宋体" w:cs="Arial"/>
                <w:color w:val="000008"/>
                <w:kern w:val="0"/>
                <w:szCs w:val="21"/>
              </w:rPr>
              <w:t>综合得分</w:t>
            </w:r>
          </w:p>
        </w:tc>
        <w:tc>
          <w:tcPr>
            <w:tcW w:w="1586" w:type="pct"/>
            <w:tcBorders>
              <w:top w:val="nil"/>
              <w:left w:val="nil"/>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ascii="宋体" w:hAnsi="宋体" w:cs="Arial"/>
                <w:color w:val="000008"/>
                <w:kern w:val="0"/>
                <w:szCs w:val="21"/>
              </w:rPr>
              <w:t>100</w:t>
            </w:r>
          </w:p>
        </w:tc>
        <w:tc>
          <w:tcPr>
            <w:tcW w:w="1586" w:type="pct"/>
            <w:tcBorders>
              <w:top w:val="nil"/>
              <w:left w:val="nil"/>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ascii="宋体" w:hAnsi="宋体" w:cs="Arial"/>
                <w:color w:val="000008"/>
                <w:kern w:val="0"/>
                <w:szCs w:val="21"/>
              </w:rPr>
              <w:t>90.37</w:t>
            </w:r>
          </w:p>
        </w:tc>
      </w:tr>
      <w:tr>
        <w:tblPrEx>
          <w:tblCellMar>
            <w:top w:w="0" w:type="dxa"/>
            <w:left w:w="108" w:type="dxa"/>
            <w:bottom w:w="0" w:type="dxa"/>
            <w:right w:w="108" w:type="dxa"/>
          </w:tblCellMar>
        </w:tblPrEx>
        <w:trPr>
          <w:trHeight w:val="20" w:hRule="atLeast"/>
        </w:trPr>
        <w:tc>
          <w:tcPr>
            <w:tcW w:w="1829" w:type="pct"/>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hint="eastAsia" w:ascii="宋体" w:hAnsi="宋体" w:cs="Arial"/>
                <w:color w:val="000008"/>
                <w:kern w:val="0"/>
                <w:szCs w:val="21"/>
              </w:rPr>
              <w:t>绩效级别评价</w:t>
            </w:r>
          </w:p>
        </w:tc>
        <w:tc>
          <w:tcPr>
            <w:tcW w:w="3171" w:type="pct"/>
            <w:gridSpan w:val="2"/>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宋体" w:hAnsi="宋体" w:cs="Arial"/>
                <w:color w:val="000008"/>
                <w:kern w:val="0"/>
                <w:szCs w:val="21"/>
              </w:rPr>
            </w:pPr>
            <w:r>
              <w:rPr>
                <w:rFonts w:hint="eastAsia" w:ascii="宋体" w:hAnsi="宋体" w:cs="Arial"/>
                <w:color w:val="000008"/>
                <w:kern w:val="0"/>
                <w:szCs w:val="21"/>
              </w:rPr>
              <w:t>优</w:t>
            </w:r>
          </w:p>
        </w:tc>
      </w:tr>
    </w:tbl>
    <w:p>
      <w:pPr>
        <w:spacing w:line="360" w:lineRule="auto"/>
        <w:ind w:firstLine="560" w:firstLineChars="200"/>
        <w:outlineLvl w:val="0"/>
        <w:rPr>
          <w:rFonts w:hint="eastAsia" w:ascii="黑体" w:hAnsi="黑体" w:eastAsia="黑体" w:cs="黑体"/>
          <w:sz w:val="28"/>
          <w:szCs w:val="28"/>
          <w:lang w:eastAsia="zh-CN"/>
        </w:rPr>
      </w:pPr>
      <w:r>
        <w:rPr>
          <w:rFonts w:hint="eastAsia" w:ascii="黑体" w:hAnsi="黑体" w:eastAsia="黑体" w:cs="黑体"/>
          <w:sz w:val="28"/>
          <w:szCs w:val="28"/>
          <w:lang w:eastAsia="zh-CN"/>
        </w:rPr>
        <w:t>四、绩效评价指标分析</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rPr>
        <w:t>该项目绩效评价得分</w:t>
      </w:r>
      <w:r>
        <w:rPr>
          <w:rFonts w:ascii="仿宋_GB2312" w:hAnsi="黑体" w:eastAsia="仿宋_GB2312"/>
          <w:sz w:val="28"/>
          <w:szCs w:val="28"/>
        </w:rPr>
        <w:t>90</w:t>
      </w:r>
      <w:r>
        <w:rPr>
          <w:rFonts w:hint="eastAsia" w:ascii="仿宋_GB2312" w:hAnsi="黑体" w:eastAsia="仿宋_GB2312"/>
          <w:sz w:val="28"/>
          <w:szCs w:val="28"/>
        </w:rPr>
        <w:t>.</w:t>
      </w:r>
      <w:r>
        <w:rPr>
          <w:rFonts w:ascii="仿宋_GB2312" w:hAnsi="黑体" w:eastAsia="仿宋_GB2312"/>
          <w:sz w:val="28"/>
          <w:szCs w:val="28"/>
        </w:rPr>
        <w:t>37</w:t>
      </w:r>
      <w:r>
        <w:rPr>
          <w:rFonts w:hint="eastAsia" w:ascii="仿宋_GB2312" w:hAnsi="黑体" w:eastAsia="仿宋_GB2312"/>
          <w:sz w:val="28"/>
          <w:szCs w:val="28"/>
        </w:rPr>
        <w:t>分</w:t>
      </w:r>
      <w:r>
        <w:rPr>
          <w:rFonts w:ascii="仿宋_GB2312" w:hAnsi="黑体" w:eastAsia="仿宋_GB2312"/>
          <w:sz w:val="28"/>
          <w:szCs w:val="28"/>
        </w:rPr>
        <w:t>，</w:t>
      </w:r>
      <w:r>
        <w:rPr>
          <w:rFonts w:hint="eastAsia" w:ascii="仿宋_GB2312" w:hAnsi="黑体" w:eastAsia="仿宋_GB2312"/>
          <w:sz w:val="28"/>
          <w:szCs w:val="28"/>
        </w:rPr>
        <w:t>评价等级为“优”。</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（一）</w:t>
      </w:r>
      <w:r>
        <w:rPr>
          <w:rFonts w:hint="eastAsia" w:ascii="仿宋_GB2312" w:hAnsi="黑体" w:eastAsia="仿宋_GB2312"/>
          <w:sz w:val="28"/>
          <w:szCs w:val="28"/>
        </w:rPr>
        <w:t>项目决策</w:t>
      </w:r>
      <w:r>
        <w:rPr>
          <w:rFonts w:ascii="仿宋_GB2312" w:hAnsi="黑体" w:eastAsia="仿宋_GB2312"/>
          <w:sz w:val="28"/>
          <w:szCs w:val="28"/>
        </w:rPr>
        <w:t>。</w:t>
      </w:r>
      <w:r>
        <w:rPr>
          <w:rFonts w:hint="eastAsia" w:ascii="仿宋_GB2312" w:hAnsi="黑体" w:eastAsia="仿宋_GB2312"/>
          <w:sz w:val="28"/>
          <w:szCs w:val="28"/>
        </w:rPr>
        <w:t>满分为20分，得分1</w:t>
      </w:r>
      <w:r>
        <w:rPr>
          <w:rFonts w:ascii="仿宋_GB2312" w:hAnsi="黑体" w:eastAsia="仿宋_GB2312"/>
          <w:sz w:val="28"/>
          <w:szCs w:val="28"/>
        </w:rPr>
        <w:t>8</w:t>
      </w:r>
      <w:r>
        <w:rPr>
          <w:rFonts w:hint="eastAsia" w:ascii="仿宋_GB2312" w:hAnsi="黑体" w:eastAsia="仿宋_GB2312"/>
          <w:sz w:val="28"/>
          <w:szCs w:val="28"/>
        </w:rPr>
        <w:t>.</w:t>
      </w:r>
      <w:r>
        <w:rPr>
          <w:rFonts w:ascii="仿宋_GB2312" w:hAnsi="黑体" w:eastAsia="仿宋_GB2312"/>
          <w:sz w:val="28"/>
          <w:szCs w:val="28"/>
        </w:rPr>
        <w:t>08</w:t>
      </w:r>
      <w:r>
        <w:rPr>
          <w:rFonts w:hint="eastAsia" w:ascii="仿宋_GB2312" w:hAnsi="黑体" w:eastAsia="仿宋_GB2312"/>
          <w:sz w:val="28"/>
          <w:szCs w:val="28"/>
        </w:rPr>
        <w:t>分。项目立项与北京市、开发区相关政策相契合，符合荣华街道工作职责，属于公共财政支出范围，立项程序较为规范</w:t>
      </w:r>
      <w:r>
        <w:rPr>
          <w:rFonts w:ascii="仿宋_GB2312" w:hAnsi="黑体" w:eastAsia="仿宋_GB2312"/>
          <w:sz w:val="28"/>
          <w:szCs w:val="28"/>
        </w:rPr>
        <w:t>，</w:t>
      </w:r>
      <w:r>
        <w:rPr>
          <w:rFonts w:hint="eastAsia" w:ascii="仿宋_GB2312" w:hAnsi="黑体" w:eastAsia="仿宋_GB2312"/>
          <w:sz w:val="28"/>
          <w:szCs w:val="28"/>
        </w:rPr>
        <w:t>但项目前期需求缺乏充分论证，实施基础较为薄弱；项目绩效目标较为完整，指标较为细化，但预期效益较为笼统，可考量性不足，缺少具体服务对象；资金投入方面，预算资金使用约束力不足，预算编制合理性有待提高。</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（二）</w:t>
      </w:r>
      <w:r>
        <w:rPr>
          <w:rFonts w:hint="eastAsia" w:ascii="仿宋_GB2312" w:hAnsi="黑体" w:eastAsia="仿宋_GB2312"/>
          <w:sz w:val="28"/>
          <w:szCs w:val="28"/>
        </w:rPr>
        <w:t>项目过程。满分为20分，得分1</w:t>
      </w:r>
      <w:r>
        <w:rPr>
          <w:rFonts w:ascii="仿宋_GB2312" w:hAnsi="黑体" w:eastAsia="仿宋_GB2312"/>
          <w:sz w:val="28"/>
          <w:szCs w:val="28"/>
        </w:rPr>
        <w:t>8</w:t>
      </w:r>
      <w:r>
        <w:rPr>
          <w:rFonts w:hint="eastAsia" w:ascii="仿宋_GB2312" w:hAnsi="黑体" w:eastAsia="仿宋_GB2312"/>
          <w:sz w:val="28"/>
          <w:szCs w:val="28"/>
        </w:rPr>
        <w:t>.</w:t>
      </w:r>
      <w:r>
        <w:rPr>
          <w:rFonts w:ascii="仿宋_GB2312" w:hAnsi="黑体" w:eastAsia="仿宋_GB2312"/>
          <w:sz w:val="28"/>
          <w:szCs w:val="28"/>
        </w:rPr>
        <w:t>69</w:t>
      </w:r>
      <w:r>
        <w:rPr>
          <w:rFonts w:hint="eastAsia" w:ascii="仿宋_GB2312" w:hAnsi="黑体" w:eastAsia="仿宋_GB2312"/>
          <w:sz w:val="28"/>
          <w:szCs w:val="28"/>
        </w:rPr>
        <w:t>分。该项目2021年申请预算445</w:t>
      </w:r>
      <w:r>
        <w:rPr>
          <w:rFonts w:hint="eastAsia" w:ascii="仿宋_GB2312" w:hAnsi="黑体" w:eastAsia="仿宋_GB2312"/>
          <w:sz w:val="28"/>
          <w:szCs w:val="28"/>
          <w:lang w:val="en-US" w:eastAsia="zh-CN"/>
        </w:rPr>
        <w:t>.00</w:t>
      </w:r>
      <w:r>
        <w:rPr>
          <w:rFonts w:hint="eastAsia" w:ascii="仿宋_GB2312" w:hAnsi="黑体" w:eastAsia="仿宋_GB2312"/>
          <w:sz w:val="28"/>
          <w:szCs w:val="28"/>
        </w:rPr>
        <w:t>万元，年中调减预算金额8.3</w:t>
      </w:r>
      <w:r>
        <w:rPr>
          <w:rFonts w:hint="eastAsia" w:ascii="仿宋_GB2312" w:hAnsi="黑体" w:eastAsia="仿宋_GB2312"/>
          <w:sz w:val="28"/>
          <w:szCs w:val="28"/>
          <w:lang w:val="en-US" w:eastAsia="zh-CN"/>
        </w:rPr>
        <w:t>0</w:t>
      </w:r>
      <w:r>
        <w:rPr>
          <w:rFonts w:hint="eastAsia" w:ascii="仿宋_GB2312" w:hAnsi="黑体" w:eastAsia="仿宋_GB2312"/>
          <w:sz w:val="28"/>
          <w:szCs w:val="28"/>
        </w:rPr>
        <w:t>万元，实际到位资金436.7</w:t>
      </w:r>
      <w:r>
        <w:rPr>
          <w:rFonts w:hint="eastAsia" w:ascii="仿宋_GB2312" w:hAnsi="黑体" w:eastAsia="仿宋_GB2312"/>
          <w:sz w:val="28"/>
          <w:szCs w:val="28"/>
          <w:lang w:val="en-US" w:eastAsia="zh-CN"/>
        </w:rPr>
        <w:t>0</w:t>
      </w:r>
      <w:r>
        <w:rPr>
          <w:rFonts w:hint="eastAsia" w:ascii="仿宋_GB2312" w:hAnsi="黑体" w:eastAsia="仿宋_GB2312"/>
          <w:sz w:val="28"/>
          <w:szCs w:val="28"/>
        </w:rPr>
        <w:t>万元，截至2020年12月底，实际支出436.619425万元，预算执行率99.98%。资金使用规范</w:t>
      </w:r>
      <w:r>
        <w:rPr>
          <w:rFonts w:ascii="仿宋_GB2312" w:hAnsi="黑体" w:eastAsia="仿宋_GB2312"/>
          <w:sz w:val="28"/>
          <w:szCs w:val="28"/>
        </w:rPr>
        <w:t>，</w:t>
      </w:r>
      <w:r>
        <w:rPr>
          <w:rFonts w:hint="eastAsia" w:ascii="仿宋_GB2312" w:hAnsi="黑体" w:eastAsia="仿宋_GB2312"/>
          <w:sz w:val="28"/>
          <w:szCs w:val="28"/>
        </w:rPr>
        <w:t>整体执行情况较好；组织实施方面，项目责任分工较为明确，职责较为清晰，相关管理制度体系较为完善，制度执行基本有效。</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（三）</w:t>
      </w:r>
      <w:r>
        <w:rPr>
          <w:rFonts w:hint="eastAsia" w:ascii="仿宋_GB2312" w:hAnsi="黑体" w:eastAsia="仿宋_GB2312"/>
          <w:sz w:val="28"/>
          <w:szCs w:val="28"/>
        </w:rPr>
        <w:t>项目产出。满分为30分，得分2</w:t>
      </w:r>
      <w:r>
        <w:rPr>
          <w:rFonts w:ascii="仿宋_GB2312" w:hAnsi="黑体" w:eastAsia="仿宋_GB2312"/>
          <w:sz w:val="28"/>
          <w:szCs w:val="28"/>
        </w:rPr>
        <w:t>7</w:t>
      </w:r>
      <w:r>
        <w:rPr>
          <w:rFonts w:hint="eastAsia" w:ascii="仿宋_GB2312" w:hAnsi="黑体" w:eastAsia="仿宋_GB2312"/>
          <w:sz w:val="28"/>
          <w:szCs w:val="28"/>
        </w:rPr>
        <w:t>.</w:t>
      </w:r>
      <w:r>
        <w:rPr>
          <w:rFonts w:ascii="仿宋_GB2312" w:hAnsi="黑体" w:eastAsia="仿宋_GB2312"/>
          <w:sz w:val="28"/>
          <w:szCs w:val="28"/>
        </w:rPr>
        <w:t>80</w:t>
      </w:r>
      <w:r>
        <w:rPr>
          <w:rFonts w:hint="eastAsia" w:ascii="仿宋_GB2312" w:hAnsi="黑体" w:eastAsia="仿宋_GB2312"/>
          <w:sz w:val="28"/>
          <w:szCs w:val="28"/>
        </w:rPr>
        <w:t>分。2021年度巡巡查队伍共出动保安人员13920人次，巡逻车2790车次，维护了同济南路地铁口及周边环境秩序</w:t>
      </w:r>
      <w:r>
        <w:rPr>
          <w:rFonts w:ascii="仿宋_GB2312" w:hAnsi="黑体" w:eastAsia="仿宋_GB2312"/>
          <w:sz w:val="28"/>
          <w:szCs w:val="28"/>
        </w:rPr>
        <w:t>，清理整治“黑摩的”、“黑车”、无照游商、散发小广告等违规违法行为，</w:t>
      </w:r>
      <w:r>
        <w:rPr>
          <w:rFonts w:hint="eastAsia" w:ascii="仿宋_GB2312" w:hAnsi="黑体" w:eastAsia="仿宋_GB2312"/>
          <w:sz w:val="28"/>
          <w:szCs w:val="28"/>
        </w:rPr>
        <w:t>配合完成重大任务保障工作。同时，荣华街道按照相关考核管理办法要求进行日常考核，根据每月考核结果，整体社会化服务工作完成情况较好。整体资金执行进度较为及时，成本控制较为有效。</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（四）</w:t>
      </w:r>
      <w:r>
        <w:rPr>
          <w:rFonts w:hint="eastAsia" w:ascii="仿宋_GB2312" w:hAnsi="黑体" w:eastAsia="仿宋_GB2312"/>
          <w:sz w:val="28"/>
          <w:szCs w:val="28"/>
        </w:rPr>
        <w:t>项目效益。满分为30分，得分2</w:t>
      </w:r>
      <w:r>
        <w:rPr>
          <w:rFonts w:ascii="仿宋_GB2312" w:hAnsi="黑体" w:eastAsia="仿宋_GB2312"/>
          <w:sz w:val="28"/>
          <w:szCs w:val="28"/>
        </w:rPr>
        <w:t>5</w:t>
      </w:r>
      <w:r>
        <w:rPr>
          <w:rFonts w:hint="eastAsia" w:ascii="仿宋_GB2312" w:hAnsi="黑体" w:eastAsia="仿宋_GB2312"/>
          <w:sz w:val="28"/>
          <w:szCs w:val="28"/>
        </w:rPr>
        <w:t>.</w:t>
      </w:r>
      <w:r>
        <w:rPr>
          <w:rFonts w:ascii="仿宋_GB2312" w:hAnsi="黑体" w:eastAsia="仿宋_GB2312"/>
          <w:sz w:val="28"/>
          <w:szCs w:val="28"/>
        </w:rPr>
        <w:t>8</w:t>
      </w:r>
      <w:r>
        <w:rPr>
          <w:rFonts w:hint="eastAsia" w:ascii="仿宋_GB2312" w:hAnsi="黑体" w:eastAsia="仿宋_GB2312"/>
          <w:sz w:val="28"/>
          <w:szCs w:val="28"/>
        </w:rPr>
        <w:t>0分。效益方面，通过服务单位提供的社会化服务，同济南路地铁口及周边环境秩序良好，“黑摩的”、“黑车”、无照游商、散发小广告等违规违法行为显著减少。通过开展环境整治、大气污染防治巡查、河道巡查等工作，切实改善了同济南路地铁站周边的生态环境和秩序环境，得到了过往市民、周边商户、居民以及公安、交通队、综合执法局等部门的认可</w:t>
      </w:r>
      <w:r>
        <w:rPr>
          <w:rFonts w:ascii="仿宋_GB2312" w:hAnsi="黑体" w:eastAsia="仿宋_GB2312"/>
          <w:sz w:val="28"/>
          <w:szCs w:val="28"/>
        </w:rPr>
        <w:t>；</w:t>
      </w:r>
      <w:r>
        <w:rPr>
          <w:rFonts w:hint="eastAsia" w:ascii="仿宋_GB2312" w:hAnsi="黑体" w:eastAsia="仿宋_GB2312"/>
          <w:sz w:val="28"/>
          <w:szCs w:val="28"/>
        </w:rPr>
        <w:t>满意度方面，荣华街道未组织巡逻点位周边居民开展关于保安人员提供巡逻治安、河道清理等服务的满意度调查。</w:t>
      </w:r>
    </w:p>
    <w:p>
      <w:pPr>
        <w:spacing w:line="360" w:lineRule="auto"/>
        <w:ind w:firstLine="560" w:firstLineChars="200"/>
        <w:outlineLvl w:val="0"/>
        <w:rPr>
          <w:rFonts w:hint="eastAsia" w:ascii="黑体" w:hAnsi="黑体" w:eastAsia="黑体" w:cs="黑体"/>
          <w:sz w:val="28"/>
          <w:szCs w:val="28"/>
        </w:rPr>
      </w:pPr>
      <w:r>
        <w:rPr>
          <w:rFonts w:hint="eastAsia" w:ascii="黑体" w:hAnsi="黑体" w:eastAsia="黑体" w:cs="黑体"/>
          <w:sz w:val="28"/>
          <w:szCs w:val="28"/>
        </w:rPr>
        <w:t>五</w:t>
      </w:r>
      <w:r>
        <w:rPr>
          <w:rFonts w:hint="eastAsia" w:ascii="黑体" w:hAnsi="黑体" w:eastAsia="黑体" w:cs="黑体"/>
          <w:sz w:val="28"/>
          <w:szCs w:val="28"/>
          <w:lang w:eastAsia="zh-CN"/>
        </w:rPr>
        <w:t>、</w:t>
      </w:r>
      <w:r>
        <w:rPr>
          <w:rFonts w:hint="eastAsia" w:ascii="黑体" w:hAnsi="黑体" w:eastAsia="黑体" w:cs="黑体"/>
          <w:sz w:val="28"/>
          <w:szCs w:val="28"/>
        </w:rPr>
        <w:t>主要经验及做法、存在的问题及原因分析</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（一）</w:t>
      </w:r>
      <w:r>
        <w:rPr>
          <w:rFonts w:hint="eastAsia" w:ascii="仿宋_GB2312" w:hAnsi="黑体" w:eastAsia="仿宋_GB2312"/>
          <w:sz w:val="28"/>
          <w:szCs w:val="28"/>
        </w:rPr>
        <w:t>项目实施基础有待进一步加强。荣华街道未针对延续性项目制定中长期工作计划，缺少以往年度工作台账，前期可行性研究不够充分，未对年内治安点位、保安人员数量、巡逻车数量、质量标准等内容进行充分的调研论证，项目实施基础仍有待加强。</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（二）</w:t>
      </w:r>
      <w:r>
        <w:rPr>
          <w:rFonts w:hint="eastAsia" w:ascii="仿宋_GB2312" w:hAnsi="黑体" w:eastAsia="仿宋_GB2312"/>
          <w:sz w:val="28"/>
          <w:szCs w:val="28"/>
        </w:rPr>
        <w:t>预算编制合理性有待提高。该项目年初预算安排356</w:t>
      </w:r>
      <w:r>
        <w:rPr>
          <w:rFonts w:hint="eastAsia" w:ascii="仿宋_GB2312" w:hAnsi="黑体" w:eastAsia="仿宋_GB2312"/>
          <w:sz w:val="28"/>
          <w:szCs w:val="28"/>
          <w:lang w:val="en-US" w:eastAsia="zh-CN"/>
        </w:rPr>
        <w:t>.</w:t>
      </w:r>
      <w:r>
        <w:rPr>
          <w:rFonts w:hint="eastAsia" w:ascii="仿宋_GB2312" w:hAnsi="黑体" w:eastAsia="仿宋_GB2312"/>
          <w:sz w:val="28"/>
          <w:szCs w:val="28"/>
        </w:rPr>
        <w:t>40</w:t>
      </w:r>
      <w:r>
        <w:rPr>
          <w:rFonts w:hint="eastAsia" w:ascii="仿宋_GB2312" w:hAnsi="黑体" w:eastAsia="仿宋_GB2312"/>
          <w:sz w:val="28"/>
          <w:szCs w:val="28"/>
          <w:lang w:eastAsia="zh-CN"/>
        </w:rPr>
        <w:t>万</w:t>
      </w:r>
      <w:r>
        <w:rPr>
          <w:rFonts w:hint="eastAsia" w:ascii="仿宋_GB2312" w:hAnsi="黑体" w:eastAsia="仿宋_GB2312"/>
          <w:sz w:val="28"/>
          <w:szCs w:val="28"/>
        </w:rPr>
        <w:t>元。根据荣华街道提供的预算明细，共配备巡查员74人，每人每月</w:t>
      </w:r>
      <w:r>
        <w:rPr>
          <w:rFonts w:hint="eastAsia" w:ascii="仿宋_GB2312" w:hAnsi="黑体" w:eastAsia="仿宋_GB2312"/>
          <w:sz w:val="28"/>
          <w:szCs w:val="28"/>
          <w:lang w:val="en-US" w:eastAsia="zh-CN"/>
        </w:rPr>
        <w:t>0.</w:t>
      </w:r>
      <w:r>
        <w:rPr>
          <w:rFonts w:hint="eastAsia" w:ascii="仿宋_GB2312" w:hAnsi="黑体" w:eastAsia="仿宋_GB2312"/>
          <w:sz w:val="28"/>
          <w:szCs w:val="28"/>
        </w:rPr>
        <w:t>45</w:t>
      </w:r>
      <w:r>
        <w:rPr>
          <w:rFonts w:hint="eastAsia" w:ascii="仿宋_GB2312" w:hAnsi="黑体" w:eastAsia="仿宋_GB2312"/>
          <w:sz w:val="28"/>
          <w:szCs w:val="28"/>
          <w:lang w:eastAsia="zh-CN"/>
        </w:rPr>
        <w:t>万</w:t>
      </w:r>
      <w:r>
        <w:rPr>
          <w:rFonts w:hint="eastAsia" w:ascii="仿宋_GB2312" w:hAnsi="黑体" w:eastAsia="仿宋_GB2312"/>
          <w:sz w:val="28"/>
          <w:szCs w:val="28"/>
        </w:rPr>
        <w:t>元，合计全年费用为399</w:t>
      </w:r>
      <w:r>
        <w:rPr>
          <w:rFonts w:hint="eastAsia" w:ascii="仿宋_GB2312" w:hAnsi="黑体" w:eastAsia="仿宋_GB2312"/>
          <w:sz w:val="28"/>
          <w:szCs w:val="28"/>
          <w:lang w:val="en-US" w:eastAsia="zh-CN"/>
        </w:rPr>
        <w:t>.</w:t>
      </w:r>
      <w:r>
        <w:rPr>
          <w:rFonts w:hint="eastAsia" w:ascii="仿宋_GB2312" w:hAnsi="黑体" w:eastAsia="仿宋_GB2312"/>
          <w:sz w:val="28"/>
          <w:szCs w:val="28"/>
        </w:rPr>
        <w:t>60</w:t>
      </w:r>
      <w:r>
        <w:rPr>
          <w:rFonts w:hint="eastAsia" w:ascii="仿宋_GB2312" w:hAnsi="黑体" w:eastAsia="仿宋_GB2312"/>
          <w:sz w:val="28"/>
          <w:szCs w:val="28"/>
          <w:lang w:eastAsia="zh-CN"/>
        </w:rPr>
        <w:t>万</w:t>
      </w:r>
      <w:r>
        <w:rPr>
          <w:rFonts w:hint="eastAsia" w:ascii="仿宋_GB2312" w:hAnsi="黑体" w:eastAsia="仿宋_GB2312"/>
          <w:sz w:val="28"/>
          <w:szCs w:val="28"/>
        </w:rPr>
        <w:t>元；配备车辆4辆，每辆每月</w:t>
      </w:r>
      <w:r>
        <w:rPr>
          <w:rFonts w:hint="eastAsia" w:ascii="仿宋_GB2312" w:hAnsi="黑体" w:eastAsia="仿宋_GB2312"/>
          <w:sz w:val="28"/>
          <w:szCs w:val="28"/>
          <w:lang w:val="en-US" w:eastAsia="zh-CN"/>
        </w:rPr>
        <w:t>0.</w:t>
      </w:r>
      <w:r>
        <w:rPr>
          <w:rFonts w:hint="eastAsia" w:ascii="仿宋_GB2312" w:hAnsi="黑体" w:eastAsia="仿宋_GB2312"/>
          <w:sz w:val="28"/>
          <w:szCs w:val="28"/>
        </w:rPr>
        <w:t>90</w:t>
      </w:r>
      <w:r>
        <w:rPr>
          <w:rFonts w:hint="eastAsia" w:ascii="仿宋_GB2312" w:hAnsi="黑体" w:eastAsia="仿宋_GB2312"/>
          <w:sz w:val="28"/>
          <w:szCs w:val="28"/>
          <w:lang w:eastAsia="zh-CN"/>
        </w:rPr>
        <w:t>万</w:t>
      </w:r>
      <w:r>
        <w:rPr>
          <w:rFonts w:hint="eastAsia" w:ascii="仿宋_GB2312" w:hAnsi="黑体" w:eastAsia="仿宋_GB2312"/>
          <w:sz w:val="28"/>
          <w:szCs w:val="28"/>
        </w:rPr>
        <w:t>元，合计全年费用为43</w:t>
      </w:r>
      <w:r>
        <w:rPr>
          <w:rFonts w:hint="eastAsia" w:ascii="仿宋_GB2312" w:hAnsi="黑体" w:eastAsia="仿宋_GB2312"/>
          <w:sz w:val="28"/>
          <w:szCs w:val="28"/>
          <w:lang w:val="en-US" w:eastAsia="zh-CN"/>
        </w:rPr>
        <w:t>.</w:t>
      </w:r>
      <w:r>
        <w:rPr>
          <w:rFonts w:hint="eastAsia" w:ascii="仿宋_GB2312" w:hAnsi="黑体" w:eastAsia="仿宋_GB2312"/>
          <w:sz w:val="28"/>
          <w:szCs w:val="28"/>
        </w:rPr>
        <w:t>20</w:t>
      </w:r>
      <w:r>
        <w:rPr>
          <w:rFonts w:hint="eastAsia" w:ascii="仿宋_GB2312" w:hAnsi="黑体" w:eastAsia="仿宋_GB2312"/>
          <w:sz w:val="28"/>
          <w:szCs w:val="28"/>
          <w:lang w:eastAsia="zh-CN"/>
        </w:rPr>
        <w:t>万</w:t>
      </w:r>
      <w:r>
        <w:rPr>
          <w:rFonts w:hint="eastAsia" w:ascii="仿宋_GB2312" w:hAnsi="黑体" w:eastAsia="仿宋_GB2312"/>
          <w:sz w:val="28"/>
          <w:szCs w:val="28"/>
        </w:rPr>
        <w:t>元；机动资金2</w:t>
      </w:r>
      <w:r>
        <w:rPr>
          <w:rFonts w:hint="eastAsia" w:ascii="仿宋_GB2312" w:hAnsi="黑体" w:eastAsia="仿宋_GB2312"/>
          <w:sz w:val="28"/>
          <w:szCs w:val="28"/>
          <w:lang w:val="en-US" w:eastAsia="zh-CN"/>
        </w:rPr>
        <w:t>.</w:t>
      </w:r>
      <w:r>
        <w:rPr>
          <w:rFonts w:hint="eastAsia" w:ascii="仿宋_GB2312" w:hAnsi="黑体" w:eastAsia="仿宋_GB2312"/>
          <w:sz w:val="28"/>
          <w:szCs w:val="28"/>
        </w:rPr>
        <w:t>00</w:t>
      </w:r>
      <w:r>
        <w:rPr>
          <w:rFonts w:hint="eastAsia" w:ascii="仿宋_GB2312" w:hAnsi="黑体" w:eastAsia="仿宋_GB2312"/>
          <w:sz w:val="28"/>
          <w:szCs w:val="28"/>
          <w:lang w:eastAsia="zh-CN"/>
        </w:rPr>
        <w:t>万</w:t>
      </w:r>
      <w:r>
        <w:rPr>
          <w:rFonts w:hint="eastAsia" w:ascii="仿宋_GB2312" w:hAnsi="黑体" w:eastAsia="仿宋_GB2312"/>
          <w:sz w:val="28"/>
          <w:szCs w:val="28"/>
        </w:rPr>
        <w:t>元。荣华街道在预算编制过程中留有少量机动资金，预算测算缺乏约束，预算编制合理性有待提高。</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（三）</w:t>
      </w:r>
      <w:r>
        <w:rPr>
          <w:rFonts w:hint="eastAsia" w:ascii="仿宋_GB2312" w:hAnsi="黑体" w:eastAsia="仿宋_GB2312"/>
          <w:sz w:val="28"/>
          <w:szCs w:val="28"/>
        </w:rPr>
        <w:t>项目实施成效未能有效体现。一是绩效成果展示不充分，相关佐证依据收集不足。项目实施对维护社会治安及提升周边生活环境信息资料提炼不充分；在项目执行过程中，对群众反映信息及问题收集不足,财政资金投入的绩效成果显现程度不够完整；二是未对同济南路及其他巡逻点位周边居民开展关于保安人员提供巡逻治安、河道清理等服务的满意度调查。</w:t>
      </w:r>
    </w:p>
    <w:p>
      <w:pPr>
        <w:spacing w:line="360" w:lineRule="auto"/>
        <w:ind w:firstLine="560" w:firstLineChars="200"/>
        <w:outlineLvl w:val="0"/>
        <w:rPr>
          <w:rFonts w:hint="eastAsia" w:ascii="黑体" w:hAnsi="黑体" w:eastAsia="黑体" w:cs="黑体"/>
          <w:sz w:val="28"/>
          <w:szCs w:val="28"/>
        </w:rPr>
      </w:pPr>
      <w:r>
        <w:rPr>
          <w:rFonts w:hint="eastAsia" w:ascii="黑体" w:hAnsi="黑体" w:eastAsia="黑体" w:cs="黑体"/>
          <w:sz w:val="28"/>
          <w:szCs w:val="28"/>
        </w:rPr>
        <w:t>六</w:t>
      </w:r>
      <w:r>
        <w:rPr>
          <w:rFonts w:hint="eastAsia" w:ascii="黑体" w:hAnsi="黑体" w:eastAsia="黑体" w:cs="黑体"/>
          <w:sz w:val="28"/>
          <w:szCs w:val="28"/>
          <w:lang w:eastAsia="zh-CN"/>
        </w:rPr>
        <w:t>、</w:t>
      </w:r>
      <w:r>
        <w:rPr>
          <w:rFonts w:hint="eastAsia" w:ascii="黑体" w:hAnsi="黑体" w:eastAsia="黑体" w:cs="黑体"/>
          <w:sz w:val="28"/>
          <w:szCs w:val="28"/>
        </w:rPr>
        <w:t>有关建议</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（一）</w:t>
      </w:r>
      <w:r>
        <w:rPr>
          <w:rFonts w:hint="eastAsia" w:ascii="仿宋_GB2312" w:hAnsi="黑体" w:eastAsia="仿宋_GB2312"/>
          <w:sz w:val="28"/>
          <w:szCs w:val="28"/>
        </w:rPr>
        <w:t>加强项目总体规划。结合市级、区级相关工作要求制定街道同济南路地铁站及周边环境秩序管理服务外包项目的中长期规划和年度工作任务，建立长效机制。完善项目可行性研究报告，明确项目的工作背景、以前年度工作开展情况及成果、辖区内现存问题、责任主体、组织分工、风险控制措施和成本控制措施等。</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（二）</w:t>
      </w:r>
      <w:r>
        <w:rPr>
          <w:rFonts w:hint="eastAsia" w:ascii="仿宋_GB2312" w:hAnsi="黑体" w:eastAsia="仿宋_GB2312"/>
          <w:sz w:val="28"/>
          <w:szCs w:val="28"/>
        </w:rPr>
        <w:t>规范项目预算管理。明确细化预算编制依据，提高预算的精准度，尽量避免出现机动资金，减少预留的预算资金缺口，提高财政预算编制的约束性。</w:t>
      </w:r>
    </w:p>
    <w:p>
      <w:pPr>
        <w:spacing w:line="360" w:lineRule="auto"/>
        <w:ind w:firstLine="560" w:firstLineChars="200"/>
        <w:outlineLvl w:val="0"/>
        <w:rPr>
          <w:rFonts w:ascii="仿宋_GB2312" w:hAnsi="黑体" w:eastAsia="仿宋_GB2312"/>
          <w:sz w:val="28"/>
          <w:szCs w:val="28"/>
        </w:rPr>
      </w:pPr>
      <w:r>
        <w:rPr>
          <w:rFonts w:hint="eastAsia" w:ascii="仿宋_GB2312" w:hAnsi="黑体" w:eastAsia="仿宋_GB2312"/>
          <w:sz w:val="28"/>
          <w:szCs w:val="28"/>
          <w:lang w:eastAsia="zh-CN"/>
        </w:rPr>
        <w:t>（三）</w:t>
      </w:r>
      <w:r>
        <w:rPr>
          <w:rFonts w:hint="eastAsia" w:ascii="仿宋_GB2312" w:hAnsi="黑体" w:eastAsia="仿宋_GB2312"/>
          <w:sz w:val="28"/>
          <w:szCs w:val="28"/>
        </w:rPr>
        <w:t>强化绩效管理意识。一是加强绩效管理资料的归集，提高绩效资料的完整性、规范性、及时性，更好地呈现项目实施效果；二是建议重视满意度调查分析工作，对工作开展的服务、受益对象开展满意度调查，并根据反馈情况不断改进工作，提高工作质量，更好地发挥项目效益。</w:t>
      </w:r>
    </w:p>
    <w:sectPr>
      <w:footerReference r:id="rId3" w:type="default"/>
      <w:pgSz w:w="16838" w:h="11906" w:orient="landscape"/>
      <w:pgMar w:top="1474"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B4654"/>
    <w:rsid w:val="00002993"/>
    <w:rsid w:val="00014C94"/>
    <w:rsid w:val="0001681F"/>
    <w:rsid w:val="00017EAE"/>
    <w:rsid w:val="000206C5"/>
    <w:rsid w:val="0002438B"/>
    <w:rsid w:val="0003238C"/>
    <w:rsid w:val="00032B45"/>
    <w:rsid w:val="00034941"/>
    <w:rsid w:val="0003729D"/>
    <w:rsid w:val="00037B08"/>
    <w:rsid w:val="00047A65"/>
    <w:rsid w:val="000516D0"/>
    <w:rsid w:val="000555BF"/>
    <w:rsid w:val="00061801"/>
    <w:rsid w:val="00082BAE"/>
    <w:rsid w:val="00084120"/>
    <w:rsid w:val="00085696"/>
    <w:rsid w:val="00085DCA"/>
    <w:rsid w:val="0009062A"/>
    <w:rsid w:val="0009168D"/>
    <w:rsid w:val="00092E38"/>
    <w:rsid w:val="00095261"/>
    <w:rsid w:val="00095CCB"/>
    <w:rsid w:val="000B4654"/>
    <w:rsid w:val="000B5597"/>
    <w:rsid w:val="000D0F8B"/>
    <w:rsid w:val="000E174F"/>
    <w:rsid w:val="000E671B"/>
    <w:rsid w:val="000E755E"/>
    <w:rsid w:val="000F4C93"/>
    <w:rsid w:val="000F506B"/>
    <w:rsid w:val="0010613A"/>
    <w:rsid w:val="001109F2"/>
    <w:rsid w:val="00116EC3"/>
    <w:rsid w:val="001259D3"/>
    <w:rsid w:val="00130562"/>
    <w:rsid w:val="00134DB6"/>
    <w:rsid w:val="00145D4C"/>
    <w:rsid w:val="00146804"/>
    <w:rsid w:val="0015160A"/>
    <w:rsid w:val="001554F8"/>
    <w:rsid w:val="001566BD"/>
    <w:rsid w:val="0016418D"/>
    <w:rsid w:val="0017169F"/>
    <w:rsid w:val="0017372A"/>
    <w:rsid w:val="00176D6F"/>
    <w:rsid w:val="001864C7"/>
    <w:rsid w:val="00187FA4"/>
    <w:rsid w:val="001931BA"/>
    <w:rsid w:val="00197FF2"/>
    <w:rsid w:val="001A1C09"/>
    <w:rsid w:val="001A2AF6"/>
    <w:rsid w:val="001A2DDA"/>
    <w:rsid w:val="001A3856"/>
    <w:rsid w:val="001A51F6"/>
    <w:rsid w:val="001A5789"/>
    <w:rsid w:val="001B0F9D"/>
    <w:rsid w:val="001B294B"/>
    <w:rsid w:val="001B2C74"/>
    <w:rsid w:val="001B364F"/>
    <w:rsid w:val="001B645D"/>
    <w:rsid w:val="001C4684"/>
    <w:rsid w:val="001C719D"/>
    <w:rsid w:val="001D09D7"/>
    <w:rsid w:val="001D3867"/>
    <w:rsid w:val="001D4296"/>
    <w:rsid w:val="001D705F"/>
    <w:rsid w:val="001E0262"/>
    <w:rsid w:val="001E0F7E"/>
    <w:rsid w:val="001E1BEC"/>
    <w:rsid w:val="001E32CE"/>
    <w:rsid w:val="001E3DA3"/>
    <w:rsid w:val="001E4574"/>
    <w:rsid w:val="001E6246"/>
    <w:rsid w:val="001F0040"/>
    <w:rsid w:val="001F12D4"/>
    <w:rsid w:val="001F23D3"/>
    <w:rsid w:val="002014F8"/>
    <w:rsid w:val="002016B4"/>
    <w:rsid w:val="00201A28"/>
    <w:rsid w:val="00204C94"/>
    <w:rsid w:val="002114AC"/>
    <w:rsid w:val="00211A3A"/>
    <w:rsid w:val="0021229A"/>
    <w:rsid w:val="0021334F"/>
    <w:rsid w:val="00214E60"/>
    <w:rsid w:val="00217161"/>
    <w:rsid w:val="00221ABA"/>
    <w:rsid w:val="00223180"/>
    <w:rsid w:val="00224DAB"/>
    <w:rsid w:val="00231A1B"/>
    <w:rsid w:val="00233A8C"/>
    <w:rsid w:val="0023780B"/>
    <w:rsid w:val="00241AC5"/>
    <w:rsid w:val="0024334C"/>
    <w:rsid w:val="002434F3"/>
    <w:rsid w:val="00247083"/>
    <w:rsid w:val="00252F7C"/>
    <w:rsid w:val="002778EC"/>
    <w:rsid w:val="00280FF4"/>
    <w:rsid w:val="00283393"/>
    <w:rsid w:val="002903C1"/>
    <w:rsid w:val="0029161E"/>
    <w:rsid w:val="002973AF"/>
    <w:rsid w:val="00297BF8"/>
    <w:rsid w:val="002A1CE5"/>
    <w:rsid w:val="002B1F6D"/>
    <w:rsid w:val="002C19B3"/>
    <w:rsid w:val="002C447F"/>
    <w:rsid w:val="002C50C9"/>
    <w:rsid w:val="002C5E23"/>
    <w:rsid w:val="002C7B75"/>
    <w:rsid w:val="002D5B4B"/>
    <w:rsid w:val="002E1507"/>
    <w:rsid w:val="002E4418"/>
    <w:rsid w:val="002F408A"/>
    <w:rsid w:val="002F6EC1"/>
    <w:rsid w:val="00301A6F"/>
    <w:rsid w:val="00311778"/>
    <w:rsid w:val="00313EE9"/>
    <w:rsid w:val="00316CEC"/>
    <w:rsid w:val="003262D1"/>
    <w:rsid w:val="00326D4A"/>
    <w:rsid w:val="00334C2B"/>
    <w:rsid w:val="00336575"/>
    <w:rsid w:val="0034492E"/>
    <w:rsid w:val="00345810"/>
    <w:rsid w:val="00350D03"/>
    <w:rsid w:val="00353849"/>
    <w:rsid w:val="00354141"/>
    <w:rsid w:val="00360B00"/>
    <w:rsid w:val="0036145E"/>
    <w:rsid w:val="003619D7"/>
    <w:rsid w:val="00365507"/>
    <w:rsid w:val="00367551"/>
    <w:rsid w:val="0037141C"/>
    <w:rsid w:val="00374A49"/>
    <w:rsid w:val="00374AE9"/>
    <w:rsid w:val="00377AAC"/>
    <w:rsid w:val="00380C8D"/>
    <w:rsid w:val="00380E50"/>
    <w:rsid w:val="00382366"/>
    <w:rsid w:val="003841BF"/>
    <w:rsid w:val="00385445"/>
    <w:rsid w:val="003854DA"/>
    <w:rsid w:val="00385945"/>
    <w:rsid w:val="00385D90"/>
    <w:rsid w:val="003906A3"/>
    <w:rsid w:val="00396F09"/>
    <w:rsid w:val="00397ED8"/>
    <w:rsid w:val="003A1459"/>
    <w:rsid w:val="003A419F"/>
    <w:rsid w:val="003A50E0"/>
    <w:rsid w:val="003B3652"/>
    <w:rsid w:val="003B4645"/>
    <w:rsid w:val="003B76F2"/>
    <w:rsid w:val="003C4601"/>
    <w:rsid w:val="003C5168"/>
    <w:rsid w:val="003C5603"/>
    <w:rsid w:val="003C71F3"/>
    <w:rsid w:val="003E0DF5"/>
    <w:rsid w:val="003E17FA"/>
    <w:rsid w:val="003E2132"/>
    <w:rsid w:val="003E5F9F"/>
    <w:rsid w:val="003F1A18"/>
    <w:rsid w:val="003F3CBE"/>
    <w:rsid w:val="003F7E88"/>
    <w:rsid w:val="00401347"/>
    <w:rsid w:val="0040155E"/>
    <w:rsid w:val="0040576B"/>
    <w:rsid w:val="00414CF5"/>
    <w:rsid w:val="0041554E"/>
    <w:rsid w:val="004166BB"/>
    <w:rsid w:val="004230F3"/>
    <w:rsid w:val="00425C01"/>
    <w:rsid w:val="00430F07"/>
    <w:rsid w:val="00431B62"/>
    <w:rsid w:val="004334CD"/>
    <w:rsid w:val="00436DB0"/>
    <w:rsid w:val="00442080"/>
    <w:rsid w:val="00454332"/>
    <w:rsid w:val="004560BA"/>
    <w:rsid w:val="00460918"/>
    <w:rsid w:val="00462999"/>
    <w:rsid w:val="00463291"/>
    <w:rsid w:val="00463BD6"/>
    <w:rsid w:val="00466AA6"/>
    <w:rsid w:val="00473D8D"/>
    <w:rsid w:val="00474AC1"/>
    <w:rsid w:val="0048299B"/>
    <w:rsid w:val="00486FE6"/>
    <w:rsid w:val="004911C3"/>
    <w:rsid w:val="00493B59"/>
    <w:rsid w:val="004945D2"/>
    <w:rsid w:val="0049641D"/>
    <w:rsid w:val="00496BA0"/>
    <w:rsid w:val="004A003D"/>
    <w:rsid w:val="004B22AE"/>
    <w:rsid w:val="004C0991"/>
    <w:rsid w:val="004C5420"/>
    <w:rsid w:val="004C6FE2"/>
    <w:rsid w:val="004D1DAE"/>
    <w:rsid w:val="004D6FDA"/>
    <w:rsid w:val="004E4814"/>
    <w:rsid w:val="004F2D79"/>
    <w:rsid w:val="004F3EBB"/>
    <w:rsid w:val="004F46EF"/>
    <w:rsid w:val="004F7C46"/>
    <w:rsid w:val="00506562"/>
    <w:rsid w:val="00511171"/>
    <w:rsid w:val="00524FDA"/>
    <w:rsid w:val="00525AC5"/>
    <w:rsid w:val="0052694E"/>
    <w:rsid w:val="00530727"/>
    <w:rsid w:val="00531204"/>
    <w:rsid w:val="00532DD0"/>
    <w:rsid w:val="005344B8"/>
    <w:rsid w:val="00540FD2"/>
    <w:rsid w:val="00542786"/>
    <w:rsid w:val="00545B75"/>
    <w:rsid w:val="00547359"/>
    <w:rsid w:val="005508AD"/>
    <w:rsid w:val="0055649D"/>
    <w:rsid w:val="00556853"/>
    <w:rsid w:val="00560717"/>
    <w:rsid w:val="0056429D"/>
    <w:rsid w:val="005643F3"/>
    <w:rsid w:val="00571BB5"/>
    <w:rsid w:val="00573064"/>
    <w:rsid w:val="00577D1E"/>
    <w:rsid w:val="00580FF0"/>
    <w:rsid w:val="00581791"/>
    <w:rsid w:val="00581C01"/>
    <w:rsid w:val="005855DD"/>
    <w:rsid w:val="00586E53"/>
    <w:rsid w:val="0059047F"/>
    <w:rsid w:val="00591CE9"/>
    <w:rsid w:val="00595CE2"/>
    <w:rsid w:val="005A23F4"/>
    <w:rsid w:val="005A337B"/>
    <w:rsid w:val="005A6836"/>
    <w:rsid w:val="005B3E05"/>
    <w:rsid w:val="005B6B84"/>
    <w:rsid w:val="005D5088"/>
    <w:rsid w:val="005E15AE"/>
    <w:rsid w:val="005E2329"/>
    <w:rsid w:val="005E5E96"/>
    <w:rsid w:val="005E637A"/>
    <w:rsid w:val="005F01F2"/>
    <w:rsid w:val="005F11A2"/>
    <w:rsid w:val="005F2035"/>
    <w:rsid w:val="005F5148"/>
    <w:rsid w:val="005F52D3"/>
    <w:rsid w:val="005F71DB"/>
    <w:rsid w:val="00601001"/>
    <w:rsid w:val="00604679"/>
    <w:rsid w:val="00612EEE"/>
    <w:rsid w:val="0061390E"/>
    <w:rsid w:val="00613C5C"/>
    <w:rsid w:val="00613F20"/>
    <w:rsid w:val="006153A2"/>
    <w:rsid w:val="00620039"/>
    <w:rsid w:val="00620514"/>
    <w:rsid w:val="00625B0A"/>
    <w:rsid w:val="006272BE"/>
    <w:rsid w:val="00627E43"/>
    <w:rsid w:val="006308D6"/>
    <w:rsid w:val="006310E5"/>
    <w:rsid w:val="0063311C"/>
    <w:rsid w:val="00633132"/>
    <w:rsid w:val="0063526B"/>
    <w:rsid w:val="006356E8"/>
    <w:rsid w:val="00636B6B"/>
    <w:rsid w:val="00643884"/>
    <w:rsid w:val="0064429F"/>
    <w:rsid w:val="006477FB"/>
    <w:rsid w:val="006500FA"/>
    <w:rsid w:val="00653367"/>
    <w:rsid w:val="006540D1"/>
    <w:rsid w:val="0066484F"/>
    <w:rsid w:val="00665A44"/>
    <w:rsid w:val="00666A56"/>
    <w:rsid w:val="006701BD"/>
    <w:rsid w:val="006733A6"/>
    <w:rsid w:val="006806B0"/>
    <w:rsid w:val="00681137"/>
    <w:rsid w:val="00684507"/>
    <w:rsid w:val="00686F10"/>
    <w:rsid w:val="006878EB"/>
    <w:rsid w:val="006A1B76"/>
    <w:rsid w:val="006A459E"/>
    <w:rsid w:val="006A781D"/>
    <w:rsid w:val="006B5892"/>
    <w:rsid w:val="006B7A1E"/>
    <w:rsid w:val="006C0C37"/>
    <w:rsid w:val="006C574E"/>
    <w:rsid w:val="006D1080"/>
    <w:rsid w:val="006D491F"/>
    <w:rsid w:val="006D6634"/>
    <w:rsid w:val="006E0F0F"/>
    <w:rsid w:val="006E1EC8"/>
    <w:rsid w:val="006E4E84"/>
    <w:rsid w:val="006E7C73"/>
    <w:rsid w:val="006F14AF"/>
    <w:rsid w:val="006F20AF"/>
    <w:rsid w:val="006F4DA5"/>
    <w:rsid w:val="006F51C4"/>
    <w:rsid w:val="006F66AE"/>
    <w:rsid w:val="006F722A"/>
    <w:rsid w:val="00701833"/>
    <w:rsid w:val="007035B5"/>
    <w:rsid w:val="00704D69"/>
    <w:rsid w:val="007126EC"/>
    <w:rsid w:val="0071285A"/>
    <w:rsid w:val="00713ACF"/>
    <w:rsid w:val="0071448C"/>
    <w:rsid w:val="007213A7"/>
    <w:rsid w:val="00721E8E"/>
    <w:rsid w:val="00723509"/>
    <w:rsid w:val="00730421"/>
    <w:rsid w:val="00730C15"/>
    <w:rsid w:val="007440FB"/>
    <w:rsid w:val="007461FC"/>
    <w:rsid w:val="00751D34"/>
    <w:rsid w:val="007561E0"/>
    <w:rsid w:val="00761DC1"/>
    <w:rsid w:val="00771198"/>
    <w:rsid w:val="0077288F"/>
    <w:rsid w:val="00780F7B"/>
    <w:rsid w:val="00782317"/>
    <w:rsid w:val="00785FA1"/>
    <w:rsid w:val="00786A42"/>
    <w:rsid w:val="007931E6"/>
    <w:rsid w:val="0079352C"/>
    <w:rsid w:val="007A12C5"/>
    <w:rsid w:val="007A7BE1"/>
    <w:rsid w:val="007B4935"/>
    <w:rsid w:val="007B7E7A"/>
    <w:rsid w:val="007C32D1"/>
    <w:rsid w:val="007C3D6A"/>
    <w:rsid w:val="007D190F"/>
    <w:rsid w:val="007D2874"/>
    <w:rsid w:val="007D3445"/>
    <w:rsid w:val="007D5C49"/>
    <w:rsid w:val="007E18B1"/>
    <w:rsid w:val="007E21B5"/>
    <w:rsid w:val="007E33E7"/>
    <w:rsid w:val="007E51B5"/>
    <w:rsid w:val="00805762"/>
    <w:rsid w:val="00807B0D"/>
    <w:rsid w:val="00810CA5"/>
    <w:rsid w:val="00810FF3"/>
    <w:rsid w:val="00811A18"/>
    <w:rsid w:val="00812926"/>
    <w:rsid w:val="00820F67"/>
    <w:rsid w:val="0082644C"/>
    <w:rsid w:val="008274A8"/>
    <w:rsid w:val="00832D68"/>
    <w:rsid w:val="00833C94"/>
    <w:rsid w:val="00836DA8"/>
    <w:rsid w:val="0084208A"/>
    <w:rsid w:val="008420E4"/>
    <w:rsid w:val="008425C4"/>
    <w:rsid w:val="008555FE"/>
    <w:rsid w:val="008566D8"/>
    <w:rsid w:val="00856C54"/>
    <w:rsid w:val="00860F7D"/>
    <w:rsid w:val="00866540"/>
    <w:rsid w:val="008702DE"/>
    <w:rsid w:val="00874BE0"/>
    <w:rsid w:val="00883951"/>
    <w:rsid w:val="00887EC0"/>
    <w:rsid w:val="00893111"/>
    <w:rsid w:val="008941A7"/>
    <w:rsid w:val="00895495"/>
    <w:rsid w:val="00896DA9"/>
    <w:rsid w:val="008A609F"/>
    <w:rsid w:val="008A660B"/>
    <w:rsid w:val="008B147B"/>
    <w:rsid w:val="008B18BC"/>
    <w:rsid w:val="008B2DAC"/>
    <w:rsid w:val="008B45A5"/>
    <w:rsid w:val="008B65A7"/>
    <w:rsid w:val="008B6815"/>
    <w:rsid w:val="008B75DE"/>
    <w:rsid w:val="008B7D72"/>
    <w:rsid w:val="008C1DF3"/>
    <w:rsid w:val="008C1EF8"/>
    <w:rsid w:val="008D0EC7"/>
    <w:rsid w:val="008D4D7F"/>
    <w:rsid w:val="008E2923"/>
    <w:rsid w:val="008E2FAA"/>
    <w:rsid w:val="008E63F0"/>
    <w:rsid w:val="008F03E2"/>
    <w:rsid w:val="008F0498"/>
    <w:rsid w:val="008F2AB4"/>
    <w:rsid w:val="00900B7D"/>
    <w:rsid w:val="00905D7E"/>
    <w:rsid w:val="00910F58"/>
    <w:rsid w:val="0091171D"/>
    <w:rsid w:val="0091767E"/>
    <w:rsid w:val="0093401E"/>
    <w:rsid w:val="00935629"/>
    <w:rsid w:val="009372CF"/>
    <w:rsid w:val="00937319"/>
    <w:rsid w:val="009379E5"/>
    <w:rsid w:val="009404C4"/>
    <w:rsid w:val="00942D91"/>
    <w:rsid w:val="009433F2"/>
    <w:rsid w:val="009442DA"/>
    <w:rsid w:val="00953CE0"/>
    <w:rsid w:val="0096444F"/>
    <w:rsid w:val="00975244"/>
    <w:rsid w:val="00976982"/>
    <w:rsid w:val="00981761"/>
    <w:rsid w:val="00983F21"/>
    <w:rsid w:val="00984A54"/>
    <w:rsid w:val="00985750"/>
    <w:rsid w:val="00990270"/>
    <w:rsid w:val="0099145C"/>
    <w:rsid w:val="009A096C"/>
    <w:rsid w:val="009A5602"/>
    <w:rsid w:val="009A5A79"/>
    <w:rsid w:val="009A666C"/>
    <w:rsid w:val="009B139B"/>
    <w:rsid w:val="009B357E"/>
    <w:rsid w:val="009B598D"/>
    <w:rsid w:val="009D0950"/>
    <w:rsid w:val="009D1765"/>
    <w:rsid w:val="009D31F3"/>
    <w:rsid w:val="009D3DAB"/>
    <w:rsid w:val="009D6776"/>
    <w:rsid w:val="009E32F0"/>
    <w:rsid w:val="009F171D"/>
    <w:rsid w:val="009F2252"/>
    <w:rsid w:val="009F3129"/>
    <w:rsid w:val="009F61DC"/>
    <w:rsid w:val="009F6BB5"/>
    <w:rsid w:val="00A03B6F"/>
    <w:rsid w:val="00A06724"/>
    <w:rsid w:val="00A1637D"/>
    <w:rsid w:val="00A21CCF"/>
    <w:rsid w:val="00A2543B"/>
    <w:rsid w:val="00A26EF7"/>
    <w:rsid w:val="00A33FD0"/>
    <w:rsid w:val="00A35C17"/>
    <w:rsid w:val="00A37473"/>
    <w:rsid w:val="00A40689"/>
    <w:rsid w:val="00A4207B"/>
    <w:rsid w:val="00A432BF"/>
    <w:rsid w:val="00A50DC0"/>
    <w:rsid w:val="00A53981"/>
    <w:rsid w:val="00A544CA"/>
    <w:rsid w:val="00A62396"/>
    <w:rsid w:val="00A6469F"/>
    <w:rsid w:val="00A66BB4"/>
    <w:rsid w:val="00A675F0"/>
    <w:rsid w:val="00A71860"/>
    <w:rsid w:val="00A74D91"/>
    <w:rsid w:val="00A7720C"/>
    <w:rsid w:val="00A800BA"/>
    <w:rsid w:val="00A833C4"/>
    <w:rsid w:val="00A85249"/>
    <w:rsid w:val="00A8666A"/>
    <w:rsid w:val="00A8688F"/>
    <w:rsid w:val="00A87549"/>
    <w:rsid w:val="00A938A0"/>
    <w:rsid w:val="00A94AA5"/>
    <w:rsid w:val="00AA065A"/>
    <w:rsid w:val="00AB0182"/>
    <w:rsid w:val="00AB0C73"/>
    <w:rsid w:val="00AB2974"/>
    <w:rsid w:val="00AB6671"/>
    <w:rsid w:val="00AC135D"/>
    <w:rsid w:val="00AC1C4E"/>
    <w:rsid w:val="00AD146F"/>
    <w:rsid w:val="00AD320C"/>
    <w:rsid w:val="00AD4C79"/>
    <w:rsid w:val="00AF00A7"/>
    <w:rsid w:val="00AF5705"/>
    <w:rsid w:val="00B07068"/>
    <w:rsid w:val="00B07BC7"/>
    <w:rsid w:val="00B119BC"/>
    <w:rsid w:val="00B14E49"/>
    <w:rsid w:val="00B17D36"/>
    <w:rsid w:val="00B24811"/>
    <w:rsid w:val="00B260D0"/>
    <w:rsid w:val="00B27E46"/>
    <w:rsid w:val="00B41A25"/>
    <w:rsid w:val="00B45E29"/>
    <w:rsid w:val="00B521C2"/>
    <w:rsid w:val="00B52A48"/>
    <w:rsid w:val="00B64E8D"/>
    <w:rsid w:val="00B655B9"/>
    <w:rsid w:val="00B66672"/>
    <w:rsid w:val="00B72095"/>
    <w:rsid w:val="00B73F7A"/>
    <w:rsid w:val="00B80CC2"/>
    <w:rsid w:val="00B83C31"/>
    <w:rsid w:val="00B876DE"/>
    <w:rsid w:val="00BA12EF"/>
    <w:rsid w:val="00BA55A6"/>
    <w:rsid w:val="00BB75E6"/>
    <w:rsid w:val="00BC36BE"/>
    <w:rsid w:val="00BC3F41"/>
    <w:rsid w:val="00BC4267"/>
    <w:rsid w:val="00BC6612"/>
    <w:rsid w:val="00BD43AB"/>
    <w:rsid w:val="00BD5084"/>
    <w:rsid w:val="00BD71E8"/>
    <w:rsid w:val="00BE0DD0"/>
    <w:rsid w:val="00BE618C"/>
    <w:rsid w:val="00BE6FB0"/>
    <w:rsid w:val="00BE7496"/>
    <w:rsid w:val="00C01238"/>
    <w:rsid w:val="00C01674"/>
    <w:rsid w:val="00C0683E"/>
    <w:rsid w:val="00C06E89"/>
    <w:rsid w:val="00C137E9"/>
    <w:rsid w:val="00C148C6"/>
    <w:rsid w:val="00C20409"/>
    <w:rsid w:val="00C24321"/>
    <w:rsid w:val="00C260A2"/>
    <w:rsid w:val="00C27408"/>
    <w:rsid w:val="00C30042"/>
    <w:rsid w:val="00C31A12"/>
    <w:rsid w:val="00C3221F"/>
    <w:rsid w:val="00C34162"/>
    <w:rsid w:val="00C3453A"/>
    <w:rsid w:val="00C36A24"/>
    <w:rsid w:val="00C41071"/>
    <w:rsid w:val="00C431BC"/>
    <w:rsid w:val="00C44316"/>
    <w:rsid w:val="00C44A0F"/>
    <w:rsid w:val="00C463D8"/>
    <w:rsid w:val="00C53405"/>
    <w:rsid w:val="00C54D1E"/>
    <w:rsid w:val="00C611EE"/>
    <w:rsid w:val="00C636BB"/>
    <w:rsid w:val="00C63C7E"/>
    <w:rsid w:val="00C64605"/>
    <w:rsid w:val="00C656B0"/>
    <w:rsid w:val="00C70DA2"/>
    <w:rsid w:val="00C73355"/>
    <w:rsid w:val="00C733A0"/>
    <w:rsid w:val="00C74AC9"/>
    <w:rsid w:val="00C80E9D"/>
    <w:rsid w:val="00C81276"/>
    <w:rsid w:val="00C8699C"/>
    <w:rsid w:val="00C87B7E"/>
    <w:rsid w:val="00C91E7E"/>
    <w:rsid w:val="00C92A68"/>
    <w:rsid w:val="00C92F1D"/>
    <w:rsid w:val="00C93B96"/>
    <w:rsid w:val="00C94969"/>
    <w:rsid w:val="00C94A78"/>
    <w:rsid w:val="00C95324"/>
    <w:rsid w:val="00C968D4"/>
    <w:rsid w:val="00CA498D"/>
    <w:rsid w:val="00CA6045"/>
    <w:rsid w:val="00CC309D"/>
    <w:rsid w:val="00CC34E1"/>
    <w:rsid w:val="00CD275E"/>
    <w:rsid w:val="00CD7233"/>
    <w:rsid w:val="00CD7C32"/>
    <w:rsid w:val="00CE037D"/>
    <w:rsid w:val="00CF05B2"/>
    <w:rsid w:val="00CF15E8"/>
    <w:rsid w:val="00CF1953"/>
    <w:rsid w:val="00CF2254"/>
    <w:rsid w:val="00CF7857"/>
    <w:rsid w:val="00D11F4E"/>
    <w:rsid w:val="00D1371F"/>
    <w:rsid w:val="00D13F5D"/>
    <w:rsid w:val="00D15957"/>
    <w:rsid w:val="00D20B82"/>
    <w:rsid w:val="00D23DAD"/>
    <w:rsid w:val="00D35A9F"/>
    <w:rsid w:val="00D44C2F"/>
    <w:rsid w:val="00D476F1"/>
    <w:rsid w:val="00D52C92"/>
    <w:rsid w:val="00D5540B"/>
    <w:rsid w:val="00D5552B"/>
    <w:rsid w:val="00D57422"/>
    <w:rsid w:val="00D603D7"/>
    <w:rsid w:val="00D64842"/>
    <w:rsid w:val="00D65E0A"/>
    <w:rsid w:val="00D67CC3"/>
    <w:rsid w:val="00D70F35"/>
    <w:rsid w:val="00D74FD7"/>
    <w:rsid w:val="00D753F6"/>
    <w:rsid w:val="00D8146D"/>
    <w:rsid w:val="00D81533"/>
    <w:rsid w:val="00D86AA3"/>
    <w:rsid w:val="00D9120C"/>
    <w:rsid w:val="00D92571"/>
    <w:rsid w:val="00D95FA0"/>
    <w:rsid w:val="00DA58F6"/>
    <w:rsid w:val="00DA5926"/>
    <w:rsid w:val="00DA7D39"/>
    <w:rsid w:val="00DB16A4"/>
    <w:rsid w:val="00DB2AF2"/>
    <w:rsid w:val="00DB71B1"/>
    <w:rsid w:val="00DC224B"/>
    <w:rsid w:val="00DC30DF"/>
    <w:rsid w:val="00DC41A3"/>
    <w:rsid w:val="00DD00AD"/>
    <w:rsid w:val="00DD615C"/>
    <w:rsid w:val="00DF3DD0"/>
    <w:rsid w:val="00DF6A33"/>
    <w:rsid w:val="00E03098"/>
    <w:rsid w:val="00E053F6"/>
    <w:rsid w:val="00E0779C"/>
    <w:rsid w:val="00E14084"/>
    <w:rsid w:val="00E16793"/>
    <w:rsid w:val="00E2523E"/>
    <w:rsid w:val="00E26BF8"/>
    <w:rsid w:val="00E302C2"/>
    <w:rsid w:val="00E352E2"/>
    <w:rsid w:val="00E36951"/>
    <w:rsid w:val="00E43F66"/>
    <w:rsid w:val="00E46BBD"/>
    <w:rsid w:val="00E505CA"/>
    <w:rsid w:val="00E5326B"/>
    <w:rsid w:val="00E53D01"/>
    <w:rsid w:val="00E540AD"/>
    <w:rsid w:val="00E547B2"/>
    <w:rsid w:val="00E6500F"/>
    <w:rsid w:val="00E6587F"/>
    <w:rsid w:val="00E66850"/>
    <w:rsid w:val="00E679B5"/>
    <w:rsid w:val="00E744C7"/>
    <w:rsid w:val="00E76291"/>
    <w:rsid w:val="00E77EF1"/>
    <w:rsid w:val="00E80D83"/>
    <w:rsid w:val="00E85F58"/>
    <w:rsid w:val="00E91245"/>
    <w:rsid w:val="00E91C66"/>
    <w:rsid w:val="00E925C5"/>
    <w:rsid w:val="00EB090B"/>
    <w:rsid w:val="00EB24F5"/>
    <w:rsid w:val="00EB3689"/>
    <w:rsid w:val="00EB4C55"/>
    <w:rsid w:val="00EB6726"/>
    <w:rsid w:val="00EC4944"/>
    <w:rsid w:val="00EC649B"/>
    <w:rsid w:val="00ED0D46"/>
    <w:rsid w:val="00ED1407"/>
    <w:rsid w:val="00ED261E"/>
    <w:rsid w:val="00ED47D0"/>
    <w:rsid w:val="00ED5C49"/>
    <w:rsid w:val="00ED5DC4"/>
    <w:rsid w:val="00ED78EF"/>
    <w:rsid w:val="00EE0C11"/>
    <w:rsid w:val="00EE3E1A"/>
    <w:rsid w:val="00EE52B2"/>
    <w:rsid w:val="00EF16CD"/>
    <w:rsid w:val="00EF1DB4"/>
    <w:rsid w:val="00EF738B"/>
    <w:rsid w:val="00F0145D"/>
    <w:rsid w:val="00F039EE"/>
    <w:rsid w:val="00F04533"/>
    <w:rsid w:val="00F04F6C"/>
    <w:rsid w:val="00F05AC7"/>
    <w:rsid w:val="00F11147"/>
    <w:rsid w:val="00F12F43"/>
    <w:rsid w:val="00F240B4"/>
    <w:rsid w:val="00F2700C"/>
    <w:rsid w:val="00F33023"/>
    <w:rsid w:val="00F34D84"/>
    <w:rsid w:val="00F44340"/>
    <w:rsid w:val="00F511EF"/>
    <w:rsid w:val="00F51205"/>
    <w:rsid w:val="00F57C1C"/>
    <w:rsid w:val="00F57CF6"/>
    <w:rsid w:val="00F655AA"/>
    <w:rsid w:val="00F73080"/>
    <w:rsid w:val="00F735C0"/>
    <w:rsid w:val="00F74EEB"/>
    <w:rsid w:val="00F80B48"/>
    <w:rsid w:val="00F8724B"/>
    <w:rsid w:val="00F91FDB"/>
    <w:rsid w:val="00F92C93"/>
    <w:rsid w:val="00F934EB"/>
    <w:rsid w:val="00F96D8B"/>
    <w:rsid w:val="00F97DB8"/>
    <w:rsid w:val="00FA00E8"/>
    <w:rsid w:val="00FA0476"/>
    <w:rsid w:val="00FA4F47"/>
    <w:rsid w:val="00FA6730"/>
    <w:rsid w:val="00FA7FA5"/>
    <w:rsid w:val="00FB13FF"/>
    <w:rsid w:val="00FB4EE3"/>
    <w:rsid w:val="00FC3621"/>
    <w:rsid w:val="00FC53B5"/>
    <w:rsid w:val="00FD4555"/>
    <w:rsid w:val="00FD4B55"/>
    <w:rsid w:val="00FD62F4"/>
    <w:rsid w:val="00FE0472"/>
    <w:rsid w:val="00FE1EB2"/>
    <w:rsid w:val="00FE5D11"/>
    <w:rsid w:val="00FF32DC"/>
    <w:rsid w:val="00FF3F0E"/>
    <w:rsid w:val="00FF6295"/>
    <w:rsid w:val="00FF7618"/>
    <w:rsid w:val="27DD2020"/>
    <w:rsid w:val="5EF3C006"/>
    <w:rsid w:val="7EEF7B9C"/>
    <w:rsid w:val="B52EA0AF"/>
    <w:rsid w:val="E7FF033D"/>
    <w:rsid w:val="E93A7E46"/>
    <w:rsid w:val="F6271F84"/>
    <w:rsid w:val="FBF95C1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3"/>
    <w:unhideWhenUsed/>
    <w:qFormat/>
    <w:uiPriority w:val="99"/>
    <w:rPr>
      <w:b/>
      <w:bCs/>
    </w:rPr>
  </w:style>
  <w:style w:type="character" w:styleId="9">
    <w:name w:val="annotation reference"/>
    <w:basedOn w:val="8"/>
    <w:unhideWhenUsed/>
    <w:qFormat/>
    <w:uiPriority w:val="99"/>
    <w:rPr>
      <w:sz w:val="21"/>
      <w:szCs w:val="21"/>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文字 Char"/>
    <w:basedOn w:val="8"/>
    <w:link w:val="2"/>
    <w:semiHidden/>
    <w:qFormat/>
    <w:uiPriority w:val="99"/>
    <w:rPr>
      <w:kern w:val="2"/>
      <w:sz w:val="21"/>
      <w:szCs w:val="24"/>
    </w:rPr>
  </w:style>
  <w:style w:type="character" w:customStyle="1" w:styleId="13">
    <w:name w:val="批注主题 Char"/>
    <w:basedOn w:val="12"/>
    <w:link w:val="6"/>
    <w:semiHidden/>
    <w:qFormat/>
    <w:uiPriority w:val="99"/>
    <w:rPr>
      <w:b/>
      <w:bCs/>
      <w:kern w:val="2"/>
      <w:sz w:val="21"/>
      <w:szCs w:val="24"/>
    </w:rPr>
  </w:style>
  <w:style w:type="character" w:customStyle="1" w:styleId="14">
    <w:name w:val="批注框文本 Char"/>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CHY</Company>
  <Pages>5</Pages>
  <Words>356</Words>
  <Characters>2030</Characters>
  <Lines>16</Lines>
  <Paragraphs>4</Paragraphs>
  <TotalTime>69</TotalTime>
  <ScaleCrop>false</ScaleCrop>
  <LinksUpToDate>false</LinksUpToDate>
  <CharactersWithSpaces>2382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2022-06-09T12:50:00Z</dcterms:created>
  <dc:creator>1</dc:creator>
  <cp:lastModifiedBy>BDA</cp:lastModifiedBy>
  <dcterms:modified xsi:type="dcterms:W3CDTF">2022-08-19T11:55:41Z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