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24"/>
        </w:rPr>
      </w:pPr>
    </w:p>
    <w:p>
      <w:pPr>
        <w:spacing w:line="360" w:lineRule="auto"/>
        <w:jc w:val="center"/>
        <w:rPr>
          <w:rFonts w:ascii="黑体" w:hAnsi="黑体" w:eastAsia="黑体"/>
          <w:b/>
          <w:sz w:val="24"/>
        </w:rPr>
      </w:pPr>
    </w:p>
    <w:p>
      <w:pPr>
        <w:spacing w:line="360" w:lineRule="auto"/>
        <w:jc w:val="center"/>
        <w:rPr>
          <w:rFonts w:ascii="黑体" w:hAnsi="黑体" w:eastAsia="黑体"/>
          <w:b/>
          <w:sz w:val="24"/>
        </w:rPr>
      </w:pPr>
    </w:p>
    <w:p>
      <w:pPr>
        <w:adjustRightInd w:val="0"/>
        <w:snapToGrid w:val="0"/>
        <w:jc w:val="center"/>
        <w:rPr>
          <w:rFonts w:ascii="黑体" w:hAnsi="黑体" w:eastAsia="黑体"/>
          <w:sz w:val="44"/>
          <w:szCs w:val="44"/>
          <w:lang w:val="zh-CN"/>
        </w:rPr>
      </w:pPr>
    </w:p>
    <w:p>
      <w:pPr>
        <w:pStyle w:val="2"/>
        <w:rPr>
          <w:lang w:val="zh-CN"/>
        </w:rPr>
      </w:pPr>
    </w:p>
    <w:p>
      <w:pPr>
        <w:pStyle w:val="2"/>
        <w:rPr>
          <w:lang w:val="zh-CN"/>
        </w:rPr>
      </w:pPr>
    </w:p>
    <w:p>
      <w:pPr>
        <w:rPr>
          <w:lang w:val="zh-CN"/>
        </w:rPr>
      </w:pPr>
    </w:p>
    <w:p>
      <w:pPr>
        <w:spacing w:line="360" w:lineRule="auto"/>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北京市重大项目建设指挥部办公室部门整体绩效评价报告</w:t>
      </w:r>
    </w:p>
    <w:p>
      <w:pPr>
        <w:spacing w:line="360" w:lineRule="auto"/>
        <w:jc w:val="center"/>
        <w:rPr>
          <w:rFonts w:asciiTheme="majorEastAsia" w:hAnsiTheme="majorEastAsia" w:eastAsiaTheme="majorEastAsia"/>
          <w:b/>
          <w:sz w:val="52"/>
          <w:szCs w:val="52"/>
        </w:rPr>
      </w:pPr>
    </w:p>
    <w:p>
      <w:pPr>
        <w:spacing w:line="360" w:lineRule="auto"/>
        <w:jc w:val="center"/>
        <w:rPr>
          <w:rFonts w:ascii="黑体" w:hAnsi="黑体" w:eastAsia="黑体"/>
          <w:b/>
          <w:sz w:val="72"/>
          <w:szCs w:val="72"/>
          <w:lang w:val="zh-CN"/>
        </w:rPr>
      </w:pPr>
    </w:p>
    <w:p>
      <w:pPr>
        <w:adjustRightInd w:val="0"/>
        <w:snapToGrid w:val="0"/>
        <w:spacing w:line="0" w:lineRule="atLeast"/>
        <w:jc w:val="center"/>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pStyle w:val="2"/>
        <w:rPr>
          <w:lang w:val="zh-CN"/>
        </w:rPr>
      </w:pPr>
    </w:p>
    <w:p>
      <w:pPr>
        <w:spacing w:line="600" w:lineRule="exact"/>
        <w:jc w:val="left"/>
        <w:rPr>
          <w:rFonts w:ascii="黑体" w:hAnsi="黑体" w:eastAsia="黑体"/>
          <w:sz w:val="30"/>
          <w:szCs w:val="30"/>
        </w:rPr>
      </w:pPr>
    </w:p>
    <w:p>
      <w:pPr>
        <w:pStyle w:val="2"/>
        <w:rPr>
          <w:lang w:val="zh-CN"/>
        </w:rPr>
      </w:pPr>
    </w:p>
    <w:p>
      <w:pPr>
        <w:pStyle w:val="2"/>
        <w:rPr>
          <w:lang w:val="zh-CN"/>
        </w:rPr>
      </w:pPr>
    </w:p>
    <w:p>
      <w:pPr>
        <w:rPr>
          <w:lang w:val="zh-CN"/>
        </w:rPr>
      </w:pPr>
    </w:p>
    <w:p>
      <w:pPr>
        <w:pStyle w:val="2"/>
        <w:rPr>
          <w:lang w:val="zh-CN"/>
        </w:rPr>
      </w:pPr>
    </w:p>
    <w:p>
      <w:pPr>
        <w:rPr>
          <w:lang w:val="zh-CN"/>
        </w:rPr>
      </w:pPr>
    </w:p>
    <w:p>
      <w:pPr>
        <w:jc w:val="center"/>
        <w:rPr>
          <w:rFonts w:ascii="楷体" w:hAnsi="楷体" w:eastAsia="楷体" w:cs="楷体"/>
          <w:b/>
          <w:sz w:val="32"/>
          <w:szCs w:val="32"/>
        </w:rPr>
      </w:pPr>
      <w:r>
        <w:rPr>
          <w:rFonts w:hint="eastAsia" w:asciiTheme="majorEastAsia" w:hAnsiTheme="majorEastAsia" w:eastAsiaTheme="majorEastAsia"/>
          <w:b/>
          <w:sz w:val="32"/>
          <w:szCs w:val="32"/>
        </w:rPr>
        <w:t>二○二二年五月</w:t>
      </w:r>
    </w:p>
    <w:p>
      <w:pPr>
        <w:pStyle w:val="2"/>
      </w:pPr>
    </w:p>
    <w:p>
      <w:pPr>
        <w:adjustRightInd w:val="0"/>
        <w:snapToGrid w:val="0"/>
        <w:rPr>
          <w:rFonts w:ascii="仿宋" w:hAnsi="仿宋" w:eastAsia="仿宋" w:cs="仿宋"/>
          <w:sz w:val="30"/>
          <w:szCs w:val="30"/>
        </w:rPr>
        <w:sectPr>
          <w:pgSz w:w="11906" w:h="16838"/>
          <w:pgMar w:top="1440" w:right="1800" w:bottom="1440" w:left="1800" w:header="851" w:footer="992" w:gutter="0"/>
          <w:cols w:space="720" w:num="1"/>
          <w:docGrid w:type="lines" w:linePitch="312" w:charSpace="0"/>
        </w:sectPr>
      </w:pPr>
    </w:p>
    <w:p>
      <w:pPr>
        <w:pStyle w:val="7"/>
        <w:ind w:left="0" w:leftChars="0"/>
        <w:jc w:val="both"/>
        <w:rPr>
          <w:sz w:val="36"/>
          <w:szCs w:val="36"/>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sdt>
      <w:sdtPr>
        <w:rPr>
          <w:rFonts w:ascii="宋体" w:hAnsi="宋体"/>
        </w:rPr>
        <w:id w:val="147471619"/>
        <w:docPartObj>
          <w:docPartGallery w:val="Table of Contents"/>
          <w:docPartUnique/>
        </w:docPartObj>
      </w:sdtPr>
      <w:sdtEndPr>
        <w:rPr>
          <w:rFonts w:hint="eastAsia" w:ascii="宋体" w:hAnsi="宋体" w:cs="宋体"/>
          <w:b/>
          <w:sz w:val="28"/>
          <w:szCs w:val="28"/>
        </w:rPr>
      </w:sdtEndPr>
      <w:sdtContent>
        <w:p>
          <w:pPr>
            <w:jc w:val="center"/>
            <w:rPr>
              <w:rFonts w:hint="eastAsia" w:ascii="黑体" w:hAnsi="黑体" w:eastAsia="黑体" w:cs="宋体"/>
              <w:b w:val="0"/>
              <w:bCs w:val="0"/>
              <w:kern w:val="0"/>
              <w:sz w:val="36"/>
              <w:szCs w:val="36"/>
              <w:lang w:val="en-US" w:eastAsia="zh-CN" w:bidi="ar-SA"/>
            </w:rPr>
          </w:pPr>
          <w:r>
            <w:rPr>
              <w:rFonts w:hint="eastAsia" w:ascii="黑体" w:hAnsi="黑体" w:eastAsia="黑体" w:cs="宋体"/>
              <w:b w:val="0"/>
              <w:bCs w:val="0"/>
              <w:kern w:val="0"/>
              <w:sz w:val="36"/>
              <w:szCs w:val="36"/>
              <w:lang w:val="en-US" w:eastAsia="zh-CN" w:bidi="ar-SA"/>
            </w:rPr>
            <w:t>目录</w:t>
          </w:r>
        </w:p>
        <w:p>
          <w:pPr>
            <w:pStyle w:val="6"/>
            <w:tabs>
              <w:tab w:val="right" w:leader="dot" w:pos="8306"/>
            </w:tabs>
          </w:pP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_Toc23417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一、部门概况</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_Toc23417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1</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_Toc15759 </w:instrText>
          </w:r>
          <w:r>
            <w:rPr>
              <w:rFonts w:hint="eastAsia" w:ascii="宋体" w:hAnsi="宋体" w:cs="宋体"/>
              <w:szCs w:val="28"/>
            </w:rPr>
            <w:fldChar w:fldCharType="separate"/>
          </w:r>
          <w:r>
            <w:rPr>
              <w:rFonts w:hint="eastAsia" w:ascii="楷体_GB2312" w:eastAsia="楷体_GB2312"/>
              <w:szCs w:val="32"/>
            </w:rPr>
            <w:t>（一）机构设置及职责工作任务情况</w:t>
          </w:r>
          <w:r>
            <w:tab/>
          </w:r>
          <w:r>
            <w:fldChar w:fldCharType="begin"/>
          </w:r>
          <w:r>
            <w:instrText xml:space="preserve"> PAGEREF _Toc15759 \h </w:instrText>
          </w:r>
          <w:r>
            <w:fldChar w:fldCharType="separate"/>
          </w:r>
          <w:r>
            <w:t>1</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_Toc9370 </w:instrText>
          </w:r>
          <w:r>
            <w:rPr>
              <w:rFonts w:hint="eastAsia" w:ascii="宋体" w:hAnsi="宋体" w:cs="宋体"/>
              <w:szCs w:val="28"/>
            </w:rPr>
            <w:fldChar w:fldCharType="separate"/>
          </w:r>
          <w:r>
            <w:rPr>
              <w:rFonts w:hint="eastAsia" w:ascii="楷体_GB2312" w:eastAsia="楷体_GB2312"/>
              <w:szCs w:val="32"/>
            </w:rPr>
            <w:t>（二）部门整体绩效目标设立情况</w:t>
          </w:r>
          <w:r>
            <w:tab/>
          </w:r>
          <w:r>
            <w:fldChar w:fldCharType="begin"/>
          </w:r>
          <w:r>
            <w:instrText xml:space="preserve"> PAGEREF _Toc9370 \h </w:instrText>
          </w:r>
          <w:r>
            <w:fldChar w:fldCharType="separate"/>
          </w:r>
          <w:r>
            <w:t>3</w:t>
          </w:r>
          <w:r>
            <w:fldChar w:fldCharType="end"/>
          </w:r>
          <w:r>
            <w:rPr>
              <w:rFonts w:hint="eastAsia" w:ascii="宋体" w:hAnsi="宋体" w:cs="宋体"/>
              <w:szCs w:val="28"/>
            </w:rPr>
            <w:fldChar w:fldCharType="end"/>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_Toc14594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二、当年预算执行情况</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_Toc14594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6</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_Toc2789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三、整体绩效目标实现情况</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_Toc2789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6</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_Toc25819 </w:instrText>
          </w:r>
          <w:r>
            <w:rPr>
              <w:rFonts w:hint="eastAsia" w:ascii="宋体" w:hAnsi="宋体" w:cs="宋体"/>
              <w:szCs w:val="28"/>
            </w:rPr>
            <w:fldChar w:fldCharType="separate"/>
          </w:r>
          <w:r>
            <w:rPr>
              <w:rFonts w:hint="eastAsia" w:ascii="楷体_GB2312" w:eastAsia="楷体_GB2312"/>
              <w:szCs w:val="32"/>
            </w:rPr>
            <w:t>（一）产出完成情况分析</w:t>
          </w:r>
          <w:r>
            <w:tab/>
          </w:r>
          <w:r>
            <w:fldChar w:fldCharType="begin"/>
          </w:r>
          <w:r>
            <w:instrText xml:space="preserve"> PAGEREF _Toc25819 \h </w:instrText>
          </w:r>
          <w:r>
            <w:fldChar w:fldCharType="separate"/>
          </w:r>
          <w:r>
            <w:t>6</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_Toc12615 </w:instrText>
          </w:r>
          <w:r>
            <w:rPr>
              <w:rFonts w:hint="eastAsia" w:ascii="宋体" w:hAnsi="宋体" w:cs="宋体"/>
              <w:szCs w:val="28"/>
            </w:rPr>
            <w:fldChar w:fldCharType="separate"/>
          </w:r>
          <w:r>
            <w:rPr>
              <w:rFonts w:hint="eastAsia" w:ascii="楷体_GB2312" w:eastAsia="楷体_GB2312"/>
              <w:szCs w:val="32"/>
            </w:rPr>
            <w:t>（二）效果实现情况分析</w:t>
          </w:r>
          <w:r>
            <w:tab/>
          </w:r>
          <w:r>
            <w:fldChar w:fldCharType="begin"/>
          </w:r>
          <w:r>
            <w:instrText xml:space="preserve"> PAGEREF _Toc12615 \h </w:instrText>
          </w:r>
          <w:r>
            <w:fldChar w:fldCharType="separate"/>
          </w:r>
          <w:r>
            <w:t>11</w:t>
          </w:r>
          <w:r>
            <w:fldChar w:fldCharType="end"/>
          </w:r>
          <w:r>
            <w:rPr>
              <w:rFonts w:hint="eastAsia" w:ascii="宋体" w:hAnsi="宋体" w:cs="宋体"/>
              <w:szCs w:val="28"/>
            </w:rPr>
            <w:fldChar w:fldCharType="end"/>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_Toc8584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四、预算管理情况分析</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_Toc8584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12</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_Toc25318 </w:instrText>
          </w:r>
          <w:r>
            <w:rPr>
              <w:rFonts w:hint="eastAsia" w:ascii="宋体" w:hAnsi="宋体" w:cs="宋体"/>
              <w:szCs w:val="28"/>
            </w:rPr>
            <w:fldChar w:fldCharType="separate"/>
          </w:r>
          <w:r>
            <w:rPr>
              <w:rFonts w:hint="eastAsia" w:ascii="楷体_GB2312" w:eastAsia="楷体_GB2312"/>
              <w:szCs w:val="32"/>
            </w:rPr>
            <w:t>（一）财务管理</w:t>
          </w:r>
          <w:r>
            <w:tab/>
          </w:r>
          <w:r>
            <w:fldChar w:fldCharType="begin"/>
          </w:r>
          <w:r>
            <w:instrText xml:space="preserve"> PAGEREF _Toc25318 \h </w:instrText>
          </w:r>
          <w:r>
            <w:fldChar w:fldCharType="separate"/>
          </w:r>
          <w:r>
            <w:t>12</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_Toc28762 </w:instrText>
          </w:r>
          <w:r>
            <w:rPr>
              <w:rFonts w:hint="eastAsia" w:ascii="宋体" w:hAnsi="宋体" w:cs="宋体"/>
              <w:szCs w:val="28"/>
            </w:rPr>
            <w:fldChar w:fldCharType="separate"/>
          </w:r>
          <w:r>
            <w:rPr>
              <w:rFonts w:hint="eastAsia" w:ascii="楷体_GB2312" w:eastAsia="楷体_GB2312"/>
              <w:szCs w:val="32"/>
            </w:rPr>
            <w:t>（二）资产管理</w:t>
          </w:r>
          <w:r>
            <w:tab/>
          </w:r>
          <w:r>
            <w:fldChar w:fldCharType="begin"/>
          </w:r>
          <w:r>
            <w:instrText xml:space="preserve"> PAGEREF _Toc28762 \h </w:instrText>
          </w:r>
          <w:r>
            <w:fldChar w:fldCharType="separate"/>
          </w:r>
          <w:r>
            <w:t>13</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_Toc31625 </w:instrText>
          </w:r>
          <w:r>
            <w:rPr>
              <w:rFonts w:hint="eastAsia" w:ascii="宋体" w:hAnsi="宋体" w:cs="宋体"/>
              <w:szCs w:val="28"/>
            </w:rPr>
            <w:fldChar w:fldCharType="separate"/>
          </w:r>
          <w:r>
            <w:rPr>
              <w:rFonts w:hint="eastAsia" w:ascii="楷体_GB2312" w:eastAsia="楷体_GB2312"/>
              <w:szCs w:val="32"/>
            </w:rPr>
            <w:t>（三）绩效管理</w:t>
          </w:r>
          <w:r>
            <w:tab/>
          </w:r>
          <w:r>
            <w:fldChar w:fldCharType="begin"/>
          </w:r>
          <w:r>
            <w:instrText xml:space="preserve"> PAGEREF _Toc31625 \h </w:instrText>
          </w:r>
          <w:r>
            <w:fldChar w:fldCharType="separate"/>
          </w:r>
          <w:r>
            <w:t>14</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_Toc1737 </w:instrText>
          </w:r>
          <w:r>
            <w:rPr>
              <w:rFonts w:hint="eastAsia" w:ascii="宋体" w:hAnsi="宋体" w:cs="宋体"/>
              <w:szCs w:val="28"/>
            </w:rPr>
            <w:fldChar w:fldCharType="separate"/>
          </w:r>
          <w:r>
            <w:rPr>
              <w:rFonts w:hint="eastAsia" w:ascii="楷体_GB2312" w:eastAsia="楷体_GB2312"/>
              <w:szCs w:val="32"/>
            </w:rPr>
            <w:t>（四）结转结余率</w:t>
          </w:r>
          <w:r>
            <w:tab/>
          </w:r>
          <w:r>
            <w:fldChar w:fldCharType="begin"/>
          </w:r>
          <w:r>
            <w:instrText xml:space="preserve"> PAGEREF _Toc1737 \h </w:instrText>
          </w:r>
          <w:r>
            <w:fldChar w:fldCharType="separate"/>
          </w:r>
          <w:r>
            <w:t>15</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_Toc18510 </w:instrText>
          </w:r>
          <w:r>
            <w:rPr>
              <w:rFonts w:hint="eastAsia" w:ascii="宋体" w:hAnsi="宋体" w:cs="宋体"/>
              <w:szCs w:val="28"/>
            </w:rPr>
            <w:fldChar w:fldCharType="separate"/>
          </w:r>
          <w:r>
            <w:rPr>
              <w:rFonts w:hint="eastAsia" w:ascii="楷体_GB2312" w:eastAsia="楷体_GB2312"/>
              <w:szCs w:val="32"/>
            </w:rPr>
            <w:t>（五）部门预决算差异率</w:t>
          </w:r>
          <w:r>
            <w:tab/>
          </w:r>
          <w:r>
            <w:fldChar w:fldCharType="begin"/>
          </w:r>
          <w:r>
            <w:instrText xml:space="preserve"> PAGEREF _Toc18510 \h </w:instrText>
          </w:r>
          <w:r>
            <w:fldChar w:fldCharType="separate"/>
          </w:r>
          <w:r>
            <w:t>15</w:t>
          </w:r>
          <w:r>
            <w:fldChar w:fldCharType="end"/>
          </w:r>
          <w:r>
            <w:rPr>
              <w:rFonts w:hint="eastAsia" w:ascii="宋体" w:hAnsi="宋体" w:cs="宋体"/>
              <w:szCs w:val="28"/>
            </w:rPr>
            <w:fldChar w:fldCharType="end"/>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_Toc23779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五、总体评价结论</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_Toc23779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15</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_Toc19176 </w:instrText>
          </w:r>
          <w:r>
            <w:rPr>
              <w:rFonts w:hint="eastAsia" w:ascii="宋体" w:hAnsi="宋体" w:cs="宋体"/>
              <w:szCs w:val="28"/>
            </w:rPr>
            <w:fldChar w:fldCharType="separate"/>
          </w:r>
          <w:r>
            <w:rPr>
              <w:rFonts w:hint="eastAsia" w:ascii="楷体_GB2312" w:eastAsia="楷体_GB2312"/>
              <w:szCs w:val="32"/>
            </w:rPr>
            <w:t>（一）评价得分情况</w:t>
          </w:r>
          <w:r>
            <w:tab/>
          </w:r>
          <w:r>
            <w:fldChar w:fldCharType="begin"/>
          </w:r>
          <w:r>
            <w:instrText xml:space="preserve"> PAGEREF _Toc19176 \h </w:instrText>
          </w:r>
          <w:r>
            <w:fldChar w:fldCharType="separate"/>
          </w:r>
          <w:r>
            <w:t>15</w:t>
          </w:r>
          <w:r>
            <w:fldChar w:fldCharType="end"/>
          </w:r>
          <w:r>
            <w:rPr>
              <w:rFonts w:hint="eastAsia" w:ascii="宋体" w:hAnsi="宋体" w:cs="宋体"/>
              <w:szCs w:val="28"/>
            </w:rPr>
            <w:fldChar w:fldCharType="end"/>
          </w:r>
        </w:p>
        <w:p>
          <w:pPr>
            <w:pStyle w:val="7"/>
            <w:tabs>
              <w:tab w:val="right" w:leader="dot" w:pos="8306"/>
              <w:tab w:val="clear" w:pos="8680"/>
            </w:tabs>
          </w:pPr>
          <w:r>
            <w:rPr>
              <w:rFonts w:hint="eastAsia" w:ascii="宋体" w:hAnsi="宋体" w:cs="宋体"/>
              <w:szCs w:val="28"/>
            </w:rPr>
            <w:fldChar w:fldCharType="begin"/>
          </w:r>
          <w:r>
            <w:rPr>
              <w:rFonts w:hint="eastAsia" w:ascii="宋体" w:hAnsi="宋体" w:cs="宋体"/>
              <w:szCs w:val="28"/>
            </w:rPr>
            <w:instrText xml:space="preserve"> HYPERLINK \l _Toc6142 </w:instrText>
          </w:r>
          <w:r>
            <w:rPr>
              <w:rFonts w:hint="eastAsia" w:ascii="宋体" w:hAnsi="宋体" w:cs="宋体"/>
              <w:szCs w:val="28"/>
            </w:rPr>
            <w:fldChar w:fldCharType="separate"/>
          </w:r>
          <w:r>
            <w:rPr>
              <w:rFonts w:hint="eastAsia" w:ascii="楷体_GB2312" w:eastAsia="楷体_GB2312"/>
              <w:szCs w:val="32"/>
            </w:rPr>
            <w:t>（二）存在的问题及原因分析</w:t>
          </w:r>
          <w:r>
            <w:tab/>
          </w:r>
          <w:r>
            <w:fldChar w:fldCharType="begin"/>
          </w:r>
          <w:r>
            <w:instrText xml:space="preserve"> PAGEREF _Toc6142 \h </w:instrText>
          </w:r>
          <w:r>
            <w:fldChar w:fldCharType="separate"/>
          </w:r>
          <w:r>
            <w:t>16</w:t>
          </w:r>
          <w:r>
            <w:fldChar w:fldCharType="end"/>
          </w:r>
          <w:r>
            <w:rPr>
              <w:rFonts w:hint="eastAsia" w:ascii="宋体" w:hAnsi="宋体" w:cs="宋体"/>
              <w:szCs w:val="28"/>
            </w:rPr>
            <w:fldChar w:fldCharType="end"/>
          </w:r>
        </w:p>
        <w:p>
          <w:pPr>
            <w:pStyle w:val="6"/>
            <w:tabs>
              <w:tab w:val="right" w:leader="dot" w:pos="8306"/>
            </w:tabs>
            <w:rPr>
              <w:rFonts w:hint="eastAsia" w:ascii="黑体" w:hAnsi="黑体" w:eastAsia="黑体" w:cs="宋体"/>
              <w:b w:val="0"/>
              <w:bCs w:val="0"/>
              <w:kern w:val="0"/>
              <w:sz w:val="32"/>
              <w:szCs w:val="32"/>
              <w:lang w:val="en-US" w:eastAsia="zh-CN" w:bidi="ar-SA"/>
            </w:rPr>
          </w:pP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HYPERLINK \l _Toc23550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六、措施建议</w:t>
          </w:r>
          <w:r>
            <w:rPr>
              <w:rFonts w:hint="eastAsia" w:ascii="黑体" w:hAnsi="黑体" w:eastAsia="黑体" w:cs="宋体"/>
              <w:b w:val="0"/>
              <w:bCs w:val="0"/>
              <w:kern w:val="0"/>
              <w:sz w:val="32"/>
              <w:szCs w:val="32"/>
              <w:lang w:val="en-US" w:eastAsia="zh-CN" w:bidi="ar-SA"/>
            </w:rPr>
            <w:tab/>
          </w:r>
          <w:r>
            <w:rPr>
              <w:rFonts w:hint="eastAsia" w:ascii="黑体" w:hAnsi="黑体" w:eastAsia="黑体" w:cs="宋体"/>
              <w:b w:val="0"/>
              <w:bCs w:val="0"/>
              <w:kern w:val="0"/>
              <w:sz w:val="32"/>
              <w:szCs w:val="32"/>
              <w:lang w:val="en-US" w:eastAsia="zh-CN" w:bidi="ar-SA"/>
            </w:rPr>
            <w:fldChar w:fldCharType="begin"/>
          </w:r>
          <w:r>
            <w:rPr>
              <w:rFonts w:hint="eastAsia" w:ascii="黑体" w:hAnsi="黑体" w:eastAsia="黑体" w:cs="宋体"/>
              <w:b w:val="0"/>
              <w:bCs w:val="0"/>
              <w:kern w:val="0"/>
              <w:sz w:val="32"/>
              <w:szCs w:val="32"/>
              <w:lang w:val="en-US" w:eastAsia="zh-CN" w:bidi="ar-SA"/>
            </w:rPr>
            <w:instrText xml:space="preserve"> PAGEREF _Toc23550 \h </w:instrText>
          </w:r>
          <w:r>
            <w:rPr>
              <w:rFonts w:hint="eastAsia" w:ascii="黑体" w:hAnsi="黑体" w:eastAsia="黑体" w:cs="宋体"/>
              <w:b w:val="0"/>
              <w:bCs w:val="0"/>
              <w:kern w:val="0"/>
              <w:sz w:val="32"/>
              <w:szCs w:val="32"/>
              <w:lang w:val="en-US" w:eastAsia="zh-CN" w:bidi="ar-SA"/>
            </w:rPr>
            <w:fldChar w:fldCharType="separate"/>
          </w:r>
          <w:r>
            <w:rPr>
              <w:rFonts w:hint="eastAsia" w:ascii="黑体" w:hAnsi="黑体" w:eastAsia="黑体" w:cs="宋体"/>
              <w:b w:val="0"/>
              <w:bCs w:val="0"/>
              <w:kern w:val="0"/>
              <w:sz w:val="32"/>
              <w:szCs w:val="32"/>
              <w:lang w:val="en-US" w:eastAsia="zh-CN" w:bidi="ar-SA"/>
            </w:rPr>
            <w:t>16</w:t>
          </w:r>
          <w:r>
            <w:rPr>
              <w:rFonts w:hint="eastAsia" w:ascii="黑体" w:hAnsi="黑体" w:eastAsia="黑体" w:cs="宋体"/>
              <w:b w:val="0"/>
              <w:bCs w:val="0"/>
              <w:kern w:val="0"/>
              <w:sz w:val="32"/>
              <w:szCs w:val="32"/>
              <w:lang w:val="en-US" w:eastAsia="zh-CN" w:bidi="ar-SA"/>
            </w:rPr>
            <w:fldChar w:fldCharType="end"/>
          </w:r>
          <w:r>
            <w:rPr>
              <w:rFonts w:hint="eastAsia" w:ascii="黑体" w:hAnsi="黑体" w:eastAsia="黑体" w:cs="宋体"/>
              <w:b w:val="0"/>
              <w:bCs w:val="0"/>
              <w:kern w:val="0"/>
              <w:sz w:val="32"/>
              <w:szCs w:val="32"/>
              <w:lang w:val="en-US" w:eastAsia="zh-CN" w:bidi="ar-SA"/>
            </w:rPr>
            <w:fldChar w:fldCharType="end"/>
          </w:r>
        </w:p>
        <w:p>
          <w:pPr>
            <w:rPr>
              <w:rFonts w:ascii="宋体" w:hAnsi="宋体" w:cs="宋体"/>
              <w:sz w:val="28"/>
              <w:szCs w:val="28"/>
            </w:rPr>
          </w:pPr>
          <w:r>
            <w:rPr>
              <w:rFonts w:hint="eastAsia" w:ascii="宋体" w:hAnsi="宋体" w:cs="宋体"/>
              <w:b/>
              <w:sz w:val="28"/>
              <w:szCs w:val="28"/>
            </w:rPr>
            <w:fldChar w:fldCharType="end"/>
          </w:r>
        </w:p>
      </w:sdtContent>
    </w:sdt>
    <w:p>
      <w:pPr>
        <w:spacing w:line="560" w:lineRule="exact"/>
        <w:jc w:val="center"/>
        <w:outlineLvl w:val="0"/>
        <w:rPr>
          <w:rFonts w:ascii="方正小标宋简体" w:eastAsia="方正小标宋简体"/>
          <w:sz w:val="36"/>
          <w:szCs w:val="36"/>
        </w:rPr>
      </w:pPr>
      <w:bookmarkStart w:id="0" w:name="_Toc17802"/>
    </w:p>
    <w:p>
      <w:pPr>
        <w:spacing w:line="560" w:lineRule="exact"/>
        <w:jc w:val="center"/>
        <w:outlineLvl w:val="0"/>
        <w:rPr>
          <w:rFonts w:ascii="方正小标宋简体" w:eastAsia="方正小标宋简体"/>
          <w:sz w:val="36"/>
          <w:szCs w:val="36"/>
        </w:rPr>
      </w:pPr>
    </w:p>
    <w:p>
      <w:pPr>
        <w:spacing w:line="560" w:lineRule="exact"/>
        <w:jc w:val="center"/>
        <w:outlineLvl w:val="0"/>
        <w:rPr>
          <w:rFonts w:ascii="方正小标宋简体" w:eastAsia="方正小标宋简体"/>
          <w:sz w:val="36"/>
          <w:szCs w:val="36"/>
        </w:rPr>
        <w:sectPr>
          <w:footerReference r:id="rId4" w:type="default"/>
          <w:pgSz w:w="11906" w:h="16838"/>
          <w:pgMar w:top="1440" w:right="1800" w:bottom="1440" w:left="1800" w:header="851" w:footer="992" w:gutter="0"/>
          <w:cols w:space="425" w:num="1"/>
          <w:docGrid w:type="lines" w:linePitch="312" w:charSpace="0"/>
        </w:sectPr>
      </w:pPr>
    </w:p>
    <w:p>
      <w:pPr>
        <w:pStyle w:val="2"/>
      </w:pPr>
    </w:p>
    <w:p>
      <w:pPr>
        <w:spacing w:line="700" w:lineRule="exact"/>
        <w:jc w:val="center"/>
        <w:outlineLvl w:val="0"/>
        <w:rPr>
          <w:rFonts w:asciiTheme="minorEastAsia" w:hAnsiTheme="minorEastAsia" w:eastAsiaTheme="minorEastAsia"/>
          <w:b/>
          <w:bCs/>
          <w:sz w:val="36"/>
          <w:szCs w:val="36"/>
        </w:rPr>
      </w:pPr>
      <w:bookmarkStart w:id="1" w:name="_Toc27303"/>
      <w:r>
        <w:rPr>
          <w:rFonts w:hint="eastAsia" w:asciiTheme="minorEastAsia" w:hAnsiTheme="minorEastAsia" w:eastAsiaTheme="minorEastAsia"/>
          <w:b/>
          <w:bCs/>
          <w:sz w:val="36"/>
          <w:szCs w:val="36"/>
        </w:rPr>
        <w:t>北京市重大项目建设指挥部办公室</w:t>
      </w:r>
      <w:bookmarkEnd w:id="0"/>
      <w:bookmarkEnd w:id="1"/>
    </w:p>
    <w:p>
      <w:pPr>
        <w:spacing w:line="700" w:lineRule="exact"/>
        <w:jc w:val="center"/>
        <w:outlineLvl w:val="0"/>
        <w:rPr>
          <w:rFonts w:asciiTheme="minorEastAsia" w:hAnsiTheme="minorEastAsia" w:eastAsiaTheme="minorEastAsia"/>
          <w:b/>
          <w:bCs/>
          <w:sz w:val="36"/>
          <w:szCs w:val="36"/>
        </w:rPr>
      </w:pPr>
      <w:bookmarkStart w:id="2" w:name="_Toc2294"/>
      <w:bookmarkStart w:id="3" w:name="_Toc21454"/>
      <w:r>
        <w:rPr>
          <w:rFonts w:hint="eastAsia" w:asciiTheme="minorEastAsia" w:hAnsiTheme="minorEastAsia" w:eastAsiaTheme="minorEastAsia"/>
          <w:b/>
          <w:bCs/>
          <w:sz w:val="36"/>
          <w:szCs w:val="36"/>
        </w:rPr>
        <w:t>部门整体绩效评价报告</w:t>
      </w:r>
      <w:bookmarkEnd w:id="2"/>
    </w:p>
    <w:bookmarkEnd w:id="3"/>
    <w:p>
      <w:pPr>
        <w:jc w:val="center"/>
        <w:rPr>
          <w:rFonts w:ascii="仿宋_GB2312"/>
          <w:szCs w:val="30"/>
        </w:rPr>
      </w:pPr>
    </w:p>
    <w:p>
      <w:pPr>
        <w:pStyle w:val="2"/>
      </w:pPr>
    </w:p>
    <w:p>
      <w:pPr>
        <w:spacing w:line="360" w:lineRule="auto"/>
        <w:ind w:firstLine="640"/>
        <w:rPr>
          <w:rFonts w:ascii="仿宋_GB2312" w:hAnsi="仿宋" w:eastAsia="仿宋_GB2312"/>
          <w:color w:val="000000"/>
          <w:sz w:val="32"/>
          <w:szCs w:val="32"/>
        </w:rPr>
      </w:pPr>
      <w:r>
        <w:rPr>
          <w:rFonts w:hint="eastAsia" w:ascii="仿宋_GB2312" w:hAnsi="仿宋" w:eastAsia="仿宋_GB2312"/>
          <w:color w:val="000000"/>
          <w:sz w:val="32"/>
          <w:szCs w:val="32"/>
        </w:rPr>
        <w:t>为进一步总结部门预算支出管理经验，检验财政支出预期目标实现程度，考核财政支出效率和综合效果，以便进一步合理配置资源，优化支出结构，规范预算资金分配，提高财政资金的使用效益，为以后年度部门预算资金安排使用提供重要依据，根据</w:t>
      </w:r>
      <w:r>
        <w:rPr>
          <w:rFonts w:hint="eastAsia" w:ascii="仿宋_GB2312" w:hAnsi="仿宋_GB2312" w:eastAsia="仿宋_GB2312" w:cs="仿宋_GB2312"/>
          <w:color w:val="000000"/>
          <w:kern w:val="0"/>
          <w:sz w:val="32"/>
          <w:szCs w:val="32"/>
        </w:rPr>
        <w:t>《北京市财政局关于开展2022年全面预算绩效管理工作的通知》（京财绩效〔2022〕669号）</w:t>
      </w:r>
      <w:r>
        <w:rPr>
          <w:rFonts w:hint="eastAsia" w:ascii="仿宋_GB2312" w:hAnsi="仿宋" w:eastAsia="仿宋_GB2312"/>
          <w:color w:val="000000"/>
          <w:sz w:val="32"/>
          <w:szCs w:val="32"/>
        </w:rPr>
        <w:t>要求，</w:t>
      </w:r>
      <w:r>
        <w:rPr>
          <w:rFonts w:hint="eastAsia" w:ascii="仿宋_GB2312" w:hAnsi="仿宋_GB2312" w:eastAsia="仿宋_GB2312" w:cs="仿宋_GB2312"/>
          <w:color w:val="000000"/>
          <w:kern w:val="0"/>
          <w:sz w:val="32"/>
          <w:szCs w:val="32"/>
        </w:rPr>
        <w:t>北京市重大项目建设指挥部办公室（以下简称“市重大项目办”）</w:t>
      </w:r>
      <w:r>
        <w:rPr>
          <w:rFonts w:hint="eastAsia" w:ascii="仿宋_GB2312" w:hAnsi="仿宋" w:eastAsia="仿宋_GB2312"/>
          <w:color w:val="000000"/>
          <w:sz w:val="32"/>
          <w:szCs w:val="32"/>
        </w:rPr>
        <w:t>开展了2</w:t>
      </w:r>
      <w:r>
        <w:rPr>
          <w:rFonts w:ascii="仿宋_GB2312" w:hAnsi="仿宋" w:eastAsia="仿宋_GB2312"/>
          <w:color w:val="000000"/>
          <w:sz w:val="32"/>
          <w:szCs w:val="32"/>
        </w:rPr>
        <w:t>021</w:t>
      </w:r>
      <w:r>
        <w:rPr>
          <w:rFonts w:hint="eastAsia" w:ascii="仿宋_GB2312" w:hAnsi="仿宋" w:eastAsia="仿宋_GB2312"/>
          <w:color w:val="000000"/>
          <w:sz w:val="32"/>
          <w:szCs w:val="32"/>
        </w:rPr>
        <w:t>年度部门整体绩效评价工作，并形成绩效评价报告。</w:t>
      </w:r>
    </w:p>
    <w:p>
      <w:pPr>
        <w:spacing w:line="600" w:lineRule="exact"/>
        <w:ind w:firstLine="640" w:firstLineChars="200"/>
        <w:outlineLvl w:val="0"/>
        <w:rPr>
          <w:rFonts w:ascii="黑体" w:hAnsi="黑体" w:eastAsia="黑体" w:cs="宋体"/>
          <w:color w:val="000000"/>
          <w:kern w:val="0"/>
          <w:sz w:val="32"/>
          <w:szCs w:val="32"/>
        </w:rPr>
      </w:pPr>
      <w:bookmarkStart w:id="4" w:name="_Toc23432"/>
      <w:bookmarkStart w:id="5" w:name="_Toc23417"/>
      <w:r>
        <w:rPr>
          <w:rFonts w:hint="eastAsia" w:ascii="黑体" w:hAnsi="黑体" w:eastAsia="黑体" w:cs="宋体"/>
          <w:color w:val="000000"/>
          <w:kern w:val="0"/>
          <w:sz w:val="32"/>
          <w:szCs w:val="32"/>
        </w:rPr>
        <w:t>一、部门概况</w:t>
      </w:r>
      <w:bookmarkEnd w:id="4"/>
      <w:bookmarkEnd w:id="5"/>
    </w:p>
    <w:p>
      <w:pPr>
        <w:spacing w:line="600" w:lineRule="exact"/>
        <w:ind w:firstLine="640" w:firstLineChars="200"/>
        <w:outlineLvl w:val="1"/>
        <w:rPr>
          <w:rFonts w:ascii="楷体_GB2312" w:eastAsia="楷体_GB2312"/>
          <w:sz w:val="32"/>
          <w:szCs w:val="32"/>
        </w:rPr>
      </w:pPr>
      <w:bookmarkStart w:id="6" w:name="_Toc15759"/>
      <w:bookmarkStart w:id="7" w:name="_Toc16951"/>
      <w:r>
        <w:rPr>
          <w:rFonts w:hint="eastAsia" w:ascii="楷体_GB2312" w:eastAsia="楷体_GB2312"/>
          <w:sz w:val="32"/>
          <w:szCs w:val="32"/>
        </w:rPr>
        <w:t>（一）机构设置及职责工作任务情况</w:t>
      </w:r>
      <w:bookmarkEnd w:id="6"/>
      <w:bookmarkEnd w:id="7"/>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根据京政办发〔2009〕93号《关于印发北京市重大项目建设指挥部办公室主要职责内设机构和人员编制规定的通知》、京编委〔2013〕18号《关于设立北京市棚户区改造和环境整治领导小组及指挥部有关事项的批复》、</w:t>
      </w:r>
      <w:r>
        <w:rPr>
          <w:rFonts w:hint="eastAsia" w:ascii="仿宋_GB2312" w:hAnsi="仿宋_GB2312" w:eastAsia="仿宋_GB2312" w:cs="仿宋_GB2312"/>
          <w:sz w:val="32"/>
          <w:szCs w:val="32"/>
        </w:rPr>
        <w:t>市编委</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2016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27号《关于设立北京市2022年冬奥会工程建设指挥部有关事项的批复》和京编办行</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2016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89号《关于同意调整充实市重大项目办工作力量有关事项的函》</w:t>
      </w:r>
      <w:r>
        <w:rPr>
          <w:rFonts w:hint="eastAsia" w:ascii="仿宋_GB2312" w:hAnsi="仿宋_GB2312" w:eastAsia="仿宋_GB2312" w:cs="仿宋_GB2312"/>
          <w:color w:val="000000"/>
          <w:sz w:val="32"/>
          <w:szCs w:val="32"/>
        </w:rPr>
        <w:t>，北京市重大项目建设指挥部办公室</w:t>
      </w:r>
      <w:r>
        <w:rPr>
          <w:rFonts w:hint="eastAsia" w:ascii="仿宋_GB2312" w:hAnsi="仿宋_GB2312" w:eastAsia="仿宋_GB2312" w:cs="仿宋_GB2312"/>
          <w:sz w:val="32"/>
          <w:szCs w:val="32"/>
        </w:rPr>
        <w:t>为正局级行政机构，其下设秘书行政处、城市轨道交通建设协调一处、城市轨道交通建设协调二处、城市轨道交通建设协调三处、建设项目协调处、棚改办计划处、棚改办协调处、安全质量处、城区场馆建设处、延庆场馆建设处、冬奥工程计划处等15个职能部室。主要职责是：</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组织编制本市城市轨道交通工程项目和市政府交办工程项目(以下简称重大项目)建设总体计划，并督促检查计划执行情况。</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协调有关部门和单位推进重大项目的规划、征地、拆迁等前期工作；协调市政府有关部门按总体计划要求在项目建设各阶段加快办理各项行政审批手续。</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协调、解决重大项目建设中的重大问题；协调落实工程建设安全、质量、工期、功能和成本“五统一”要求；承担为建设单位及各参建单位服务的职责。协调市政府主管部</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ascii="仿宋" w:hAnsi="仿宋" w:eastAsia="仿宋"/>
          <w:sz w:val="32"/>
          <w:szCs w:val="32"/>
        </w:rPr>
        <w:t xml:space="preserve"> 协调市政府主管部</w:t>
      </w:r>
      <w:r>
        <w:rPr>
          <w:rFonts w:hint="eastAsia" w:ascii="仿宋_GB2312" w:hAnsi="仿宋_GB2312" w:eastAsia="仿宋_GB2312" w:cs="仿宋_GB2312"/>
          <w:sz w:val="32"/>
          <w:szCs w:val="32"/>
        </w:rPr>
        <w:t>门监督重大项目建设各方贯彻落实有关安全生产、工程质量、资金使用、招标与采购、合同履行等方面法律法规，落实“阳光工程”的各项要求；参与重大项目建设工程事故应急工作。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参与重大项目年度资金使用计划的编制，协调、落实资金计划的执行。</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组织推动新技术、新材料、新设备、新工艺在重大项目建设中的应用。</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组织协调重大项目的竣工验收、竣工结算和决算工作。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负责重大项目建设信息的收集、整理、统计和管理工作。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受委托负责中央单位在京重要建设项目的组织实施。</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承担北京市重大项目建设指挥部的具体工作。</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承办市政府交办的其他事项。</w:t>
      </w:r>
    </w:p>
    <w:p>
      <w:pPr>
        <w:tabs>
          <w:tab w:val="left" w:pos="312"/>
        </w:tabs>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北京市棚户区改造和环境整治领导小组及指挥部的领导下，研究拟定本市棚户区改造和环境改造方案，并组织实施；承办相关工作会议，督促落实议定事项；汇总、分析并报告相关工作开展情况；承担领导小组、指挥部的日常工作。</w:t>
      </w:r>
    </w:p>
    <w:p>
      <w:pPr>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在北京市2022年冬奥会工程建设指挥部的领导下，负责组织拟定北京2022年冬奥会和冬残奥会由北京市承担的奥运场馆及相关配套工程建设的总体计划，并组织实施；督促落实指挥部的各项议定事项；协调解决工程建设中的有关问题；承担指挥部的日常工作。</w:t>
      </w:r>
    </w:p>
    <w:p>
      <w:pPr>
        <w:adjustRightInd w:val="0"/>
        <w:snapToGrid w:val="0"/>
        <w:spacing w:line="360" w:lineRule="auto"/>
        <w:ind w:firstLine="640" w:firstLineChars="200"/>
        <w:outlineLvl w:val="1"/>
        <w:rPr>
          <w:rFonts w:ascii="楷体_GB2312" w:eastAsia="楷体_GB2312"/>
          <w:sz w:val="32"/>
          <w:szCs w:val="32"/>
        </w:rPr>
      </w:pPr>
      <w:bookmarkStart w:id="8" w:name="_Toc5188"/>
      <w:bookmarkStart w:id="9" w:name="_Toc9370"/>
      <w:r>
        <w:rPr>
          <w:rFonts w:hint="eastAsia" w:ascii="楷体_GB2312" w:eastAsia="楷体_GB2312"/>
          <w:sz w:val="32"/>
          <w:szCs w:val="32"/>
        </w:rPr>
        <w:t>（二）部门整体绩效目标设立情况</w:t>
      </w:r>
      <w:bookmarkEnd w:id="8"/>
      <w:bookmarkEnd w:id="9"/>
    </w:p>
    <w:p>
      <w:pPr>
        <w:adjustRightInd w:val="0"/>
        <w:snapToGrid w:val="0"/>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1.总体目标的设定情况</w:t>
      </w:r>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贯彻十九大精神，立足部门职责，扎实做好冬奥会场馆建设、轨道交通建设、棚户区改造的组织协调等工作，为北京市重点项目建设任务落实提供保障。</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2.具体目标的设定情况</w:t>
      </w:r>
    </w:p>
    <w:p>
      <w:pPr>
        <w:adjustRightInd w:val="0"/>
        <w:snapToGrid w:val="0"/>
        <w:spacing w:line="360" w:lineRule="auto"/>
        <w:ind w:firstLine="320" w:firstLineChars="1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（1）2022年冬奥会场馆及配套基础设施建设绩效指标</w:t>
      </w:r>
    </w:p>
    <w:p>
      <w:pPr>
        <w:numPr>
          <w:ilvl w:val="0"/>
          <w:numId w:val="1"/>
        </w:num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了做好2022年冬奥会和冬残奥会北京地区工程建设的图片、视频资料留存及转化工作,计划对北京赛区、延庆赛区内8项新建场馆、7项改造场馆进行全面拍摄，将围绕冬奥会北京赛区、延庆赛区工程项目建设情况制作一部宣传片。</w:t>
      </w:r>
    </w:p>
    <w:p>
      <w:pPr>
        <w:numPr>
          <w:ilvl w:val="0"/>
          <w:numId w:val="1"/>
        </w:num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冬奥会工程建设新闻舆情监测分析每周不少于3篇，专题性舆情监测和分析简报，合同期限内总数量不超过</w:t>
      </w:r>
      <w:r>
        <w:rPr>
          <w:rFonts w:ascii="仿宋_GB2312" w:hAnsi="仿宋_GB2312" w:eastAsia="仿宋_GB2312" w:cs="仿宋_GB2312"/>
          <w:color w:val="000000"/>
          <w:kern w:val="0"/>
          <w:sz w:val="32"/>
          <w:szCs w:val="32"/>
        </w:rPr>
        <w:t>10份。</w:t>
      </w:r>
    </w:p>
    <w:p>
      <w:pPr>
        <w:numPr>
          <w:ilvl w:val="0"/>
          <w:numId w:val="1"/>
        </w:num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印制2022年冬奥会项目工作计划项目册300本。</w:t>
      </w:r>
    </w:p>
    <w:p>
      <w:pPr>
        <w:numPr>
          <w:ilvl w:val="0"/>
          <w:numId w:val="1"/>
        </w:num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全力推进冬奥会场馆及相关基础设施工程建设，严格按照市政府批复的年度建设计划实现冬奥会场馆建设目标，降低冬奥会场馆建设的风险，消除安全隐患，不发生重大安全质量事故。</w:t>
      </w:r>
    </w:p>
    <w:p>
      <w:pPr>
        <w:numPr>
          <w:ilvl w:val="0"/>
          <w:numId w:val="1"/>
        </w:num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为北京冬奥会临时设施组织建设、赛时保障和赛后利用提供经验，拟于2021年赴日本进行调研。</w:t>
      </w:r>
    </w:p>
    <w:p>
      <w:pPr>
        <w:adjustRightInd w:val="0"/>
        <w:snapToGrid w:val="0"/>
        <w:spacing w:line="360" w:lineRule="auto"/>
        <w:ind w:firstLine="320" w:firstLineChars="1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（2）轨道交通建设绩效指标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1)为相关职能管理部门搭建轨道交通建设工程安全质量管理服务平台，提升服务力度，分别在全年4个季度召开4次监管情况通报会，并对下一步工作提出要求。</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2)印制城市轨道交通建设计划册220本；轨道交通建设示意图32张，向全市各相关部门及单位发放2021年建设计划,以开展2021年轨道交通建设工作</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为贯彻落实我市轨道交通一体化建设要求，进一步推进“四网融合”发展理念，计划到俄罗斯调研轨道交通规划设计理念，换乘一体化方式，以及市郊铁路建设的经验，以进一步指导我市轨道交通建设协调管理工作。</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4)加大力度协调推进轨道交通建设工作，完成市政府批复的2020年度轨道交通通车线路数量，推进轨道交通建设的持续快速发展，为缓解城市交通拥堵压力，疏解非首都功能，打造便捷、舒适的城市公共交通体系。</w:t>
      </w:r>
    </w:p>
    <w:p>
      <w:pPr>
        <w:adjustRightInd w:val="0"/>
        <w:snapToGrid w:val="0"/>
        <w:spacing w:line="360" w:lineRule="auto"/>
        <w:ind w:firstLine="320" w:firstLineChars="1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（3）棚户区改造绩效指标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为进一步加强我市棚户区改造计划管控工作，对项目进行全生命周期管理，按照工作计划，需印制2021年北京市棚户区改造和环境整治工作计划项目册1300本、2021年北京市棚户区改造和环境整治工作专项计划项目册100本、2020年北京市棚户区改造和环境整治项目完成清册250本，用于指导2021年我市棚户区改造计划管理工作及完成2020年我市棚户区计划任务完成情况的相关审计及档案管理工作。</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2)积极做好年度棚户区改造工作，破解棚户区改造遇到的难点重点问题，完成市政府批复的棚户区改造任务。</w:t>
      </w:r>
    </w:p>
    <w:p>
      <w:pPr>
        <w:adjustRightInd w:val="0"/>
        <w:snapToGrid w:val="0"/>
        <w:spacing w:line="360" w:lineRule="auto"/>
        <w:ind w:firstLine="320" w:firstLineChars="1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（4）其他绩效指标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为更好的指导和监督各项目组织实施和预算执行，提高预算项目的管理和整体绩效水平，拟委托中介机构对2020年财政支出项目开展绩效自评，对2021年财政支出项目开展绩效监控，对2022年部门预算编制提供咨询服务。</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为确保市重大项目办经济行为的合法性，维护市重大项目办的合法权益，市重大项目办拟聘请专业法律顾问为市重大项目办日常法律事务提供法律服务。审核合同不少于25份，法律咨询不少于50次，工作时间不低于85个小时。</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3）为重大办、冬奥办与冬奥办延庆赛区提供办公用房、物业管理服务和食堂管理服务，确保日常办公环境良好，保障后勤服务的正常运行。</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为保障重大办正常办公、提高工作效率以及电子档案存储安全，2021年拟开展计算机网络系统运维、门户网站运维、微信公众平台运维费、门禁系统运维、财务用友软件运维、政务综合办公服务平台运维及电子档案管理系统平台运维等工作。</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10" w:name="_Toc14594"/>
      <w:bookmarkStart w:id="11" w:name="_Toc19643"/>
      <w:r>
        <w:rPr>
          <w:rFonts w:hint="eastAsia" w:ascii="黑体" w:hAnsi="黑体" w:eastAsia="黑体" w:cs="宋体"/>
          <w:color w:val="000000"/>
          <w:kern w:val="0"/>
          <w:sz w:val="32"/>
          <w:szCs w:val="32"/>
        </w:rPr>
        <w:t>二、当年预算执行情况</w:t>
      </w:r>
      <w:bookmarkEnd w:id="10"/>
      <w:bookmarkEnd w:id="11"/>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2021年全年预算数</w:t>
      </w:r>
      <w:r>
        <w:rPr>
          <w:rStyle w:val="13"/>
          <w:rFonts w:hint="eastAsia" w:ascii="仿宋_GB2312" w:hAnsi="仿宋_GB2312" w:eastAsia="仿宋_GB2312" w:cs="仿宋_GB2312"/>
          <w:sz w:val="32"/>
          <w:szCs w:val="32"/>
        </w:rPr>
        <w:t>90,809.71万元</w:t>
      </w:r>
      <w:r>
        <w:rPr>
          <w:rFonts w:hint="eastAsia" w:ascii="仿宋_GB2312" w:hAnsi="仿宋_GB2312" w:eastAsia="仿宋_GB2312" w:cs="仿宋_GB2312"/>
          <w:color w:val="000000"/>
          <w:kern w:val="0"/>
          <w:sz w:val="32"/>
          <w:szCs w:val="32"/>
        </w:rPr>
        <w:t>，其中，基本支出预算数</w:t>
      </w:r>
      <w:r>
        <w:rPr>
          <w:rStyle w:val="13"/>
          <w:rFonts w:hint="eastAsia" w:ascii="仿宋_GB2312" w:hAnsi="仿宋_GB2312" w:eastAsia="仿宋_GB2312" w:cs="仿宋_GB2312"/>
          <w:sz w:val="32"/>
          <w:szCs w:val="32"/>
        </w:rPr>
        <w:t>3,014.40万元</w:t>
      </w:r>
      <w:r>
        <w:rPr>
          <w:rFonts w:hint="eastAsia" w:ascii="仿宋_GB2312" w:hAnsi="仿宋_GB2312" w:eastAsia="仿宋_GB2312" w:cs="仿宋_GB2312"/>
          <w:color w:val="000000"/>
          <w:kern w:val="0"/>
          <w:sz w:val="32"/>
          <w:szCs w:val="32"/>
        </w:rPr>
        <w:t>，项目支出预算数</w:t>
      </w:r>
      <w:r>
        <w:rPr>
          <w:rStyle w:val="13"/>
          <w:rFonts w:hint="eastAsia" w:ascii="仿宋_GB2312" w:hAnsi="仿宋_GB2312" w:eastAsia="仿宋_GB2312" w:cs="仿宋_GB2312"/>
          <w:sz w:val="32"/>
          <w:szCs w:val="32"/>
        </w:rPr>
        <w:t>51</w:t>
      </w:r>
      <w:r>
        <w:rPr>
          <w:rStyle w:val="13"/>
          <w:rFonts w:ascii="仿宋_GB2312" w:hAnsi="仿宋_GB2312" w:eastAsia="仿宋_GB2312" w:cs="仿宋_GB2312"/>
          <w:sz w:val="32"/>
          <w:szCs w:val="32"/>
        </w:rPr>
        <w:t>,</w:t>
      </w:r>
      <w:r>
        <w:rPr>
          <w:rStyle w:val="13"/>
          <w:rFonts w:hint="eastAsia" w:ascii="仿宋_GB2312" w:hAnsi="仿宋_GB2312" w:eastAsia="仿宋_GB2312" w:cs="仿宋_GB2312"/>
          <w:sz w:val="32"/>
          <w:szCs w:val="32"/>
        </w:rPr>
        <w:t>460.31万元</w:t>
      </w:r>
      <w:r>
        <w:rPr>
          <w:rFonts w:hint="eastAsia" w:ascii="仿宋_GB2312" w:hAnsi="仿宋_GB2312" w:eastAsia="仿宋_GB2312" w:cs="仿宋_GB2312"/>
          <w:color w:val="000000"/>
          <w:kern w:val="0"/>
          <w:sz w:val="32"/>
          <w:szCs w:val="32"/>
        </w:rPr>
        <w:t>，其他支出预算数36</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335.00万元。资金总体支出90,637.80万元，其中，基本支出2</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947.95万元，项目支出51</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354.85万元，其他支出36</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335.00万元。预算执行率为99.81%。</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12" w:name="_Toc5295"/>
      <w:bookmarkStart w:id="13" w:name="_Toc2789"/>
      <w:r>
        <w:rPr>
          <w:rFonts w:hint="eastAsia" w:ascii="黑体" w:hAnsi="黑体" w:eastAsia="黑体" w:cs="宋体"/>
          <w:color w:val="000000"/>
          <w:kern w:val="0"/>
          <w:sz w:val="32"/>
          <w:szCs w:val="32"/>
        </w:rPr>
        <w:t>三、整体绩效目标实现情况</w:t>
      </w:r>
      <w:bookmarkEnd w:id="12"/>
      <w:bookmarkEnd w:id="13"/>
    </w:p>
    <w:p>
      <w:pPr>
        <w:adjustRightInd w:val="0"/>
        <w:snapToGrid w:val="0"/>
        <w:spacing w:line="360" w:lineRule="auto"/>
        <w:ind w:firstLine="640" w:firstLineChars="200"/>
        <w:outlineLvl w:val="1"/>
        <w:rPr>
          <w:rFonts w:ascii="楷体_GB2312" w:eastAsia="楷体_GB2312"/>
          <w:sz w:val="32"/>
          <w:szCs w:val="32"/>
        </w:rPr>
      </w:pPr>
      <w:bookmarkStart w:id="14" w:name="_Toc25819"/>
      <w:bookmarkStart w:id="15" w:name="_Toc12604"/>
      <w:r>
        <w:rPr>
          <w:rFonts w:hint="eastAsia" w:ascii="楷体_GB2312" w:eastAsia="楷体_GB2312"/>
          <w:sz w:val="32"/>
          <w:szCs w:val="32"/>
        </w:rPr>
        <w:t>（一）产出完成情况分析</w:t>
      </w:r>
      <w:bookmarkEnd w:id="14"/>
      <w:bookmarkEnd w:id="15"/>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市重大项目办坚持以习近平新时代中国特色社会主义思想为指导，全面贯彻党的十九大和十九届历次全会精神，深入贯彻习近平总书记对北京一系列重要讲话精神，在市委市政府的坚强领导下，在指挥部的直接指挥下，聚焦“一个开局”“两件大事”“三项任务”，以市委巡视组巡视为契机，凝心聚力、勇于担当、攻坚克难，统筹抓好重大项目协调推动和疫情防控工作，全面完成轨道交通、冬奥会工程、铁路建设、工人体育场改造复建工程等重大项目年度建设任务。具体情况如下：</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1.2022年奥运会场馆及配套基础设施建设绩效指标</w:t>
      </w:r>
    </w:p>
    <w:p>
      <w:pPr>
        <w:numPr>
          <w:ilvl w:val="0"/>
          <w:numId w:val="2"/>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北京赛区、延庆赛区内8项新建场馆、7项改造场馆进行了全面拍摄，制作完成冬奥会北京赛区、延庆赛区工程项目建设情况制作宣传片1部，做好了2022年冬奥会和冬残奥会北京地区工程建设的图片、视频资料留存工作；历时4年的北京冬奥建设宣传片在市级以上媒体播出。</w:t>
      </w:r>
    </w:p>
    <w:p>
      <w:pPr>
        <w:numPr>
          <w:ilvl w:val="0"/>
          <w:numId w:val="2"/>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通过与专业舆情监测机构合作，对电视、平面、网络等媒体进行舆情监测和分析，冬奥会工程建设新闻舆情监测分析每周不少于3篇，专题性舆情监测和分析简报9份。</w:t>
      </w:r>
    </w:p>
    <w:p>
      <w:pPr>
        <w:numPr>
          <w:ilvl w:val="0"/>
          <w:numId w:val="2"/>
        </w:numPr>
        <w:adjustRightInd w:val="0"/>
        <w:snapToGrid w:val="0"/>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完成2022年冬奥会项目工作计划项目册印制300本、通讯录100本、计划海报14副。</w:t>
      </w:r>
    </w:p>
    <w:p>
      <w:pPr>
        <w:numPr>
          <w:ilvl w:val="0"/>
          <w:numId w:val="2"/>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力推进冬奥会场馆及相关基础设施工程建设，严格按照市政府批复的年度建设计划实现冬奥会场馆建设目标，由北京市负责组织协调建设的55项冬奥工程项目全部完工并通过完工验收，满足赛事需求。所有竞赛场馆已经通过国际单项组织认证，并经过多次测试活动检验，8个竞赛场馆、16个非竞赛场馆已交付北京冬奥组委，31项配套基础设施已全部投入使用。北京冬奥组委确定的34个场馆临时设施项目全部按计划完工并交付使用，满足赛事需求。</w:t>
      </w:r>
    </w:p>
    <w:p>
      <w:pPr>
        <w:numPr>
          <w:ilvl w:val="0"/>
          <w:numId w:val="2"/>
        </w:numPr>
        <w:adjustRightInd w:val="0"/>
        <w:snapToGrid w:val="0"/>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按照疫情防控“非必要不出京，非必要不出境”的要求，2021年未按年初计划赴日本进行调研，“冬奥会场馆及设施建设运行和赛后利用情况调研费”项目资金已于2021年10月上缴市财政局。</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 xml:space="preserve"> 轨道交通建设绩效指标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1)北京市轨道交通工程安全质量工作会，未召开监管情况通报会，</w:t>
      </w:r>
      <w:r>
        <w:rPr>
          <w:rFonts w:hint="eastAsia" w:ascii="仿宋_GB2312" w:hAnsi="仿宋_GB2312" w:eastAsia="仿宋_GB2312" w:cs="仿宋_GB2312"/>
          <w:sz w:val="32"/>
          <w:szCs w:val="32"/>
        </w:rPr>
        <w:t>项目资金已于2021年10月上缴市财政局</w:t>
      </w:r>
      <w:r>
        <w:rPr>
          <w:rFonts w:hint="eastAsia" w:ascii="仿宋_GB2312" w:hAnsi="仿宋_GB2312" w:eastAsia="仿宋_GB2312" w:cs="仿宋_GB2312"/>
          <w:color w:val="000000"/>
          <w:kern w:val="0"/>
          <w:sz w:val="32"/>
          <w:szCs w:val="32"/>
        </w:rPr>
        <w:t>。</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2)完成印制城市轨道交通建设计划册196本、按实际工作需要未印制轨道交通建设示意图32张，向全市各相关部门及单位发放2021年建设计划,开展2021年轨道交通建设工作。</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 xml:space="preserve"> 按照疫情防控“非必要不出京，非必要不出境”的要求，2021年未</w:t>
      </w:r>
      <w:r>
        <w:rPr>
          <w:rFonts w:hint="eastAsia" w:ascii="仿宋_GB2312" w:hAnsi="仿宋_GB2312" w:eastAsia="仿宋_GB2312" w:cs="仿宋_GB2312"/>
          <w:color w:val="000000"/>
          <w:kern w:val="0"/>
          <w:sz w:val="32"/>
          <w:szCs w:val="32"/>
        </w:rPr>
        <w:t>未</w:t>
      </w:r>
      <w:r>
        <w:rPr>
          <w:rFonts w:hint="eastAsia" w:ascii="仿宋_GB2312" w:hAnsi="仿宋_GB2312" w:eastAsia="仿宋_GB2312" w:cs="仿宋_GB2312"/>
          <w:sz w:val="32"/>
          <w:szCs w:val="32"/>
        </w:rPr>
        <w:t>按年初计划</w:t>
      </w:r>
      <w:r>
        <w:rPr>
          <w:rFonts w:hint="eastAsia" w:ascii="仿宋_GB2312" w:hAnsi="仿宋_GB2312" w:eastAsia="仿宋_GB2312" w:cs="仿宋_GB2312"/>
          <w:color w:val="000000"/>
          <w:kern w:val="0"/>
          <w:sz w:val="32"/>
          <w:szCs w:val="32"/>
        </w:rPr>
        <w:t>赴俄罗斯进行调研，“地铁建设运营情况及多种方式联网和一体化设计与施工技术调研费”</w:t>
      </w:r>
      <w:r>
        <w:rPr>
          <w:rFonts w:hint="eastAsia" w:ascii="仿宋_GB2312" w:hAnsi="仿宋_GB2312" w:eastAsia="仿宋_GB2312" w:cs="仿宋_GB2312"/>
          <w:sz w:val="32"/>
          <w:szCs w:val="32"/>
        </w:rPr>
        <w:t>项目资金已于2021年10月上缴市财政局</w:t>
      </w:r>
      <w:r>
        <w:rPr>
          <w:rFonts w:hint="eastAsia" w:ascii="仿宋_GB2312" w:hAnsi="仿宋_GB2312" w:eastAsia="仿宋_GB2312" w:cs="仿宋_GB2312"/>
          <w:color w:val="000000"/>
          <w:kern w:val="0"/>
          <w:sz w:val="32"/>
          <w:szCs w:val="32"/>
        </w:rPr>
        <w:t>。</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围绕2021年轨道交通建设计划和任务目标，充分发挥轨道交通建设指挥平台作用，统筹调度，主动作为，高效推进在建线路建设工作，重难点问题取得突破，年度通车任务圆满实现，年度投资任务超额完成，为首都轨道交通建设“十四五”开好局、起好步发挥了重要支撑作用。9条线路（段）开通试运营，为我市轨道交通建设历史上开通线路最多的一年。19号线一期、17号线南段、14号线剩余段、8号线三期北段、11号线西段、首都机场线西延、S1线剩余段、昌平线南延一期北段、16号线中段剩余段共9条线路（段）开通试运营，实现新增运营里程56.1公里，我市城市轨道交通运营总里程达到783公里，轨道交通线网进一步完善，轨道交通服务能力进一步提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轨道交通平谷线实现开工建设。北京段实现32块场地实质性开工建设，河北段2个首开点进场施工，作为京津冀协同发展重要交通项目的平谷线圆满完成年度建设任务，为明年全面建设打下坚实基础。</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加快推进轨道交通尾工建设。实现开通1座车站（6号线西延苹果园站）和6个出入口（6号线西延金安桥站B、C口，8号线天桥站B口、林萃桥站C2口，15号线大屯东路站H1口，16号线农大南路站A口），将为民办实事落到实处，主题教育活动取得实效。</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r>
        <w:rPr>
          <w:rFonts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rPr>
        <w:t>棚户区改造绩效指标的完成情况</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为进一步加强我市棚户区改造计划管控工作，对项目进行全生命周期管理，印制2020年北京市棚户区改造和环境整治项目完成清册250本，指导2021年我市棚户区改造计划管理工作及完成了2020年我市棚户区计划任务完成情况的相关审计及档案管理工作。</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2)积极做好年度棚户区改造工作，破解棚户区改造遇到的难点重点问题，完成市政府批复的棚户区改造任务。</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其他绩效指标</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2021年委托中介机构开展预算绩效管理工作，完成了2020年财政支出项目绩效自评工作、2021年财政支出项目绩效跟踪以及对2022年部门预算编制提供了咨询服务，更好的指导和监督各项目组织实施和预算执行，提高预算项目的管理和整体绩效水平。</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2021年聘请专业法律顾问为市重大项目办日常法律事务提供法律服务，2021年共审核合同52份，提供法律咨询服务91次，工作时间119.5个小时，为市重大项目办经济行为的合法性提供了保障，2021年未发生法律纠纷及经济损失情况，维护市重大项目办的合法权益。</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3）2021年完成了重大办、冬奥办与冬奥办延庆赛区办公用房、物业管理服务和食堂管理服务需求，确保日常办公环境良好，保障后勤服务的正常运行。</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2021年通过开展计算机网络系统运维、门户网站运维、微信公众平台运维费、门禁系统运维、财务用友软件运维、政务综合办公服务平台运维及电子档案管理系统平台运维等工作，保障了市重大项目办正常办公、提高了工作效率以及电子档案存储安全性。</w:t>
      </w:r>
    </w:p>
    <w:p>
      <w:pPr>
        <w:adjustRightInd w:val="0"/>
        <w:snapToGrid w:val="0"/>
        <w:spacing w:line="360" w:lineRule="auto"/>
        <w:ind w:firstLine="640" w:firstLineChars="200"/>
        <w:outlineLvl w:val="1"/>
        <w:rPr>
          <w:rFonts w:ascii="楷体_GB2312" w:eastAsia="楷体_GB2312"/>
          <w:sz w:val="32"/>
          <w:szCs w:val="32"/>
        </w:rPr>
      </w:pPr>
      <w:bookmarkStart w:id="16" w:name="_Toc25864"/>
      <w:bookmarkStart w:id="17" w:name="_Toc12615"/>
      <w:r>
        <w:rPr>
          <w:rFonts w:hint="eastAsia" w:ascii="楷体_GB2312" w:eastAsia="楷体_GB2312"/>
          <w:sz w:val="32"/>
          <w:szCs w:val="32"/>
        </w:rPr>
        <w:t>（二）效果实现情况分析</w:t>
      </w:r>
      <w:bookmarkEnd w:id="16"/>
      <w:bookmarkEnd w:id="17"/>
    </w:p>
    <w:p>
      <w:pPr>
        <w:pStyle w:val="2"/>
        <w:adjustRightInd w:val="0"/>
        <w:spacing w:line="360" w:lineRule="auto"/>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经济性方面</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2021年，市重大项目办严格按照国务院“政府带头过‘紧日子’”及市财政局厉行节约的要求，严格控制部门预算，保障了资金支出的合理合规性，提高财政资金使用效率，充分发挥财政资金的使用效益。</w:t>
      </w:r>
    </w:p>
    <w:p>
      <w:pPr>
        <w:pStyle w:val="2"/>
        <w:adjustRightIn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社会效益方面及可持续影响方面</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冬奥会工程建设完美收官。市重大项目办深入贯彻习近平总书记关于北京冬奥会和冬残奥会筹办工作的重要指示精神，践行绿色、共享、开放、廉洁办奥理念，按照“简约、安全、精彩”办赛要求，强化责任担当，勇于攻坚克难，全力推进落实。北京冬奥会工程建设全面完成，圆满收官。</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超额完成轨道交通建设任务。有效推进在建线路建设工作，重难点问题取得突破，年度通车任务圆满实现，年度投资任务超额完成，推进轨道交通建设的持续快速发展，为缓解城市交通拥堵压力，疏解非首都功能，打造便捷、舒适的城市公共交通体系为首都轨道交通建设“十四五”开好局、起好步发挥了重要支撑作用。</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全力推进在京铁路项目建设。围绕年度任务目标及投资计划，充分发挥路市双方协同作用，加大协调调度，全力推进在京铁路项目建设。</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扎实推进其他重大项目建设。工人体育场改造复建工程主体完成结构封顶。聚焦亚洲杯办赛需求，积极协调推进手续办理、施工进度、地铁一体化和变电站建设等相关工作，实现节点目标，总体进度可控。</w:t>
      </w:r>
    </w:p>
    <w:p>
      <w:pPr>
        <w:adjustRightInd w:val="0"/>
        <w:snapToGrid w:val="0"/>
        <w:spacing w:line="360" w:lineRule="auto"/>
        <w:ind w:firstLine="640" w:firstLineChars="200"/>
        <w:jc w:val="left"/>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满意度方面</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北京市人民政府办公厅对市重大项目办2021年的绩效考评结果为96.88分，其中，日常考核59.90分，综合评价36.98分，考评等级为“优秀”。北京市政府办公厅委托机构对市重大项目办2021年度主要职责履行情况和市委市政府重点工作完成效果开展了满意度调查，2021年市重大项目办综合满意度为93.12分。</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18" w:name="_Toc14654"/>
      <w:bookmarkStart w:id="19" w:name="_Toc8584"/>
      <w:r>
        <w:rPr>
          <w:rFonts w:hint="eastAsia" w:ascii="黑体" w:hAnsi="黑体" w:eastAsia="黑体" w:cs="宋体"/>
          <w:color w:val="000000"/>
          <w:kern w:val="0"/>
          <w:sz w:val="32"/>
          <w:szCs w:val="32"/>
        </w:rPr>
        <w:t>四、预算管理情况分析</w:t>
      </w:r>
      <w:bookmarkEnd w:id="18"/>
      <w:bookmarkEnd w:id="19"/>
    </w:p>
    <w:p>
      <w:pPr>
        <w:adjustRightInd w:val="0"/>
        <w:snapToGrid w:val="0"/>
        <w:spacing w:line="360" w:lineRule="auto"/>
        <w:ind w:firstLine="640" w:firstLineChars="200"/>
        <w:outlineLvl w:val="1"/>
        <w:rPr>
          <w:rFonts w:ascii="楷体_GB2312" w:eastAsia="楷体_GB2312"/>
          <w:sz w:val="32"/>
          <w:szCs w:val="32"/>
        </w:rPr>
      </w:pPr>
      <w:bookmarkStart w:id="20" w:name="_Toc2559"/>
      <w:bookmarkStart w:id="21" w:name="_Toc25318"/>
      <w:r>
        <w:rPr>
          <w:rFonts w:hint="eastAsia" w:ascii="楷体_GB2312" w:eastAsia="楷体_GB2312"/>
          <w:sz w:val="32"/>
          <w:szCs w:val="32"/>
        </w:rPr>
        <w:t>（一）财务管理</w:t>
      </w:r>
      <w:bookmarkEnd w:id="20"/>
      <w:bookmarkEnd w:id="21"/>
    </w:p>
    <w:p>
      <w:pPr>
        <w:adjustRightInd w:val="0"/>
        <w:snapToGrid w:val="0"/>
        <w:spacing w:line="360" w:lineRule="auto"/>
        <w:ind w:firstLine="480" w:firstLineChars="15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进一步提高市重大项目办财务管理能力和水平，市重大项目办建立了完善的财务管理制度体系，从资金审批、预算管理、会计核算、资产管理、政府采购等方面对财务工作进行了规范监督，保障日常工作有章可循、稳步推进。</w:t>
      </w:r>
    </w:p>
    <w:p>
      <w:pPr>
        <w:adjustRightInd w:val="0"/>
        <w:snapToGrid w:val="0"/>
        <w:spacing w:line="360" w:lineRule="auto"/>
        <w:ind w:firstLine="480" w:firstLineChars="15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资金使用严格遵照国家法律法规和有关管理制度执行，资金拨付审批程序完整规范，资金使用安全合规。聘请专业第三方中介机构进行预算绩效管理全面咨询指导，监督全面、纵深发展，为资金高效安全的使用保驾护航。</w:t>
      </w:r>
    </w:p>
    <w:p>
      <w:pPr>
        <w:adjustRightInd w:val="0"/>
        <w:snapToGrid w:val="0"/>
        <w:spacing w:line="360" w:lineRule="auto"/>
        <w:ind w:firstLine="480" w:firstLineChars="15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会计基础数据信息和会计信息资料真实、完整、准确。在会计核算环节严格审批原始凭证，对内容不全、手续不完备的原始凭证以及未审批完成的支出不予办理支付。保障了2021年部门决算基础数据真实、准确、完整。</w:t>
      </w:r>
    </w:p>
    <w:p>
      <w:pPr>
        <w:adjustRightInd w:val="0"/>
        <w:snapToGrid w:val="0"/>
        <w:spacing w:line="360" w:lineRule="auto"/>
        <w:ind w:firstLine="640" w:firstLineChars="200"/>
        <w:outlineLvl w:val="1"/>
        <w:rPr>
          <w:rFonts w:ascii="楷体_GB2312" w:eastAsia="楷体_GB2312"/>
          <w:sz w:val="32"/>
          <w:szCs w:val="32"/>
        </w:rPr>
      </w:pPr>
      <w:bookmarkStart w:id="22" w:name="_Toc6912"/>
      <w:bookmarkStart w:id="23" w:name="_Toc28762"/>
      <w:r>
        <w:rPr>
          <w:rFonts w:hint="eastAsia" w:ascii="楷体_GB2312" w:eastAsia="楷体_GB2312"/>
          <w:sz w:val="32"/>
          <w:szCs w:val="32"/>
        </w:rPr>
        <w:t>（二）资产管理</w:t>
      </w:r>
      <w:bookmarkEnd w:id="22"/>
      <w:bookmarkEnd w:id="23"/>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是健全资产管理制度。为规范市重大项目办固定资产管理，实现固定资产优化配置,提高固定资产使用效益,减少闲置和浪费，市重大项目办制定了《市重大项目办固定资产管理制度》，明确了资产管理要求、审批流程等。</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二是规范办公设备配置标准。市重大项目办2021年台式机、复印件、打印机等资产配置均低于财政标准配置比例。</w:t>
      </w:r>
    </w:p>
    <w:p>
      <w:pPr>
        <w:adjustRightInd w:val="0"/>
        <w:snapToGrid w:val="0"/>
        <w:spacing w:line="360" w:lineRule="auto"/>
        <w:ind w:firstLine="640" w:firstLineChars="200"/>
        <w:contextualSpacing/>
        <w:rPr>
          <w:rFonts w:ascii="仿宋_GB2312" w:eastAsia="仿宋_GB2312"/>
          <w:sz w:val="32"/>
          <w:szCs w:val="32"/>
        </w:rPr>
      </w:pPr>
      <w:r>
        <w:rPr>
          <w:rFonts w:hint="eastAsia" w:ascii="仿宋_GB2312" w:hAnsi="仿宋_GB2312" w:eastAsia="仿宋_GB2312" w:cs="仿宋_GB2312"/>
          <w:color w:val="000000"/>
          <w:sz w:val="32"/>
          <w:szCs w:val="32"/>
        </w:rPr>
        <w:t>三是坚持每年报送国有资产分析报告。</w:t>
      </w:r>
      <w:r>
        <w:rPr>
          <w:rFonts w:hint="eastAsia" w:ascii="仿宋_GB2312" w:eastAsia="仿宋_GB2312"/>
          <w:sz w:val="32"/>
          <w:szCs w:val="32"/>
        </w:rPr>
        <w:t>为贯彻落实向</w:t>
      </w:r>
      <w:r>
        <w:rPr>
          <w:rFonts w:ascii="仿宋_GB2312" w:eastAsia="仿宋_GB2312"/>
          <w:sz w:val="32"/>
          <w:szCs w:val="32"/>
        </w:rPr>
        <w:t>人大常委会报告国有资产管理情况的工作要求，</w:t>
      </w:r>
      <w:r>
        <w:rPr>
          <w:rFonts w:hint="eastAsia" w:ascii="仿宋_GB2312" w:eastAsia="仿宋_GB2312"/>
          <w:sz w:val="32"/>
          <w:szCs w:val="32"/>
        </w:rPr>
        <w:t>根据《行政事业单位国有资产报告制度》，我单位每年向</w:t>
      </w:r>
      <w:r>
        <w:rPr>
          <w:rFonts w:hint="eastAsia" w:ascii="仿宋_GB2312" w:hAnsi="仿宋" w:eastAsia="仿宋_GB2312"/>
          <w:sz w:val="32"/>
          <w:szCs w:val="32"/>
        </w:rPr>
        <w:t>市财政局</w:t>
      </w:r>
      <w:r>
        <w:rPr>
          <w:rFonts w:hint="eastAsia" w:ascii="仿宋_GB2312" w:eastAsia="仿宋_GB2312"/>
          <w:sz w:val="32"/>
          <w:szCs w:val="32"/>
        </w:rPr>
        <w:t>报送年度</w:t>
      </w:r>
      <w:r>
        <w:rPr>
          <w:rFonts w:hint="eastAsia" w:ascii="仿宋_GB2312" w:hAnsi="仿宋" w:eastAsia="仿宋_GB2312"/>
          <w:color w:val="000000"/>
          <w:sz w:val="32"/>
          <w:szCs w:val="32"/>
        </w:rPr>
        <w:t>资产占有</w:t>
      </w:r>
      <w:r>
        <w:rPr>
          <w:rFonts w:ascii="仿宋_GB2312" w:hAnsi="仿宋" w:eastAsia="仿宋_GB2312"/>
          <w:color w:val="000000"/>
          <w:sz w:val="32"/>
          <w:szCs w:val="32"/>
        </w:rPr>
        <w:t>、</w:t>
      </w:r>
      <w:r>
        <w:rPr>
          <w:rFonts w:hint="eastAsia" w:ascii="仿宋_GB2312" w:hAnsi="仿宋" w:eastAsia="仿宋_GB2312"/>
          <w:color w:val="000000"/>
          <w:sz w:val="32"/>
          <w:szCs w:val="32"/>
        </w:rPr>
        <w:t>使用、变动以及管理情况。</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四是及时盘点、清理、处置国有资产。</w:t>
      </w:r>
      <w:r>
        <w:rPr>
          <w:rFonts w:ascii="仿宋_GB2312" w:hAnsi="仿宋_GB2312" w:eastAsia="仿宋_GB2312" w:cs="仿宋_GB2312"/>
          <w:color w:val="000000"/>
          <w:sz w:val="32"/>
          <w:szCs w:val="32"/>
        </w:rPr>
        <w:t>2021年，在市重大项目办搬迁至通州副中心前，</w:t>
      </w:r>
      <w:r>
        <w:rPr>
          <w:rFonts w:hint="eastAsia" w:ascii="仿宋_GB2312" w:hAnsi="仿宋_GB2312" w:eastAsia="仿宋_GB2312" w:cs="仿宋_GB2312"/>
          <w:color w:val="000000"/>
          <w:sz w:val="32"/>
          <w:szCs w:val="32"/>
        </w:rPr>
        <w:t>固定资产的使用部门及管理部门对固定资产进行了全面的清查盘点，并按照市财政局资产处置要求将报废资产、移交资产按程序取得市财政局的批复后进行了处置，保证固定资产的实有数与账面结存数相符。</w:t>
      </w:r>
    </w:p>
    <w:p>
      <w:pPr>
        <w:adjustRightInd w:val="0"/>
        <w:snapToGrid w:val="0"/>
        <w:spacing w:line="360" w:lineRule="auto"/>
        <w:ind w:firstLine="640" w:firstLineChars="200"/>
        <w:outlineLvl w:val="1"/>
        <w:rPr>
          <w:rFonts w:ascii="楷体_GB2312" w:eastAsia="楷体_GB2312"/>
          <w:sz w:val="32"/>
          <w:szCs w:val="32"/>
        </w:rPr>
      </w:pPr>
      <w:bookmarkStart w:id="24" w:name="_Toc23521"/>
      <w:bookmarkStart w:id="25" w:name="_Toc31625"/>
      <w:r>
        <w:rPr>
          <w:rFonts w:hint="eastAsia" w:ascii="楷体_GB2312" w:eastAsia="楷体_GB2312"/>
          <w:sz w:val="32"/>
          <w:szCs w:val="32"/>
        </w:rPr>
        <w:t>（三）绩效管理</w:t>
      </w:r>
      <w:bookmarkEnd w:id="24"/>
      <w:bookmarkEnd w:id="25"/>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市重大项目办高度重视绩效管理工作，将绩效理念深度融入预算编制、执行和监督全过程，构建事前、事中、事后绩效管理闭环系统，创新预算管理方式，扎实做好各项绩效管理工作。</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一是加强绩效目标管理工作。按照市财政局要求，2021年预算项目的绩效目标填报范围由原来的2个扩展为全部项目，完成了16个项目绩效目标申报表的填报工作。</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二是开展事后绩效自评工作。对2020年度2个项目实施了绩效自评，其中1个项目按照市财政局要求完成普通程序评价，及时发现绩效实现情况中存在的问题，加强了项目预算绩效管理水平。</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三是开展绩效运行监控工作。对2021年度16个项目实施年中绩效运行监控工作。</w:t>
      </w:r>
      <w:r>
        <w:rPr>
          <w:rFonts w:eastAsia="仿宋_GB2312"/>
          <w:bCs/>
          <w:sz w:val="32"/>
          <w:szCs w:val="32"/>
        </w:rPr>
        <w:t>对2021年财政支出的预算执行、管理和绩效目标运行等情况进行跟踪管理和督促检查，及时发现问题并采取有效的措施予以纠正。</w:t>
      </w:r>
      <w:r>
        <w:rPr>
          <w:rFonts w:ascii="仿宋_GB2312" w:hAnsi="仿宋_GB2312" w:eastAsia="仿宋_GB2312" w:cs="仿宋_GB2312"/>
          <w:color w:val="000000"/>
          <w:sz w:val="32"/>
          <w:szCs w:val="32"/>
        </w:rPr>
        <w:t xml:space="preserve"> </w:t>
      </w:r>
    </w:p>
    <w:p>
      <w:pPr>
        <w:pStyle w:val="18"/>
        <w:adjustRightInd w:val="0"/>
        <w:snapToGrid w:val="0"/>
        <w:spacing w:line="360" w:lineRule="auto"/>
        <w:ind w:firstLine="640"/>
        <w:rPr>
          <w:rFonts w:ascii="Times New Roman" w:hAnsi="Times New Roman" w:eastAsia="仿宋_GB2312"/>
          <w:sz w:val="32"/>
          <w:szCs w:val="32"/>
        </w:rPr>
      </w:pPr>
      <w:r>
        <w:rPr>
          <w:rFonts w:hint="eastAsia" w:ascii="仿宋_GB2312" w:hAnsi="仿宋_GB2312" w:eastAsia="仿宋_GB2312" w:cs="仿宋_GB2312"/>
          <w:color w:val="000000"/>
          <w:sz w:val="32"/>
          <w:szCs w:val="32"/>
        </w:rPr>
        <w:t>四是开展成本预算绩效分析工作。对“法律顾问咨询工作经费”项目</w:t>
      </w:r>
      <w:r>
        <w:rPr>
          <w:rFonts w:hint="eastAsia" w:ascii="Times New Roman" w:hAnsi="Times New Roman" w:eastAsia="仿宋_GB2312"/>
          <w:sz w:val="32"/>
          <w:szCs w:val="32"/>
        </w:rPr>
        <w:t>2018</w:t>
      </w:r>
      <w:r>
        <w:rPr>
          <w:rFonts w:hint="eastAsia" w:eastAsia="仿宋_GB2312"/>
          <w:sz w:val="32"/>
          <w:szCs w:val="32"/>
        </w:rPr>
        <w:t>年</w:t>
      </w:r>
      <w:r>
        <w:rPr>
          <w:rFonts w:hint="eastAsia" w:ascii="Times New Roman" w:hAnsi="Times New Roman" w:eastAsia="仿宋_GB2312"/>
          <w:sz w:val="32"/>
          <w:szCs w:val="32"/>
        </w:rPr>
        <w:t>至2020</w:t>
      </w:r>
      <w:r>
        <w:rPr>
          <w:rFonts w:hint="eastAsia" w:eastAsia="仿宋_GB2312"/>
          <w:sz w:val="32"/>
          <w:szCs w:val="32"/>
        </w:rPr>
        <w:t>年</w:t>
      </w:r>
      <w:r>
        <w:rPr>
          <w:rFonts w:hint="eastAsia" w:ascii="Times New Roman" w:hAnsi="Times New Roman" w:eastAsia="仿宋_GB2312"/>
          <w:sz w:val="32"/>
          <w:szCs w:val="32"/>
        </w:rPr>
        <w:t>支出成本效益进行</w:t>
      </w:r>
      <w:r>
        <w:rPr>
          <w:rFonts w:hint="eastAsia" w:eastAsia="仿宋_GB2312"/>
          <w:sz w:val="32"/>
          <w:szCs w:val="32"/>
        </w:rPr>
        <w:t>了</w:t>
      </w:r>
      <w:r>
        <w:rPr>
          <w:rFonts w:hint="eastAsia" w:ascii="Times New Roman" w:hAnsi="Times New Roman" w:eastAsia="仿宋_GB2312"/>
          <w:sz w:val="32"/>
          <w:szCs w:val="32"/>
        </w:rPr>
        <w:t>客观分析</w:t>
      </w:r>
      <w:r>
        <w:rPr>
          <w:rFonts w:hint="eastAsia" w:ascii="仿宋_GB2312" w:hAnsi="仿宋_GB2312" w:eastAsia="仿宋_GB2312" w:cs="仿宋_GB2312"/>
          <w:color w:val="000000"/>
          <w:sz w:val="32"/>
          <w:szCs w:val="32"/>
        </w:rPr>
        <w:t>，并研究制定了法律顾问服务</w:t>
      </w:r>
      <w:r>
        <w:rPr>
          <w:rFonts w:hint="eastAsia" w:ascii="仿宋_GB2312" w:hAnsi="仿宋_GB2312" w:eastAsia="仿宋_GB2312" w:cs="仿宋_GB2312"/>
          <w:bCs/>
          <w:sz w:val="32"/>
          <w:szCs w:val="32"/>
        </w:rPr>
        <w:t>定额标准。为我办第二年申报该项目预算提供了有利依据，大大</w:t>
      </w:r>
      <w:r>
        <w:rPr>
          <w:rFonts w:hint="eastAsia" w:ascii="Times New Roman" w:hAnsi="Times New Roman" w:eastAsia="仿宋_GB2312"/>
          <w:sz w:val="32"/>
          <w:szCs w:val="32"/>
        </w:rPr>
        <w:t>提升了财政资金使用效率。</w:t>
      </w:r>
    </w:p>
    <w:p>
      <w:pPr>
        <w:adjustRightInd w:val="0"/>
        <w:snapToGrid w:val="0"/>
        <w:spacing w:line="360" w:lineRule="auto"/>
        <w:ind w:firstLine="640" w:firstLineChars="200"/>
        <w:outlineLvl w:val="1"/>
        <w:rPr>
          <w:rFonts w:ascii="楷体_GB2312" w:eastAsia="楷体_GB2312"/>
          <w:sz w:val="32"/>
          <w:szCs w:val="32"/>
        </w:rPr>
      </w:pPr>
      <w:bookmarkStart w:id="26" w:name="_Toc1151"/>
      <w:bookmarkStart w:id="27" w:name="_Toc1737"/>
      <w:r>
        <w:rPr>
          <w:rFonts w:hint="eastAsia" w:ascii="楷体_GB2312" w:eastAsia="楷体_GB2312"/>
          <w:sz w:val="32"/>
          <w:szCs w:val="32"/>
        </w:rPr>
        <w:t>（四）结转结余率</w:t>
      </w:r>
      <w:bookmarkEnd w:id="26"/>
      <w:bookmarkEnd w:id="27"/>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截至2021年12月31日，部门预算结余资金171.91万元，具体为：基本经费结余资金66.45万元、项目经费结余资金105.46万元，结转结余率为0.19%。</w:t>
      </w:r>
    </w:p>
    <w:p>
      <w:pPr>
        <w:adjustRightInd w:val="0"/>
        <w:snapToGrid w:val="0"/>
        <w:spacing w:line="360" w:lineRule="auto"/>
        <w:ind w:firstLine="640" w:firstLineChars="200"/>
        <w:outlineLvl w:val="1"/>
        <w:rPr>
          <w:rFonts w:ascii="楷体_GB2312" w:eastAsia="楷体_GB2312"/>
          <w:sz w:val="32"/>
          <w:szCs w:val="32"/>
        </w:rPr>
      </w:pPr>
      <w:bookmarkStart w:id="28" w:name="_Toc18510"/>
      <w:bookmarkStart w:id="29" w:name="_Toc13329"/>
      <w:r>
        <w:rPr>
          <w:rFonts w:hint="eastAsia" w:ascii="楷体_GB2312" w:eastAsia="楷体_GB2312"/>
          <w:sz w:val="32"/>
          <w:szCs w:val="32"/>
        </w:rPr>
        <w:t>（五）部门预决算差异率</w:t>
      </w:r>
      <w:bookmarkEnd w:id="28"/>
      <w:bookmarkEnd w:id="29"/>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市财政局批复市重大项目办2021年年初预算资金4,324.38万元，年末收入决算资金90,809.71万元万元，部门预算决算差异率为1999.95%，差异率较大的主要原因系2021年年中市重大项目办新增冬奥会临时设施建设任务，临时设施建设专项资金由市重大项目办代冬奥组委和北京市政府拨至北投集团和北控集团两个实施主体，专项资金在市重大项目办核算，其中冬奥组委资金36,335.00万元，市财政拨款资金50,000.00万元，导致部门决算金额比年初部门预算金额差异率偏大。</w:t>
      </w:r>
    </w:p>
    <w:p>
      <w:pPr>
        <w:adjustRightInd w:val="0"/>
        <w:snapToGrid w:val="0"/>
        <w:spacing w:line="360" w:lineRule="auto"/>
        <w:ind w:firstLine="640" w:firstLineChars="200"/>
        <w:outlineLvl w:val="0"/>
        <w:rPr>
          <w:rFonts w:ascii="黑体" w:hAnsi="黑体" w:eastAsia="黑体" w:cs="宋体"/>
          <w:color w:val="000000"/>
          <w:kern w:val="0"/>
          <w:sz w:val="32"/>
          <w:szCs w:val="32"/>
        </w:rPr>
      </w:pPr>
      <w:bookmarkStart w:id="30" w:name="_Toc23779"/>
      <w:bookmarkStart w:id="31" w:name="_Toc10117"/>
      <w:r>
        <w:rPr>
          <w:rFonts w:hint="eastAsia" w:ascii="黑体" w:hAnsi="黑体" w:eastAsia="黑体" w:cs="宋体"/>
          <w:color w:val="000000"/>
          <w:kern w:val="0"/>
          <w:sz w:val="32"/>
          <w:szCs w:val="32"/>
        </w:rPr>
        <w:t>五、总体评价结论</w:t>
      </w:r>
      <w:bookmarkEnd w:id="30"/>
      <w:bookmarkEnd w:id="31"/>
    </w:p>
    <w:p>
      <w:pPr>
        <w:adjustRightInd w:val="0"/>
        <w:snapToGrid w:val="0"/>
        <w:spacing w:line="360" w:lineRule="auto"/>
        <w:ind w:firstLine="640" w:firstLineChars="200"/>
        <w:outlineLvl w:val="1"/>
        <w:rPr>
          <w:rFonts w:ascii="楷体_GB2312" w:eastAsia="楷体_GB2312"/>
          <w:sz w:val="32"/>
          <w:szCs w:val="32"/>
        </w:rPr>
      </w:pPr>
      <w:bookmarkStart w:id="32" w:name="_Toc2909"/>
      <w:bookmarkStart w:id="33" w:name="_Toc19176"/>
      <w:r>
        <w:rPr>
          <w:rFonts w:hint="eastAsia" w:ascii="楷体_GB2312" w:eastAsia="楷体_GB2312"/>
          <w:sz w:val="32"/>
          <w:szCs w:val="32"/>
        </w:rPr>
        <w:t>（一）评价得分情况</w:t>
      </w:r>
      <w:bookmarkEnd w:id="32"/>
      <w:bookmarkEnd w:id="33"/>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本次部门整体绩效评价通过全面、客观的分析，最终得分为</w:t>
      </w: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highlight w:val="none"/>
        </w:rPr>
        <w:t>1.36</w:t>
      </w:r>
      <w:r>
        <w:rPr>
          <w:rFonts w:hint="eastAsia" w:ascii="仿宋_GB2312" w:hAnsi="仿宋_GB2312" w:eastAsia="仿宋_GB2312" w:cs="仿宋_GB2312"/>
          <w:color w:val="000000"/>
          <w:sz w:val="32"/>
          <w:szCs w:val="32"/>
        </w:rPr>
        <w:t>分，综合评价等级为“优秀”。其中：当年预算执行情况</w:t>
      </w:r>
      <w:r>
        <w:rPr>
          <w:rFonts w:ascii="仿宋_GB2312" w:hAnsi="仿宋_GB2312" w:eastAsia="仿宋_GB2312" w:cs="仿宋_GB2312"/>
          <w:color w:val="000000"/>
          <w:sz w:val="32"/>
          <w:szCs w:val="32"/>
        </w:rPr>
        <w:t>19.96分，整体绩效目标实</w:t>
      </w:r>
      <w:r>
        <w:rPr>
          <w:rFonts w:hint="eastAsia" w:ascii="仿宋_GB2312" w:hAnsi="仿宋_GB2312" w:eastAsia="仿宋_GB2312" w:cs="仿宋_GB2312"/>
          <w:color w:val="000000"/>
          <w:sz w:val="32"/>
          <w:szCs w:val="32"/>
          <w:lang w:eastAsia="zh-CN"/>
        </w:rPr>
        <w:t>现</w:t>
      </w:r>
      <w:r>
        <w:rPr>
          <w:rFonts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highlight w:val="none"/>
        </w:rPr>
        <w:t>55.40</w:t>
      </w:r>
      <w:r>
        <w:rPr>
          <w:rFonts w:hint="eastAsia" w:ascii="仿宋_GB2312" w:hAnsi="仿宋_GB2312" w:eastAsia="仿宋_GB2312" w:cs="仿宋_GB2312"/>
          <w:color w:val="000000"/>
          <w:sz w:val="32"/>
          <w:szCs w:val="32"/>
        </w:rPr>
        <w:t>分，预算管理情况</w:t>
      </w:r>
      <w:r>
        <w:rPr>
          <w:rFonts w:ascii="仿宋_GB2312" w:hAnsi="仿宋_GB2312" w:eastAsia="仿宋_GB2312" w:cs="仿宋_GB2312"/>
          <w:color w:val="000000"/>
          <w:sz w:val="32"/>
          <w:szCs w:val="32"/>
        </w:rPr>
        <w:t>16.00分，</w:t>
      </w:r>
      <w:r>
        <w:rPr>
          <w:rFonts w:hint="eastAsia" w:ascii="仿宋_GB2312" w:hAnsi="仿宋_GB2312" w:eastAsia="仿宋_GB2312" w:cs="仿宋_GB2312"/>
          <w:color w:val="000000"/>
          <w:sz w:val="32"/>
          <w:szCs w:val="32"/>
        </w:rPr>
        <w:t>具体评分见《北京市重大项目建设指挥部办公室2021年度部门整体绩效评价指标体系评分表》。</w:t>
      </w:r>
    </w:p>
    <w:p>
      <w:pPr>
        <w:numPr>
          <w:ilvl w:val="255"/>
          <w:numId w:val="0"/>
        </w:numPr>
        <w:adjustRightInd w:val="0"/>
        <w:snapToGrid w:val="0"/>
        <w:spacing w:line="360" w:lineRule="auto"/>
        <w:ind w:firstLine="640" w:firstLineChars="200"/>
        <w:outlineLvl w:val="1"/>
        <w:rPr>
          <w:rFonts w:ascii="楷体_GB2312" w:eastAsia="楷体_GB2312"/>
          <w:sz w:val="32"/>
          <w:szCs w:val="32"/>
        </w:rPr>
      </w:pPr>
      <w:bookmarkStart w:id="34" w:name="_Toc6142"/>
      <w:bookmarkStart w:id="35" w:name="_Toc5931"/>
      <w:r>
        <w:rPr>
          <w:rFonts w:hint="eastAsia" w:ascii="楷体_GB2312" w:eastAsia="楷体_GB2312"/>
          <w:sz w:val="32"/>
          <w:szCs w:val="32"/>
        </w:rPr>
        <w:t>（二）存在的问题及原因分析</w:t>
      </w:r>
      <w:bookmarkEnd w:id="34"/>
      <w:bookmarkEnd w:id="35"/>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1.部门整体绩效目标设定需进一步</w:t>
      </w:r>
      <w:r>
        <w:rPr>
          <w:rFonts w:hint="eastAsia" w:ascii="仿宋_GB2312" w:hAnsi="仿宋_GB2312" w:eastAsia="仿宋_GB2312" w:cs="仿宋_GB2312"/>
          <w:bCs/>
          <w:sz w:val="32"/>
          <w:szCs w:val="32"/>
        </w:rPr>
        <w:t>细化、量化</w:t>
      </w:r>
      <w:r>
        <w:rPr>
          <w:rFonts w:hint="eastAsia" w:ascii="仿宋_GB2312" w:hAnsi="仿宋_GB2312" w:eastAsia="仿宋_GB2312" w:cs="仿宋_GB2312"/>
          <w:color w:val="000000"/>
          <w:sz w:val="32"/>
          <w:szCs w:val="32"/>
        </w:rPr>
        <w:t>。由于市重大项目办承担的全市重点工作数量多、任务重，包括冬奥会场馆建设、轨道交通建设、棚户区改造的组织协调等工作，整体绩效目标的全面覆盖和细化量化的平衡难度较大，整体绩效目标设定的科学性、明确性有待进一步提高。</w:t>
      </w:r>
    </w:p>
    <w:p>
      <w:pPr>
        <w:adjustRightInd w:val="0"/>
        <w:snapToGrid w:val="0"/>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2.个别合同管理不够规范。如“冬奥办延庆赛区车辆租赁费”项目租期为2021年全年，但</w:t>
      </w:r>
      <w:r>
        <w:rPr>
          <w:rFonts w:hint="eastAsia" w:ascii="仿宋_GB2312" w:hAnsi="仿宋_GB2312" w:eastAsia="仿宋_GB2312" w:cs="仿宋_GB2312"/>
          <w:color w:val="000000"/>
          <w:kern w:val="0"/>
          <w:sz w:val="32"/>
          <w:szCs w:val="32"/>
        </w:rPr>
        <w:t>合同金额于2021年3月份一次支付，支付风险防控不到位。</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3.存在部分项目未按照年初绩效目标内容完成。如“党建工作专项经费”。按照疫情防控要求，取消了年初计划安排的党务工作培训会，结余资金未及时上缴财政。</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4.绩效</w:t>
      </w:r>
      <w:r>
        <w:rPr>
          <w:rFonts w:hint="eastAsia" w:ascii="仿宋_GB2312" w:hAnsi="仿宋_GB2312" w:eastAsia="仿宋_GB2312" w:cs="仿宋_GB2312"/>
          <w:color w:val="000000"/>
          <w:sz w:val="32"/>
          <w:szCs w:val="32"/>
        </w:rPr>
        <w:t>目标实现情况资料的归集不够完整。如“冬奥办延庆赛区车辆租赁费 ”项目实施对工作人员赴延庆场馆安全通行保障情况资料缺少支撑。</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ascii="黑体" w:hAnsi="黑体" w:eastAsia="黑体" w:cs="宋体"/>
          <w:color w:val="000000"/>
          <w:kern w:val="0"/>
          <w:sz w:val="32"/>
          <w:szCs w:val="32"/>
        </w:rPr>
      </w:pPr>
      <w:bookmarkStart w:id="36" w:name="_Toc14321"/>
      <w:bookmarkStart w:id="37" w:name="_Toc23550"/>
      <w:r>
        <w:rPr>
          <w:rFonts w:hint="eastAsia" w:ascii="黑体" w:hAnsi="黑体" w:eastAsia="黑体" w:cs="宋体"/>
          <w:color w:val="000000"/>
          <w:kern w:val="0"/>
          <w:sz w:val="32"/>
          <w:szCs w:val="32"/>
        </w:rPr>
        <w:t>六、措施建议</w:t>
      </w:r>
      <w:bookmarkEnd w:id="36"/>
      <w:bookmarkEnd w:id="37"/>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1.加强重视程度，强化绩效目标填报的准确性。严格按照北京市预算绩效管理的要求，合理编制绩效目标，按照具体工作内容细化绩效指标和量化指标值。</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 规范合同管理，强化合同的约束性。提高项目合同审查力度，保障合同签订的完整性、</w:t>
      </w:r>
      <w:r>
        <w:rPr>
          <w:rFonts w:hint="eastAsia" w:ascii="仿宋_GB2312" w:hAnsi="仿宋_GB2312" w:eastAsia="仿宋_GB2312" w:cs="仿宋_GB2312"/>
          <w:color w:val="000000"/>
          <w:sz w:val="32"/>
          <w:szCs w:val="32"/>
          <w:lang w:eastAsia="zh-Hans"/>
        </w:rPr>
        <w:t>规范性</w:t>
      </w:r>
      <w:r>
        <w:rPr>
          <w:rFonts w:hint="eastAsia" w:ascii="仿宋_GB2312" w:hAnsi="仿宋_GB2312" w:eastAsia="仿宋_GB2312" w:cs="仿宋_GB2312"/>
          <w:color w:val="000000"/>
          <w:sz w:val="32"/>
          <w:szCs w:val="32"/>
        </w:rPr>
        <w:t>，强化合同签订风险把控，</w:t>
      </w:r>
      <w:r>
        <w:rPr>
          <w:rFonts w:hint="eastAsia" w:ascii="仿宋_GB2312" w:hAnsi="仿宋_GB2312" w:eastAsia="仿宋_GB2312" w:cs="仿宋_GB2312"/>
          <w:color w:val="000000"/>
          <w:sz w:val="32"/>
          <w:szCs w:val="32"/>
          <w:lang w:eastAsia="zh-Hans"/>
        </w:rPr>
        <w:t>保障合理合法权益。</w:t>
      </w:r>
    </w:p>
    <w:p>
      <w:pPr>
        <w:adjustRightInd w:val="0"/>
        <w:snapToGrid w:val="0"/>
        <w:spacing w:line="360" w:lineRule="auto"/>
        <w:ind w:firstLine="640" w:firstLineChars="200"/>
        <w:rPr>
          <w:rFonts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3. 狠抓预算执行，确保年度预算执行进度。继续把预算执行进度作为首要任务来抓，合理把握预算执行节奏，在依法合规、保证工作质量的前提下，督促推进项目实施，加快预算支出进度。</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4.加强</w:t>
      </w:r>
      <w:r>
        <w:rPr>
          <w:rFonts w:hint="eastAsia" w:ascii="仿宋_GB2312" w:hAnsi="仿宋_GB2312" w:eastAsia="仿宋_GB2312" w:cs="仿宋_GB2312"/>
          <w:color w:val="000000"/>
          <w:sz w:val="32"/>
          <w:szCs w:val="32"/>
        </w:rPr>
        <w:t>绩效目标实现情况资料的归集。</w:t>
      </w:r>
      <w:r>
        <w:rPr>
          <w:rFonts w:hint="eastAsia" w:ascii="仿宋_GB2312" w:hAnsi="仿宋_GB2312" w:eastAsia="仿宋_GB2312" w:cs="仿宋_GB2312"/>
          <w:sz w:val="32"/>
          <w:szCs w:val="32"/>
        </w:rPr>
        <w:t>及时归集、汇总相关绩效</w:t>
      </w:r>
      <w:r>
        <w:rPr>
          <w:rFonts w:hint="eastAsia" w:ascii="仿宋_GB2312" w:hAnsi="仿宋_GB2312" w:eastAsia="仿宋_GB2312" w:cs="仿宋_GB2312"/>
          <w:color w:val="000000"/>
          <w:sz w:val="32"/>
          <w:szCs w:val="32"/>
        </w:rPr>
        <w:t>目标实现情况</w:t>
      </w:r>
      <w:r>
        <w:rPr>
          <w:rFonts w:hint="eastAsia" w:ascii="仿宋_GB2312" w:hAnsi="仿宋_GB2312" w:eastAsia="仿宋_GB2312" w:cs="仿宋_GB2312"/>
          <w:sz w:val="32"/>
          <w:szCs w:val="32"/>
        </w:rPr>
        <w:t>资料，使工作有记录、问题有反馈、成果有展示，以保证后续绩效管理工作的顺利开展。</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pStyle w:val="2"/>
        <w:ind w:firstLine="640" w:firstLineChars="200"/>
        <w:rPr>
          <w:rFonts w:hint="eastAsia" w:eastAsia="仿宋_GB2312"/>
          <w:lang w:eastAsia="zh-CN"/>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color w:val="000000"/>
          <w:sz w:val="32"/>
          <w:szCs w:val="32"/>
        </w:rPr>
        <w:t>《北京市重大项目建设指挥部办公室2021年部门整体绩效评价指标体系评分表》</w:t>
      </w:r>
      <w:bookmarkStart w:id="38" w:name="_GoBack"/>
      <w:bookmarkEnd w:id="38"/>
    </w:p>
    <w:p>
      <w:pPr>
        <w:pStyle w:val="2"/>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tbl>
      <w:tblPr>
        <w:tblStyle w:val="10"/>
        <w:tblW w:w="5000" w:type="pct"/>
        <w:tblInd w:w="0" w:type="dxa"/>
        <w:tblLayout w:type="autofit"/>
        <w:tblCellMar>
          <w:top w:w="0" w:type="dxa"/>
          <w:left w:w="108" w:type="dxa"/>
          <w:bottom w:w="0" w:type="dxa"/>
          <w:right w:w="108" w:type="dxa"/>
        </w:tblCellMar>
      </w:tblPr>
      <w:tblGrid>
        <w:gridCol w:w="846"/>
        <w:gridCol w:w="846"/>
        <w:gridCol w:w="1161"/>
        <w:gridCol w:w="3187"/>
        <w:gridCol w:w="1921"/>
        <w:gridCol w:w="534"/>
        <w:gridCol w:w="746"/>
        <w:gridCol w:w="1731"/>
        <w:gridCol w:w="3202"/>
      </w:tblGrid>
      <w:tr>
        <w:tblPrEx>
          <w:tblCellMar>
            <w:top w:w="0" w:type="dxa"/>
            <w:left w:w="108" w:type="dxa"/>
            <w:bottom w:w="0" w:type="dxa"/>
            <w:right w:w="108" w:type="dxa"/>
          </w:tblCellMar>
        </w:tblPrEx>
        <w:trPr>
          <w:trHeight w:val="560" w:hRule="atLeast"/>
        </w:trPr>
        <w:tc>
          <w:tcPr>
            <w:tcW w:w="5000" w:type="pct"/>
            <w:gridSpan w:val="9"/>
            <w:tcBorders>
              <w:top w:val="nil"/>
              <w:left w:val="nil"/>
              <w:bottom w:val="single" w:color="000000" w:sz="4" w:space="0"/>
              <w:right w:val="nil"/>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北京市重大项目建设指挥部办公室2021年部门整体绩效评价指标体系评分表</w:t>
            </w:r>
          </w:p>
        </w:tc>
      </w:tr>
      <w:tr>
        <w:tblPrEx>
          <w:tblCellMar>
            <w:top w:w="0" w:type="dxa"/>
            <w:left w:w="108" w:type="dxa"/>
            <w:bottom w:w="0" w:type="dxa"/>
            <w:right w:w="108" w:type="dxa"/>
          </w:tblCellMar>
        </w:tblPrEx>
        <w:trPr>
          <w:trHeight w:val="27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一、当年预算执行情况（20分）</w:t>
            </w:r>
          </w:p>
        </w:tc>
      </w:tr>
      <w:tr>
        <w:tblPrEx>
          <w:tblCellMar>
            <w:top w:w="0" w:type="dxa"/>
            <w:left w:w="108" w:type="dxa"/>
            <w:bottom w:w="0" w:type="dxa"/>
            <w:right w:w="108" w:type="dxa"/>
          </w:tblCellMar>
        </w:tblPrEx>
        <w:trPr>
          <w:trHeight w:val="480" w:hRule="atLeast"/>
        </w:trPr>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一级指标</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二级指标</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Cs w:val="21"/>
                <w:lang w:eastAsia="zh-CN" w:bidi="ar"/>
              </w:rPr>
            </w:pPr>
            <w:r>
              <w:rPr>
                <w:rFonts w:hint="eastAsia" w:ascii="宋体" w:hAnsi="宋体" w:cs="宋体"/>
                <w:color w:val="000000"/>
                <w:kern w:val="0"/>
                <w:szCs w:val="21"/>
                <w:lang w:bidi="ar"/>
              </w:rPr>
              <w:t>预算数</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（万元）</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执行数（万元）</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预算执行率</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分值</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得分</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指标解释</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评分标准</w:t>
            </w:r>
          </w:p>
        </w:tc>
      </w:tr>
      <w:tr>
        <w:tblPrEx>
          <w:tblCellMar>
            <w:top w:w="0" w:type="dxa"/>
            <w:left w:w="108" w:type="dxa"/>
            <w:bottom w:w="0" w:type="dxa"/>
            <w:right w:w="108" w:type="dxa"/>
          </w:tblCellMar>
        </w:tblPrEx>
        <w:trPr>
          <w:trHeight w:val="100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当年预算执行情况（20分）</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资金总体</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90,809.71 </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90,637.80 </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99.81%</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w:t>
            </w:r>
          </w:p>
        </w:tc>
        <w:tc>
          <w:tcPr>
            <w:tcW w:w="14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19.96 </w:t>
            </w: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部门全年执行数与全年预算数的比率。资金总体=基本支出+项目支出+其他</w:t>
            </w:r>
          </w:p>
        </w:tc>
        <w:tc>
          <w:tcPr>
            <w:tcW w:w="12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Cs w:val="21"/>
                <w:lang w:eastAsia="zh-CN" w:bidi="ar"/>
              </w:rPr>
            </w:pPr>
            <w:r>
              <w:rPr>
                <w:rFonts w:hint="eastAsia" w:ascii="宋体" w:hAnsi="宋体" w:cs="宋体"/>
                <w:color w:val="000000"/>
                <w:kern w:val="0"/>
                <w:szCs w:val="21"/>
                <w:lang w:bidi="ar"/>
              </w:rPr>
              <w:t>①得分一档最高不能超过该指标分值上限（20分）。</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②该指标若为正向指标，则得分计算方法应用全年实际值/年度指标值*该指标分值；若定量指标为反向指标，则得分计算方法应用年度指标值/全年实际值*该指标分值。若年初指标值设定偏低，则得分计算方法应用（全年实际值-年度指标值/年度指标值*100%。若计算结果在200%（含）-300%区间，则按照该指标分值的10%扣分；计算结果在300%（含）-500%区间，则按照该指标分值的20%扣分；计算结果高于500%（含），则按照该指标分值的30%扣分。</w:t>
            </w:r>
          </w:p>
        </w:tc>
      </w:tr>
      <w:tr>
        <w:tblPrEx>
          <w:tblCellMar>
            <w:top w:w="0" w:type="dxa"/>
            <w:left w:w="108" w:type="dxa"/>
            <w:bottom w:w="0" w:type="dxa"/>
            <w:right w:w="108" w:type="dxa"/>
          </w:tblCellMar>
        </w:tblPrEx>
        <w:trPr>
          <w:trHeight w:val="10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基本支出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3,014.40 </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2,947.95 </w:t>
            </w:r>
          </w:p>
        </w:tc>
        <w:tc>
          <w:tcPr>
            <w:tcW w:w="8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w:t>
            </w: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10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项目支出</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51,460.31 </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51,354.85 </w:t>
            </w:r>
          </w:p>
        </w:tc>
        <w:tc>
          <w:tcPr>
            <w:tcW w:w="8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2096"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其他</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36,335.00 </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36,335.00 </w:t>
            </w:r>
          </w:p>
        </w:tc>
        <w:tc>
          <w:tcPr>
            <w:tcW w:w="8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4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27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二、整体绩效目标实</w:t>
            </w:r>
            <w:r>
              <w:rPr>
                <w:rFonts w:hint="eastAsia" w:ascii="宋体" w:hAnsi="宋体" w:cs="宋体"/>
                <w:color w:val="000000"/>
                <w:kern w:val="0"/>
                <w:szCs w:val="21"/>
                <w:lang w:eastAsia="zh-CN" w:bidi="ar"/>
              </w:rPr>
              <w:t>现</w:t>
            </w:r>
            <w:r>
              <w:rPr>
                <w:rFonts w:hint="eastAsia" w:ascii="宋体" w:hAnsi="宋体" w:cs="宋体"/>
                <w:color w:val="000000"/>
                <w:kern w:val="0"/>
                <w:szCs w:val="21"/>
                <w:lang w:bidi="ar"/>
              </w:rPr>
              <w:t>情况（60分）</w:t>
            </w:r>
          </w:p>
        </w:tc>
      </w:tr>
      <w:tr>
        <w:tblPrEx>
          <w:tblCellMar>
            <w:top w:w="0" w:type="dxa"/>
            <w:left w:w="108" w:type="dxa"/>
            <w:bottom w:w="0" w:type="dxa"/>
            <w:right w:w="108" w:type="dxa"/>
          </w:tblCellMar>
        </w:tblPrEx>
        <w:trPr>
          <w:trHeight w:val="270" w:hRule="atLeast"/>
        </w:trPr>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一级指标</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二级指标</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三级指标</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指标值</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完成值</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分值</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得分</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指标解释</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评分标准</w:t>
            </w:r>
          </w:p>
        </w:tc>
      </w:tr>
      <w:tr>
        <w:tblPrEx>
          <w:tblCellMar>
            <w:top w:w="0" w:type="dxa"/>
            <w:left w:w="108" w:type="dxa"/>
            <w:bottom w:w="0" w:type="dxa"/>
            <w:right w:w="108" w:type="dxa"/>
          </w:tblCellMar>
        </w:tblPrEx>
        <w:trPr>
          <w:trHeight w:val="96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整体绩效目标实现情况（60分）</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产出（30分）</w:t>
            </w: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2022年奥运会场馆及配套基础设施建设</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了做好2022年冬奥会和冬残奥会北京地区工程建设的图片、视频资料留存及转化工作,计划对北京赛区、延庆赛区内8项新建场馆、7项改造场馆进行全面拍摄，将围绕冬奥会北京赛区、延庆赛区工程项目建设情况制作一部宣传片。</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冬奥会工程建设新闻舆情监测分析每周不少于3篇，专题性舆情监测和分析简报，合同期限内总数量不超过10份。</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印制2022年冬奥会项目工作计划项目册：300本</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全力推进冬奥会场馆及相关基础设施工程建设，严格按照市政府批复的年度建设计划实现冬奥会场馆建设目标，降低冬奥会场馆建设的风险，消除安全隐患，不发生重大安全质量事故。                                                                                         </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为北京冬奥会临时设施组织建设、赛时保障和赛后利用提供经验，拟于2021年日本进行调研。</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未开展</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178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棚户区改造</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为进一步加强我市棚户区改造计划管控工作，对项目进行全生命周期管理，按照工作计划，需印制2021年北京市棚户区改造和环境整治工作计划项目册1300本、2021年北京市棚户区改造和环境整治工作专项计划项目册100本、2020年北京市棚户区改造和环境整治项目完成清册250本，用于指导2021年我市棚户区改造计划管理工作及完成2020年我市棚户区计划任务完成情况的相关审计及档案管理工作。 </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对项目进行全生命周期管理，印制2020年北京市棚户区改造和环境整治项目完成清册250本，指导2021年我市棚户区改造计划管理工作及完成了2020年我市棚户区计划任务完成情况的相关审计及档案管理工作。</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0.35</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积极做好年度棚户区改造工作，破解棚户区改造遇到的难点重点问题，完成市政府批复的棚户区改造任务。</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8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轨道交通建设</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为相关职能管理部门搭建轨道交通建设工程安全质量管理服务平台，提升服务力度，分别在全年4个季度召开4次监管情况通报会，并对下一步工作提出要求。</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未开展</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制城市轨道交通建设计划册220本；轨道交通建设示意图32张，向全市各相关部门及单位发放2021年建设计划,</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完成印制城市轨道交通建设计划册196本、按实际工作需要未印制轨道交通建设示意图32张，向全市各相关部门及单位发放2021年建设计划,开展2021年轨道交通建设工作。</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0.45 </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贯彻落实我市轨道交通一体化建设要求，进一步推进“四网融合”发展理念，计划到俄罗斯调研轨道交通规划设计理念，换乘一体化方式，以及市郊铁路建设的经验，以进一步指导我市轨道交通建设协调管理工作。</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未开展</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加大力度协调推进轨道交通建设工作，完成市政府批复的2020年度轨道交通通车线路数量，推进轨道交通建设的持续快速发展，为缓解城市交通拥堵压力，疏解非首都功能，打造便捷、舒适的城市公共交通体系。</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547"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其他绩效指标</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更好的指导和监督各项目组织实施和预算执行，提高预算项目的管理和整体绩效水平，拟委托中介机构对2020年财政支出项目开展绩效自评，对2021年财政支出项目开展绩效跟踪，对2021年部门预算编制提供咨询服务。</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2.5</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为确保我办经济行为的合法性，维护我办的合法权益，我办拟聘请专业法律顾问为我办日常法律事务提供法律服务。审核合同不少于25份，法律咨询不少于50次，工作时间不低于85个小时。       </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2.5</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为重大办、冬奥办与冬奥办延庆赛区提供办公用房、物业管理服务和食堂管理服务，确保日常办公环境良好，保障后勤服务的正常运行。</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9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为保障重大办正常办公、提高工作效率以及电子档案存储安全，2021年拟开展计算机网络系统运维、门户网站运维 、微信公众平台运维费、门禁系统运维、财务用友软件运维、政务综合办公服务平台运维及电子档案管理系统平台运维等工作。</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效果（30）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经济效益</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国务院“政府带头过‘紧日子’”及市财政局厉行节约的要求实现情况</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严格落实，杜绝了资金浪费</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4.9</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社会效益</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2022年奥运会场馆及配套基础设施建设方面</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圆满完成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4.9</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轨道交通建设方面</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超额完成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4.9</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市政府其他安排</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按计划要求完成</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4.9</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反映项目年度指标完成情况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完成计划工作的90%以上，满分；每少完成10%的工作量扣0.2分，扣完为止。</w:t>
            </w:r>
          </w:p>
        </w:tc>
      </w:tr>
      <w:tr>
        <w:tblPrEx>
          <w:tblCellMar>
            <w:top w:w="0" w:type="dxa"/>
            <w:left w:w="108" w:type="dxa"/>
            <w:bottom w:w="0" w:type="dxa"/>
            <w:right w:w="108" w:type="dxa"/>
          </w:tblCellMar>
        </w:tblPrEx>
        <w:trPr>
          <w:trHeight w:val="4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服务对象满意度</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年度绩效考评结果</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优秀</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部门（单位）的服务对象对部门履职效果的满意程度。</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绩效考评结果为“优秀”，满分；每降低一个档次，扣1分。</w:t>
            </w:r>
          </w:p>
        </w:tc>
      </w:tr>
      <w:tr>
        <w:tblPrEx>
          <w:tblCellMar>
            <w:top w:w="0" w:type="dxa"/>
            <w:left w:w="108" w:type="dxa"/>
            <w:bottom w:w="0" w:type="dxa"/>
            <w:right w:w="108" w:type="dxa"/>
          </w:tblCellMar>
        </w:tblPrEx>
        <w:trPr>
          <w:trHeight w:val="27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三、预算管理情况（20分）</w:t>
            </w:r>
          </w:p>
        </w:tc>
      </w:tr>
      <w:tr>
        <w:tblPrEx>
          <w:tblCellMar>
            <w:top w:w="0" w:type="dxa"/>
            <w:left w:w="108" w:type="dxa"/>
            <w:bottom w:w="0" w:type="dxa"/>
            <w:right w:w="108" w:type="dxa"/>
          </w:tblCellMar>
        </w:tblPrEx>
        <w:trPr>
          <w:trHeight w:val="270" w:hRule="atLeast"/>
        </w:trPr>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一级指标</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二级指标</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三级指标</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指标值</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完成值</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分值</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得分</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指标解释</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评分标准</w:t>
            </w:r>
          </w:p>
        </w:tc>
      </w:tr>
      <w:tr>
        <w:tblPrEx>
          <w:tblCellMar>
            <w:top w:w="0" w:type="dxa"/>
            <w:left w:w="108" w:type="dxa"/>
            <w:bottom w:w="0" w:type="dxa"/>
            <w:right w:w="108" w:type="dxa"/>
          </w:tblCellMar>
        </w:tblPrEx>
        <w:trPr>
          <w:trHeight w:val="120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预算管理情况（20）</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财务管理（4)</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财务管理制度健全性</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健全、完整、合规</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健全、完整、合规</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财务管理制度健全性：部门（单位）为加强财务管理、规范财务行为而制定的管理制度。</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19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资金使用合规性和安全性</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合规、安全</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合规、安全</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9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会计基础信息完善性</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完整、准确</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完整、准确</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会计基础信息完善性：部门（单位）会计基础信息情况。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1397"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资产管理（4）</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资产管理规范性</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规范</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规范</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资产管理规范性：部门（单位）的资产是否保持安全完整，资产配置是否合理，资产使用和资产处理是否规范，用以反映和考核部门（单位）资产管理的整体水平。</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照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7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绩效管理（4）</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绩效管理情况</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及时、有效</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及时、有效</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绩效管理情况：考核部门（单位）在绩效管理信息的汇总和应用情况。</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144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结转结余率（4）</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0.19%</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Cs w:val="21"/>
                <w:lang w:eastAsia="zh-CN" w:bidi="ar"/>
              </w:rPr>
            </w:pPr>
            <w:r>
              <w:rPr>
                <w:rFonts w:hint="eastAsia" w:ascii="宋体" w:hAnsi="宋体" w:cs="宋体"/>
                <w:color w:val="000000"/>
                <w:kern w:val="0"/>
                <w:szCs w:val="21"/>
                <w:lang w:bidi="ar"/>
              </w:rPr>
              <w:t>结转结余率=结转结余总额/支出预算数*100%。</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结转结余总额：部门（单位）本年度的结转资金与结余资金之和。</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部门预决算差异率</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27.60%</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1999.95%</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通过年度部门决算与年初部门预算对比，对部门的年度支出情况进行考核，衡量部门预算的约束力。</w:t>
            </w: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部门预算决算差异率高于市级平均差异率的，每高出10%（含），扣0.4分，扣完为止。</w:t>
            </w:r>
          </w:p>
        </w:tc>
      </w:tr>
      <w:tr>
        <w:tblPrEx>
          <w:tblCellMar>
            <w:top w:w="0" w:type="dxa"/>
            <w:left w:w="108" w:type="dxa"/>
            <w:bottom w:w="0" w:type="dxa"/>
            <w:right w:w="108" w:type="dxa"/>
          </w:tblCellMar>
        </w:tblPrEx>
        <w:trPr>
          <w:trHeight w:val="547" w:hRule="atLeast"/>
        </w:trPr>
        <w:tc>
          <w:tcPr>
            <w:tcW w:w="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color w:val="000000"/>
                <w:szCs w:val="21"/>
              </w:rPr>
            </w:pPr>
            <w:r>
              <w:rPr>
                <w:rFonts w:hint="eastAsia" w:ascii="宋体" w:hAnsi="宋体" w:cs="宋体"/>
                <w:b/>
                <w:color w:val="000000"/>
                <w:kern w:val="0"/>
                <w:szCs w:val="21"/>
                <w:lang w:bidi="ar"/>
              </w:rPr>
              <w:t>合计</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100</w:t>
            </w:r>
          </w:p>
        </w:tc>
        <w:tc>
          <w:tcPr>
            <w:tcW w:w="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 xml:space="preserve">91.36 </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2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r>
    </w:tbl>
    <w:p/>
    <w:p>
      <w:pPr>
        <w:adjustRightInd/>
        <w:snapToGrid/>
        <w:spacing w:line="240" w:lineRule="auto"/>
        <w:rPr>
          <w:rFonts w:ascii="仿宋_GB2312" w:hAnsi="仿宋_GB2312" w:eastAsia="仿宋_GB2312" w:cs="仿宋_GB2312"/>
          <w:sz w:val="32"/>
          <w:szCs w:val="32"/>
        </w:rPr>
      </w:pPr>
    </w:p>
    <w:sectPr>
      <w:pgSz w:w="16838" w:h="11906" w:orient="landscape"/>
      <w:pgMar w:top="1418"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ULFf9sBAACw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kdewX/9hCxsdxvKjZWmHrAQWbG09KlTbl/&#10;zlF3D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C9QsV/2wEAALADAAAOAAAAAAAAAAEA&#10;IAAAAB4BAABkcnMvZTJvRG9jLnhtbFBLBQYAAAAABgAGAFkBAABrBQAAAAA=&#10;">
              <v:fill on="f" focussize="0,0"/>
              <v:stroke on="f"/>
              <v:imagedata o:title=""/>
              <o:lock v:ext="edit" aspectratio="f"/>
              <v:textbox inset="0mm,0mm,0mm,0mm" style="mso-fit-shape-to-text:t;">
                <w:txbxContent>
                  <w:p>
                    <w:pPr>
                      <w:pStyle w:val="2"/>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426"/>
      </w:tabs>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25</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2"/>
                      <w:jc w:val="right"/>
                      <w:rPr>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25</w:t>
                    </w:r>
                    <w:r>
                      <w:rPr>
                        <w:rFonts w:ascii="宋体" w:hAnsi="宋体"/>
                        <w:sz w:val="21"/>
                        <w:szCs w:val="21"/>
                      </w:rPr>
                      <w:fldChar w:fldCharType="end"/>
                    </w:r>
                  </w:p>
                </w:txbxContent>
              </v:textbox>
            </v:shape>
          </w:pict>
        </mc:Fallback>
      </mc:AlternateContent>
    </w:r>
    <w:r>
      <w:rPr>
        <w:rFonts w:hint="eastAsia" w:ascii="宋体" w:hAnsi="宋体"/>
        <w:sz w:val="28"/>
        <w:szCs w:val="28"/>
      </w:rPr>
      <w:tab/>
    </w:r>
    <w:r>
      <w:rPr>
        <w:rFonts w:hint="eastAsia" w:ascii="宋体" w:hAnsi="宋体"/>
        <w:sz w:val="28"/>
        <w:szCs w:val="28"/>
      </w:rPr>
      <w:tab/>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6F897"/>
    <w:multiLevelType w:val="singleLevel"/>
    <w:tmpl w:val="2D46F897"/>
    <w:lvl w:ilvl="0" w:tentative="0">
      <w:start w:val="1"/>
      <w:numFmt w:val="decimal"/>
      <w:suff w:val="space"/>
      <w:lvlText w:val="%1)"/>
      <w:lvlJc w:val="left"/>
    </w:lvl>
  </w:abstractNum>
  <w:abstractNum w:abstractNumId="1">
    <w:nsid w:val="32D9B44F"/>
    <w:multiLevelType w:val="singleLevel"/>
    <w:tmpl w:val="32D9B44F"/>
    <w:lvl w:ilvl="0" w:tentative="0">
      <w:start w:val="1"/>
      <w:numFmt w:val="decimal"/>
      <w:suff w:val="space"/>
      <w:lvlText w:val="%1)"/>
      <w:lvlJc w:val="left"/>
    </w:lvl>
  </w:abstractNum>
  <w:abstractNum w:abstractNumId="2">
    <w:nsid w:val="3C9401E3"/>
    <w:multiLevelType w:val="singleLevel"/>
    <w:tmpl w:val="3C9401E3"/>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xNTc1Mzc3Mzg5Y2IxMDlhOGVjZTMyNTdmYjE5MWYifQ=="/>
  </w:docVars>
  <w:rsids>
    <w:rsidRoot w:val="F77F09F4"/>
    <w:rsid w:val="00006320"/>
    <w:rsid w:val="000667ED"/>
    <w:rsid w:val="00085212"/>
    <w:rsid w:val="000A6181"/>
    <w:rsid w:val="000C40A2"/>
    <w:rsid w:val="00116B9C"/>
    <w:rsid w:val="00125AD3"/>
    <w:rsid w:val="001550F4"/>
    <w:rsid w:val="001669AC"/>
    <w:rsid w:val="001A119C"/>
    <w:rsid w:val="001C2849"/>
    <w:rsid w:val="001F0ECC"/>
    <w:rsid w:val="0021210D"/>
    <w:rsid w:val="0027087E"/>
    <w:rsid w:val="002928D9"/>
    <w:rsid w:val="00294C5A"/>
    <w:rsid w:val="0029766B"/>
    <w:rsid w:val="002C1CD9"/>
    <w:rsid w:val="002D01CE"/>
    <w:rsid w:val="00314FF6"/>
    <w:rsid w:val="00325FB3"/>
    <w:rsid w:val="00393FB1"/>
    <w:rsid w:val="003B6CF1"/>
    <w:rsid w:val="003C29AE"/>
    <w:rsid w:val="003C5C5E"/>
    <w:rsid w:val="003D0CBF"/>
    <w:rsid w:val="00414B1F"/>
    <w:rsid w:val="004444F3"/>
    <w:rsid w:val="00453EB5"/>
    <w:rsid w:val="0047657E"/>
    <w:rsid w:val="00497C02"/>
    <w:rsid w:val="004A4448"/>
    <w:rsid w:val="004C32D4"/>
    <w:rsid w:val="004D25C5"/>
    <w:rsid w:val="004D5B17"/>
    <w:rsid w:val="004F32B4"/>
    <w:rsid w:val="00502A46"/>
    <w:rsid w:val="00584A37"/>
    <w:rsid w:val="0058565F"/>
    <w:rsid w:val="005A0CFF"/>
    <w:rsid w:val="005C439D"/>
    <w:rsid w:val="00610670"/>
    <w:rsid w:val="00622892"/>
    <w:rsid w:val="00631AE8"/>
    <w:rsid w:val="0064054D"/>
    <w:rsid w:val="0068245D"/>
    <w:rsid w:val="00686F3F"/>
    <w:rsid w:val="007E312C"/>
    <w:rsid w:val="007E6B55"/>
    <w:rsid w:val="00805FBC"/>
    <w:rsid w:val="00814964"/>
    <w:rsid w:val="0084381C"/>
    <w:rsid w:val="00852735"/>
    <w:rsid w:val="008600D1"/>
    <w:rsid w:val="00862DD8"/>
    <w:rsid w:val="0086790E"/>
    <w:rsid w:val="00877750"/>
    <w:rsid w:val="008E32B8"/>
    <w:rsid w:val="0095594C"/>
    <w:rsid w:val="0096415C"/>
    <w:rsid w:val="00970569"/>
    <w:rsid w:val="009B0573"/>
    <w:rsid w:val="009B721D"/>
    <w:rsid w:val="009D2675"/>
    <w:rsid w:val="009E1061"/>
    <w:rsid w:val="009F0059"/>
    <w:rsid w:val="00A11F80"/>
    <w:rsid w:val="00A322C8"/>
    <w:rsid w:val="00A97A0F"/>
    <w:rsid w:val="00AB3FEA"/>
    <w:rsid w:val="00AD487F"/>
    <w:rsid w:val="00AE0413"/>
    <w:rsid w:val="00AE11E5"/>
    <w:rsid w:val="00AF68DF"/>
    <w:rsid w:val="00B23B42"/>
    <w:rsid w:val="00B45E89"/>
    <w:rsid w:val="00BB6CB5"/>
    <w:rsid w:val="00C03871"/>
    <w:rsid w:val="00C06992"/>
    <w:rsid w:val="00C47E1D"/>
    <w:rsid w:val="00C72074"/>
    <w:rsid w:val="00C776A7"/>
    <w:rsid w:val="00CC7097"/>
    <w:rsid w:val="00CE5C50"/>
    <w:rsid w:val="00D141D2"/>
    <w:rsid w:val="00D9453E"/>
    <w:rsid w:val="00DB5A36"/>
    <w:rsid w:val="00DD60DE"/>
    <w:rsid w:val="00E019EC"/>
    <w:rsid w:val="00E070C5"/>
    <w:rsid w:val="00E17EF4"/>
    <w:rsid w:val="00E311FA"/>
    <w:rsid w:val="00E43C49"/>
    <w:rsid w:val="00E6217F"/>
    <w:rsid w:val="00E8643C"/>
    <w:rsid w:val="00EA3C15"/>
    <w:rsid w:val="00EC587A"/>
    <w:rsid w:val="00EE6F43"/>
    <w:rsid w:val="00F16A68"/>
    <w:rsid w:val="00F300B8"/>
    <w:rsid w:val="00F35886"/>
    <w:rsid w:val="00F40046"/>
    <w:rsid w:val="00F6265F"/>
    <w:rsid w:val="00F66493"/>
    <w:rsid w:val="00F802F6"/>
    <w:rsid w:val="00F817E4"/>
    <w:rsid w:val="00F852FE"/>
    <w:rsid w:val="00F94826"/>
    <w:rsid w:val="00FD0AC9"/>
    <w:rsid w:val="00FD0D74"/>
    <w:rsid w:val="00FF74C3"/>
    <w:rsid w:val="04793ABB"/>
    <w:rsid w:val="096F5A60"/>
    <w:rsid w:val="0C7131BF"/>
    <w:rsid w:val="14EA1337"/>
    <w:rsid w:val="23F76688"/>
    <w:rsid w:val="2BC40D7D"/>
    <w:rsid w:val="37173543"/>
    <w:rsid w:val="38C01B87"/>
    <w:rsid w:val="392D002F"/>
    <w:rsid w:val="3CCE5195"/>
    <w:rsid w:val="3FF76880"/>
    <w:rsid w:val="400E15B5"/>
    <w:rsid w:val="4AE253C6"/>
    <w:rsid w:val="4BBC2376"/>
    <w:rsid w:val="577768E2"/>
    <w:rsid w:val="5DAE5E19"/>
    <w:rsid w:val="60127AE8"/>
    <w:rsid w:val="639F3163"/>
    <w:rsid w:val="69A84CDF"/>
    <w:rsid w:val="6BF403FB"/>
    <w:rsid w:val="76B66227"/>
    <w:rsid w:val="79E91614"/>
    <w:rsid w:val="7AB7FF50"/>
    <w:rsid w:val="7BFEB0DB"/>
    <w:rsid w:val="7DB43CF5"/>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20"/>
    </w:rPr>
  </w:style>
  <w:style w:type="paragraph" w:styleId="4">
    <w:name w:val="Balloon Text"/>
    <w:basedOn w:val="1"/>
    <w:link w:val="17"/>
    <w:qFormat/>
    <w:uiPriority w:val="0"/>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8">
    <w:name w:val="Normal (Web)"/>
    <w:basedOn w:val="1"/>
    <w:qFormat/>
    <w:uiPriority w:val="0"/>
    <w:pPr>
      <w:spacing w:before="100" w:beforeAutospacing="1" w:after="100" w:afterAutospacing="1"/>
      <w:jc w:val="left"/>
    </w:pPr>
    <w:rPr>
      <w:kern w:val="0"/>
      <w:sz w:val="24"/>
    </w:rPr>
  </w:style>
  <w:style w:type="paragraph" w:styleId="9">
    <w:name w:val="Title"/>
    <w:basedOn w:val="1"/>
    <w:next w:val="1"/>
    <w:qFormat/>
    <w:uiPriority w:val="0"/>
    <w:pPr>
      <w:ind w:left="640" w:leftChars="200"/>
      <w:outlineLvl w:val="0"/>
    </w:pPr>
    <w:rPr>
      <w:rFonts w:ascii="Arial" w:hAnsi="Arial" w:eastAsia="仿宋_GB2312"/>
      <w:b/>
      <w:sz w:val="32"/>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NormalCharacter"/>
    <w:semiHidden/>
    <w:qFormat/>
    <w:uiPriority w:val="0"/>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7">
    <w:name w:val="批注框文本 Char"/>
    <w:basedOn w:val="11"/>
    <w:link w:val="4"/>
    <w:qFormat/>
    <w:uiPriority w:val="0"/>
    <w:rPr>
      <w:kern w:val="2"/>
      <w:sz w:val="18"/>
      <w:szCs w:val="18"/>
    </w:rPr>
  </w:style>
  <w:style w:type="paragraph" w:customStyle="1" w:styleId="18">
    <w:name w:val="列出段落11"/>
    <w:basedOn w:val="1"/>
    <w:qFormat/>
    <w:uiPriority w:val="0"/>
    <w:pPr>
      <w:ind w:firstLine="420" w:firstLineChars="200"/>
    </w:pPr>
    <w:rPr>
      <w:rFonts w:ascii="Calibri" w:hAnsi="Calibri"/>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15142B-82A5-423C-93A4-203A667A3409}">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27</Pages>
  <Words>12008</Words>
  <Characters>12878</Characters>
  <Lines>103</Lines>
  <Paragraphs>29</Paragraphs>
  <TotalTime>4</TotalTime>
  <ScaleCrop>false</ScaleCrop>
  <LinksUpToDate>false</LinksUpToDate>
  <CharactersWithSpaces>13046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新晓，奇</cp:lastModifiedBy>
  <cp:lastPrinted>2022-04-01T03:49:00Z</cp:lastPrinted>
  <dcterms:modified xsi:type="dcterms:W3CDTF">2022-05-20T03:28:53Z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D4DC590DC4AD4D22A3C9739116AEC591</vt:lpwstr>
  </property>
</Properties>
</file>