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1F8" w:rsidRDefault="006E61F8">
      <w:pPr>
        <w:jc w:val="center"/>
        <w:rPr>
          <w:b/>
          <w:bCs/>
          <w:sz w:val="52"/>
          <w:szCs w:val="52"/>
        </w:rPr>
      </w:pPr>
    </w:p>
    <w:p w:rsidR="006E61F8" w:rsidRDefault="006E61F8">
      <w:pPr>
        <w:rPr>
          <w:b/>
          <w:bCs/>
          <w:sz w:val="52"/>
          <w:szCs w:val="52"/>
        </w:rPr>
      </w:pPr>
    </w:p>
    <w:p w:rsidR="006E61F8" w:rsidRDefault="006E61F8">
      <w:pPr>
        <w:rPr>
          <w:b/>
          <w:bCs/>
          <w:sz w:val="52"/>
          <w:szCs w:val="52"/>
        </w:rPr>
      </w:pPr>
    </w:p>
    <w:p w:rsidR="006E61F8" w:rsidRDefault="005A60D9">
      <w:pPr>
        <w:jc w:val="center"/>
        <w:rPr>
          <w:rFonts w:asciiTheme="minorEastAsia" w:eastAsiaTheme="minorEastAsia" w:hAnsiTheme="minorEastAsia" w:cstheme="minorEastAsia"/>
          <w:b/>
          <w:bCs/>
          <w:sz w:val="52"/>
          <w:szCs w:val="52"/>
        </w:rPr>
      </w:pPr>
      <w:r>
        <w:rPr>
          <w:rFonts w:asciiTheme="minorEastAsia" w:eastAsiaTheme="minorEastAsia" w:hAnsiTheme="minorEastAsia" w:cstheme="minorEastAsia" w:hint="eastAsia"/>
          <w:b/>
          <w:bCs/>
          <w:sz w:val="52"/>
          <w:szCs w:val="52"/>
        </w:rPr>
        <w:t>北京市重点站区管理委员会</w:t>
      </w:r>
    </w:p>
    <w:p w:rsidR="006E61F8" w:rsidRDefault="005A60D9">
      <w:pPr>
        <w:jc w:val="center"/>
        <w:rPr>
          <w:rFonts w:asciiTheme="minorEastAsia" w:eastAsiaTheme="minorEastAsia" w:hAnsiTheme="minorEastAsia" w:cstheme="minorEastAsia"/>
          <w:b/>
          <w:bCs/>
          <w:sz w:val="52"/>
        </w:rPr>
      </w:pPr>
      <w:r>
        <w:rPr>
          <w:rFonts w:asciiTheme="minorEastAsia" w:eastAsiaTheme="minorEastAsia" w:hAnsiTheme="minorEastAsia" w:cstheme="minorEastAsia" w:hint="eastAsia"/>
          <w:b/>
          <w:bCs/>
          <w:sz w:val="52"/>
          <w:szCs w:val="52"/>
        </w:rPr>
        <w:t>部门整体绩效评价报告</w:t>
      </w:r>
    </w:p>
    <w:p w:rsidR="006E61F8" w:rsidRDefault="006E61F8">
      <w:pPr>
        <w:jc w:val="center"/>
        <w:rPr>
          <w:rFonts w:ascii="黑体" w:eastAsia="黑体"/>
          <w:sz w:val="36"/>
          <w:szCs w:val="36"/>
        </w:rPr>
        <w:sectPr w:rsidR="006E61F8">
          <w:pgSz w:w="11906" w:h="16838"/>
          <w:pgMar w:top="1440" w:right="1800" w:bottom="1440" w:left="1800" w:header="851" w:footer="992" w:gutter="0"/>
          <w:pgNumType w:start="1"/>
          <w:cols w:space="425"/>
          <w:docGrid w:type="lines" w:linePitch="312"/>
        </w:sectPr>
      </w:pPr>
    </w:p>
    <w:sdt>
      <w:sdtPr>
        <w:rPr>
          <w:rFonts w:ascii="宋体" w:hAnsi="宋体"/>
        </w:rPr>
        <w:id w:val="147453448"/>
        <w:docPartObj>
          <w:docPartGallery w:val="Table of Contents"/>
          <w:docPartUnique/>
        </w:docPartObj>
      </w:sdtPr>
      <w:sdtContent>
        <w:p w:rsidR="006E61F8" w:rsidRDefault="005A60D9">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目录</w:t>
          </w:r>
        </w:p>
        <w:p w:rsidR="006E61F8" w:rsidRDefault="00AB31F3">
          <w:pPr>
            <w:pStyle w:val="1"/>
            <w:tabs>
              <w:tab w:val="right" w:leader="dot" w:pos="8306"/>
            </w:tabs>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sidR="005A60D9">
            <w:rPr>
              <w:rFonts w:ascii="仿宋_GB2312" w:eastAsia="仿宋_GB2312" w:hAnsi="仿宋_GB2312" w:cs="仿宋_GB2312" w:hint="eastAsia"/>
              <w:sz w:val="32"/>
              <w:szCs w:val="32"/>
            </w:rPr>
            <w:instrText xml:space="preserve">TOC \o "1-3" \h \u </w:instrText>
          </w:r>
          <w:r>
            <w:rPr>
              <w:rFonts w:ascii="仿宋_GB2312" w:eastAsia="仿宋_GB2312" w:hAnsi="仿宋_GB2312" w:cs="仿宋_GB2312" w:hint="eastAsia"/>
              <w:sz w:val="32"/>
              <w:szCs w:val="32"/>
            </w:rPr>
            <w:fldChar w:fldCharType="separate"/>
          </w:r>
          <w:hyperlink w:anchor="_Toc26693" w:history="1">
            <w:r w:rsidR="005A60D9">
              <w:rPr>
                <w:rFonts w:ascii="仿宋_GB2312" w:eastAsia="仿宋_GB2312" w:hAnsi="仿宋_GB2312" w:cs="仿宋_GB2312" w:hint="eastAsia"/>
                <w:kern w:val="0"/>
                <w:sz w:val="32"/>
                <w:szCs w:val="32"/>
              </w:rPr>
              <w:t>一、部门概况</w:t>
            </w:r>
            <w:r w:rsidR="005A60D9">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sidR="005A60D9">
              <w:rPr>
                <w:rFonts w:ascii="仿宋_GB2312" w:eastAsia="仿宋_GB2312" w:hAnsi="仿宋_GB2312" w:cs="仿宋_GB2312" w:hint="eastAsia"/>
                <w:sz w:val="32"/>
                <w:szCs w:val="32"/>
              </w:rPr>
              <w:instrText xml:space="preserve"> PAGEREF _Toc26693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5A60D9">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fldChar w:fldCharType="end"/>
            </w:r>
          </w:hyperlink>
        </w:p>
        <w:p w:rsidR="006E61F8" w:rsidRDefault="00AB31F3">
          <w:pPr>
            <w:pStyle w:val="2"/>
            <w:tabs>
              <w:tab w:val="right" w:leader="dot" w:pos="8306"/>
            </w:tabs>
            <w:rPr>
              <w:rFonts w:ascii="仿宋_GB2312" w:eastAsia="仿宋_GB2312" w:hAnsi="仿宋_GB2312" w:cs="仿宋_GB2312"/>
              <w:sz w:val="32"/>
              <w:szCs w:val="32"/>
            </w:rPr>
          </w:pPr>
          <w:hyperlink w:anchor="_Toc24074" w:history="1">
            <w:r w:rsidR="005A60D9">
              <w:rPr>
                <w:rFonts w:ascii="仿宋_GB2312" w:eastAsia="仿宋_GB2312" w:hAnsi="仿宋_GB2312" w:cs="仿宋_GB2312" w:hint="eastAsia"/>
                <w:sz w:val="32"/>
                <w:szCs w:val="32"/>
              </w:rPr>
              <w:t>（一）机构设置及职责工作任务情况</w:t>
            </w:r>
            <w:r w:rsidR="005A60D9">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sidR="005A60D9">
              <w:rPr>
                <w:rFonts w:ascii="仿宋_GB2312" w:eastAsia="仿宋_GB2312" w:hAnsi="仿宋_GB2312" w:cs="仿宋_GB2312" w:hint="eastAsia"/>
                <w:sz w:val="32"/>
                <w:szCs w:val="32"/>
              </w:rPr>
              <w:instrText xml:space="preserve"> PAGEREF _Toc24074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5A60D9">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fldChar w:fldCharType="end"/>
            </w:r>
          </w:hyperlink>
        </w:p>
        <w:p w:rsidR="006E61F8" w:rsidRDefault="00AB31F3">
          <w:pPr>
            <w:pStyle w:val="2"/>
            <w:tabs>
              <w:tab w:val="right" w:leader="dot" w:pos="8306"/>
            </w:tabs>
            <w:rPr>
              <w:rFonts w:ascii="仿宋_GB2312" w:eastAsia="仿宋_GB2312" w:hAnsi="仿宋_GB2312" w:cs="仿宋_GB2312"/>
              <w:sz w:val="32"/>
              <w:szCs w:val="32"/>
            </w:rPr>
          </w:pPr>
          <w:hyperlink w:anchor="_Toc10248" w:history="1">
            <w:r w:rsidR="005A60D9">
              <w:rPr>
                <w:rFonts w:ascii="仿宋_GB2312" w:eastAsia="仿宋_GB2312" w:hAnsi="仿宋_GB2312" w:cs="仿宋_GB2312" w:hint="eastAsia"/>
                <w:sz w:val="32"/>
                <w:szCs w:val="32"/>
              </w:rPr>
              <w:t>（二）部门整体绩效目标设立情况</w:t>
            </w:r>
            <w:r w:rsidR="005A60D9">
              <w:rPr>
                <w:rFonts w:ascii="仿宋_GB2312" w:eastAsia="仿宋_GB2312" w:hAnsi="仿宋_GB2312" w:cs="仿宋_GB2312" w:hint="eastAsia"/>
                <w:sz w:val="32"/>
                <w:szCs w:val="32"/>
              </w:rPr>
              <w:tab/>
              <w:t>2</w:t>
            </w:r>
          </w:hyperlink>
        </w:p>
        <w:p w:rsidR="006E61F8" w:rsidRDefault="00AB31F3">
          <w:pPr>
            <w:pStyle w:val="1"/>
            <w:tabs>
              <w:tab w:val="right" w:leader="dot" w:pos="8306"/>
            </w:tabs>
            <w:rPr>
              <w:rFonts w:ascii="仿宋_GB2312" w:eastAsia="仿宋_GB2312" w:hAnsi="仿宋_GB2312" w:cs="仿宋_GB2312"/>
              <w:sz w:val="32"/>
              <w:szCs w:val="32"/>
            </w:rPr>
          </w:pPr>
          <w:hyperlink w:anchor="_Toc21403" w:history="1">
            <w:r w:rsidR="005A60D9">
              <w:rPr>
                <w:rFonts w:ascii="仿宋_GB2312" w:eastAsia="仿宋_GB2312" w:hAnsi="仿宋_GB2312" w:cs="仿宋_GB2312" w:hint="eastAsia"/>
                <w:kern w:val="0"/>
                <w:sz w:val="32"/>
                <w:szCs w:val="32"/>
              </w:rPr>
              <w:t>二、当年预算执行情况</w:t>
            </w:r>
            <w:r w:rsidR="005A60D9">
              <w:rPr>
                <w:rFonts w:ascii="仿宋_GB2312" w:eastAsia="仿宋_GB2312" w:hAnsi="仿宋_GB2312" w:cs="仿宋_GB2312" w:hint="eastAsia"/>
                <w:sz w:val="32"/>
                <w:szCs w:val="32"/>
              </w:rPr>
              <w:tab/>
              <w:t>4</w:t>
            </w:r>
          </w:hyperlink>
        </w:p>
        <w:p w:rsidR="006E61F8" w:rsidRDefault="00AB31F3">
          <w:pPr>
            <w:pStyle w:val="1"/>
            <w:tabs>
              <w:tab w:val="right" w:leader="dot" w:pos="8306"/>
            </w:tabs>
            <w:rPr>
              <w:rFonts w:ascii="仿宋_GB2312" w:eastAsia="仿宋_GB2312" w:hAnsi="仿宋_GB2312" w:cs="仿宋_GB2312"/>
              <w:sz w:val="32"/>
              <w:szCs w:val="32"/>
            </w:rPr>
          </w:pPr>
          <w:hyperlink w:anchor="_Toc20976" w:history="1">
            <w:r w:rsidR="005A60D9">
              <w:rPr>
                <w:rFonts w:ascii="仿宋_GB2312" w:eastAsia="仿宋_GB2312" w:hAnsi="仿宋_GB2312" w:cs="仿宋_GB2312" w:hint="eastAsia"/>
                <w:kern w:val="0"/>
                <w:sz w:val="32"/>
                <w:szCs w:val="32"/>
              </w:rPr>
              <w:t>三、整体绩效目标实现情况</w:t>
            </w:r>
            <w:r w:rsidR="005A60D9">
              <w:rPr>
                <w:rFonts w:ascii="仿宋_GB2312" w:eastAsia="仿宋_GB2312" w:hAnsi="仿宋_GB2312" w:cs="仿宋_GB2312" w:hint="eastAsia"/>
                <w:sz w:val="32"/>
                <w:szCs w:val="32"/>
              </w:rPr>
              <w:tab/>
            </w:r>
            <w:bookmarkStart w:id="0" w:name="_GoBack"/>
            <w:bookmarkEnd w:id="0"/>
            <w:r w:rsidR="005A60D9">
              <w:rPr>
                <w:rFonts w:ascii="仿宋_GB2312" w:eastAsia="仿宋_GB2312" w:hAnsi="仿宋_GB2312" w:cs="仿宋_GB2312" w:hint="eastAsia"/>
                <w:sz w:val="32"/>
                <w:szCs w:val="32"/>
              </w:rPr>
              <w:t>4</w:t>
            </w:r>
          </w:hyperlink>
        </w:p>
        <w:p w:rsidR="006E61F8" w:rsidRDefault="00AB31F3">
          <w:pPr>
            <w:pStyle w:val="2"/>
            <w:tabs>
              <w:tab w:val="right" w:leader="dot" w:pos="8306"/>
            </w:tabs>
            <w:rPr>
              <w:rFonts w:ascii="仿宋_GB2312" w:eastAsia="仿宋_GB2312" w:hAnsi="仿宋_GB2312" w:cs="仿宋_GB2312"/>
              <w:sz w:val="32"/>
              <w:szCs w:val="32"/>
            </w:rPr>
          </w:pPr>
          <w:hyperlink w:anchor="_Toc15033" w:history="1">
            <w:r w:rsidR="005A60D9">
              <w:rPr>
                <w:rFonts w:ascii="仿宋_GB2312" w:eastAsia="仿宋_GB2312" w:hAnsi="仿宋_GB2312" w:cs="仿宋_GB2312" w:hint="eastAsia"/>
                <w:sz w:val="32"/>
                <w:szCs w:val="32"/>
              </w:rPr>
              <w:t>（一）产出完成情况分析</w:t>
            </w:r>
            <w:r w:rsidR="005A60D9">
              <w:rPr>
                <w:rFonts w:ascii="仿宋_GB2312" w:eastAsia="仿宋_GB2312" w:hAnsi="仿宋_GB2312" w:cs="仿宋_GB2312" w:hint="eastAsia"/>
                <w:sz w:val="32"/>
                <w:szCs w:val="32"/>
              </w:rPr>
              <w:tab/>
              <w:t>4</w:t>
            </w:r>
          </w:hyperlink>
        </w:p>
        <w:p w:rsidR="006E61F8" w:rsidRDefault="00AB31F3">
          <w:pPr>
            <w:pStyle w:val="2"/>
            <w:tabs>
              <w:tab w:val="right" w:leader="dot" w:pos="8306"/>
            </w:tabs>
            <w:rPr>
              <w:rFonts w:ascii="仿宋_GB2312" w:eastAsia="仿宋_GB2312" w:hAnsi="仿宋_GB2312" w:cs="仿宋_GB2312"/>
              <w:sz w:val="32"/>
              <w:szCs w:val="32"/>
            </w:rPr>
          </w:pPr>
          <w:hyperlink w:anchor="_Toc24627" w:history="1">
            <w:r w:rsidR="005A60D9">
              <w:rPr>
                <w:rFonts w:ascii="仿宋_GB2312" w:eastAsia="仿宋_GB2312" w:hAnsi="仿宋_GB2312" w:cs="仿宋_GB2312" w:hint="eastAsia"/>
                <w:sz w:val="32"/>
                <w:szCs w:val="32"/>
              </w:rPr>
              <w:t>（二）效果实现情况分析</w:t>
            </w:r>
            <w:r w:rsidR="005A60D9">
              <w:rPr>
                <w:rFonts w:ascii="仿宋_GB2312" w:eastAsia="仿宋_GB2312" w:hAnsi="仿宋_GB2312" w:cs="仿宋_GB2312" w:hint="eastAsia"/>
                <w:sz w:val="32"/>
                <w:szCs w:val="32"/>
              </w:rPr>
              <w:tab/>
              <w:t>9</w:t>
            </w:r>
          </w:hyperlink>
        </w:p>
        <w:p w:rsidR="006E61F8" w:rsidRDefault="00AB31F3">
          <w:pPr>
            <w:pStyle w:val="1"/>
            <w:tabs>
              <w:tab w:val="right" w:leader="dot" w:pos="8306"/>
            </w:tabs>
            <w:rPr>
              <w:rFonts w:ascii="仿宋_GB2312" w:eastAsia="仿宋_GB2312" w:hAnsi="仿宋_GB2312" w:cs="仿宋_GB2312"/>
              <w:sz w:val="32"/>
              <w:szCs w:val="32"/>
            </w:rPr>
          </w:pPr>
          <w:hyperlink w:anchor="_Toc28342" w:history="1">
            <w:r w:rsidR="005A60D9">
              <w:rPr>
                <w:rFonts w:ascii="仿宋_GB2312" w:eastAsia="仿宋_GB2312" w:hAnsi="仿宋_GB2312" w:cs="仿宋_GB2312" w:hint="eastAsia"/>
                <w:kern w:val="0"/>
                <w:sz w:val="32"/>
                <w:szCs w:val="32"/>
              </w:rPr>
              <w:t>四、预算管理情况分析</w:t>
            </w:r>
            <w:r w:rsidR="005A60D9">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sidR="005A60D9">
              <w:rPr>
                <w:rFonts w:ascii="仿宋_GB2312" w:eastAsia="仿宋_GB2312" w:hAnsi="仿宋_GB2312" w:cs="仿宋_GB2312" w:hint="eastAsia"/>
                <w:sz w:val="32"/>
                <w:szCs w:val="32"/>
              </w:rPr>
              <w:instrText xml:space="preserve"> PAGEREF _Toc28342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5A60D9">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fldChar w:fldCharType="end"/>
            </w:r>
          </w:hyperlink>
        </w:p>
        <w:p w:rsidR="006E61F8" w:rsidRDefault="00AB31F3">
          <w:pPr>
            <w:pStyle w:val="2"/>
            <w:tabs>
              <w:tab w:val="right" w:leader="dot" w:pos="8306"/>
            </w:tabs>
            <w:rPr>
              <w:rFonts w:ascii="仿宋_GB2312" w:eastAsia="仿宋_GB2312" w:hAnsi="仿宋_GB2312" w:cs="仿宋_GB2312"/>
              <w:sz w:val="32"/>
              <w:szCs w:val="32"/>
            </w:rPr>
          </w:pPr>
          <w:hyperlink w:anchor="_Toc11018" w:history="1">
            <w:r w:rsidR="005A60D9">
              <w:rPr>
                <w:rFonts w:ascii="仿宋_GB2312" w:eastAsia="仿宋_GB2312" w:hAnsi="仿宋_GB2312" w:cs="仿宋_GB2312" w:hint="eastAsia"/>
                <w:sz w:val="32"/>
                <w:szCs w:val="32"/>
              </w:rPr>
              <w:t>（一）财务管理</w:t>
            </w:r>
            <w:r w:rsidR="005A60D9">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sidR="005A60D9">
              <w:rPr>
                <w:rFonts w:ascii="仿宋_GB2312" w:eastAsia="仿宋_GB2312" w:hAnsi="仿宋_GB2312" w:cs="仿宋_GB2312" w:hint="eastAsia"/>
                <w:sz w:val="32"/>
                <w:szCs w:val="32"/>
              </w:rPr>
              <w:instrText xml:space="preserve"> PAGEREF _Toc11018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5A60D9">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fldChar w:fldCharType="end"/>
            </w:r>
          </w:hyperlink>
        </w:p>
        <w:p w:rsidR="006E61F8" w:rsidRDefault="00AB31F3">
          <w:pPr>
            <w:pStyle w:val="2"/>
            <w:tabs>
              <w:tab w:val="right" w:leader="dot" w:pos="8306"/>
            </w:tabs>
            <w:rPr>
              <w:rFonts w:ascii="仿宋_GB2312" w:eastAsia="仿宋_GB2312" w:hAnsi="仿宋_GB2312" w:cs="仿宋_GB2312"/>
              <w:sz w:val="32"/>
              <w:szCs w:val="32"/>
            </w:rPr>
          </w:pPr>
          <w:hyperlink w:anchor="_Toc20585" w:history="1">
            <w:r w:rsidR="005A60D9">
              <w:rPr>
                <w:rFonts w:ascii="仿宋_GB2312" w:eastAsia="仿宋_GB2312" w:hAnsi="仿宋_GB2312" w:cs="仿宋_GB2312" w:hint="eastAsia"/>
                <w:sz w:val="32"/>
                <w:szCs w:val="32"/>
              </w:rPr>
              <w:t>（二）资产管理</w:t>
            </w:r>
            <w:r w:rsidR="005A60D9">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sidR="005A60D9">
              <w:rPr>
                <w:rFonts w:ascii="仿宋_GB2312" w:eastAsia="仿宋_GB2312" w:hAnsi="仿宋_GB2312" w:cs="仿宋_GB2312" w:hint="eastAsia"/>
                <w:sz w:val="32"/>
                <w:szCs w:val="32"/>
              </w:rPr>
              <w:instrText xml:space="preserve"> PAGEREF _Toc20585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5A60D9">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fldChar w:fldCharType="end"/>
            </w:r>
          </w:hyperlink>
        </w:p>
        <w:p w:rsidR="006E61F8" w:rsidRDefault="00AB31F3">
          <w:pPr>
            <w:pStyle w:val="2"/>
            <w:tabs>
              <w:tab w:val="right" w:leader="dot" w:pos="8306"/>
            </w:tabs>
            <w:rPr>
              <w:rFonts w:ascii="仿宋_GB2312" w:eastAsia="仿宋_GB2312" w:hAnsi="仿宋_GB2312" w:cs="仿宋_GB2312"/>
              <w:sz w:val="32"/>
              <w:szCs w:val="32"/>
            </w:rPr>
          </w:pPr>
          <w:hyperlink w:anchor="_Toc23397" w:history="1">
            <w:r w:rsidR="005A60D9">
              <w:rPr>
                <w:rFonts w:ascii="仿宋_GB2312" w:eastAsia="仿宋_GB2312" w:hAnsi="仿宋_GB2312" w:cs="仿宋_GB2312" w:hint="eastAsia"/>
                <w:sz w:val="32"/>
                <w:szCs w:val="32"/>
              </w:rPr>
              <w:t>（三）绩效管理</w:t>
            </w:r>
            <w:r w:rsidR="005A60D9">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sidR="005A60D9">
              <w:rPr>
                <w:rFonts w:ascii="仿宋_GB2312" w:eastAsia="仿宋_GB2312" w:hAnsi="仿宋_GB2312" w:cs="仿宋_GB2312" w:hint="eastAsia"/>
                <w:sz w:val="32"/>
                <w:szCs w:val="32"/>
              </w:rPr>
              <w:instrText xml:space="preserve"> PAGEREF _Toc23397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5A60D9">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fldChar w:fldCharType="end"/>
            </w:r>
          </w:hyperlink>
        </w:p>
        <w:p w:rsidR="006E61F8" w:rsidRDefault="00AB31F3">
          <w:pPr>
            <w:pStyle w:val="2"/>
            <w:tabs>
              <w:tab w:val="right" w:leader="dot" w:pos="8306"/>
            </w:tabs>
            <w:rPr>
              <w:rFonts w:ascii="仿宋_GB2312" w:eastAsia="仿宋_GB2312" w:hAnsi="仿宋_GB2312" w:cs="仿宋_GB2312"/>
              <w:sz w:val="32"/>
              <w:szCs w:val="32"/>
            </w:rPr>
          </w:pPr>
          <w:hyperlink w:anchor="_Toc27286" w:history="1">
            <w:r w:rsidR="005A60D9">
              <w:rPr>
                <w:rFonts w:ascii="仿宋_GB2312" w:eastAsia="仿宋_GB2312" w:hAnsi="仿宋_GB2312" w:cs="仿宋_GB2312" w:hint="eastAsia"/>
                <w:sz w:val="32"/>
                <w:szCs w:val="32"/>
              </w:rPr>
              <w:t>（四）结转结余率</w:t>
            </w:r>
            <w:r w:rsidR="005A60D9">
              <w:rPr>
                <w:rFonts w:ascii="仿宋_GB2312" w:eastAsia="仿宋_GB2312" w:hAnsi="仿宋_GB2312" w:cs="仿宋_GB2312" w:hint="eastAsia"/>
                <w:sz w:val="32"/>
                <w:szCs w:val="32"/>
              </w:rPr>
              <w:tab/>
              <w:t>13</w:t>
            </w:r>
          </w:hyperlink>
        </w:p>
        <w:p w:rsidR="006E61F8" w:rsidRDefault="00AB31F3">
          <w:pPr>
            <w:pStyle w:val="2"/>
            <w:tabs>
              <w:tab w:val="right" w:leader="dot" w:pos="8306"/>
            </w:tabs>
            <w:rPr>
              <w:rFonts w:ascii="仿宋_GB2312" w:eastAsia="仿宋_GB2312" w:hAnsi="仿宋_GB2312" w:cs="仿宋_GB2312"/>
              <w:sz w:val="32"/>
              <w:szCs w:val="32"/>
            </w:rPr>
          </w:pPr>
          <w:hyperlink w:anchor="_Toc2122" w:history="1">
            <w:r w:rsidR="005A60D9">
              <w:rPr>
                <w:rFonts w:ascii="仿宋_GB2312" w:eastAsia="仿宋_GB2312" w:hAnsi="仿宋_GB2312" w:cs="仿宋_GB2312" w:hint="eastAsia"/>
                <w:sz w:val="32"/>
                <w:szCs w:val="32"/>
              </w:rPr>
              <w:t>（五）部门预决算差异率</w:t>
            </w:r>
            <w:r w:rsidR="005A60D9">
              <w:rPr>
                <w:rFonts w:ascii="仿宋_GB2312" w:eastAsia="仿宋_GB2312" w:hAnsi="仿宋_GB2312" w:cs="仿宋_GB2312" w:hint="eastAsia"/>
                <w:sz w:val="32"/>
                <w:szCs w:val="32"/>
              </w:rPr>
              <w:tab/>
              <w:t>13</w:t>
            </w:r>
          </w:hyperlink>
        </w:p>
        <w:p w:rsidR="006E61F8" w:rsidRDefault="00AB31F3">
          <w:pPr>
            <w:pStyle w:val="1"/>
            <w:tabs>
              <w:tab w:val="right" w:leader="dot" w:pos="8306"/>
            </w:tabs>
            <w:rPr>
              <w:rFonts w:ascii="仿宋_GB2312" w:eastAsia="仿宋_GB2312" w:hAnsi="仿宋_GB2312" w:cs="仿宋_GB2312"/>
              <w:sz w:val="32"/>
              <w:szCs w:val="32"/>
            </w:rPr>
          </w:pPr>
          <w:hyperlink w:anchor="_Toc31306" w:history="1">
            <w:r w:rsidR="005A60D9">
              <w:rPr>
                <w:rFonts w:ascii="仿宋_GB2312" w:eastAsia="仿宋_GB2312" w:hAnsi="仿宋_GB2312" w:cs="仿宋_GB2312" w:hint="eastAsia"/>
                <w:sz w:val="32"/>
                <w:szCs w:val="32"/>
              </w:rPr>
              <w:t>五、总体评价结论</w:t>
            </w:r>
            <w:r w:rsidR="005A60D9">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sidR="005A60D9">
              <w:rPr>
                <w:rFonts w:ascii="仿宋_GB2312" w:eastAsia="仿宋_GB2312" w:hAnsi="仿宋_GB2312" w:cs="仿宋_GB2312" w:hint="eastAsia"/>
                <w:sz w:val="32"/>
                <w:szCs w:val="32"/>
              </w:rPr>
              <w:instrText xml:space="preserve"> PAGEREF _Toc31306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5A60D9">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fldChar w:fldCharType="end"/>
            </w:r>
          </w:hyperlink>
        </w:p>
        <w:p w:rsidR="006E61F8" w:rsidRDefault="00AB31F3">
          <w:pPr>
            <w:pStyle w:val="2"/>
            <w:tabs>
              <w:tab w:val="right" w:leader="dot" w:pos="8306"/>
            </w:tabs>
            <w:rPr>
              <w:rFonts w:ascii="仿宋_GB2312" w:eastAsia="仿宋_GB2312" w:hAnsi="仿宋_GB2312" w:cs="仿宋_GB2312"/>
              <w:sz w:val="32"/>
              <w:szCs w:val="32"/>
            </w:rPr>
          </w:pPr>
          <w:hyperlink w:anchor="_Toc31780" w:history="1">
            <w:r w:rsidR="005A60D9">
              <w:rPr>
                <w:rFonts w:ascii="仿宋_GB2312" w:eastAsia="仿宋_GB2312" w:hAnsi="仿宋_GB2312" w:cs="仿宋_GB2312" w:hint="eastAsia"/>
                <w:sz w:val="32"/>
                <w:szCs w:val="32"/>
              </w:rPr>
              <w:t>（一）评价得分情况</w:t>
            </w:r>
            <w:r w:rsidR="005A60D9">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sidR="005A60D9">
              <w:rPr>
                <w:rFonts w:ascii="仿宋_GB2312" w:eastAsia="仿宋_GB2312" w:hAnsi="仿宋_GB2312" w:cs="仿宋_GB2312" w:hint="eastAsia"/>
                <w:sz w:val="32"/>
                <w:szCs w:val="32"/>
              </w:rPr>
              <w:instrText xml:space="preserve"> PAGEREF _Toc31780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5A60D9">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fldChar w:fldCharType="end"/>
            </w:r>
          </w:hyperlink>
        </w:p>
        <w:p w:rsidR="006E61F8" w:rsidRDefault="00AB31F3">
          <w:pPr>
            <w:pStyle w:val="2"/>
            <w:tabs>
              <w:tab w:val="right" w:leader="dot" w:pos="8306"/>
            </w:tabs>
            <w:rPr>
              <w:rFonts w:ascii="仿宋_GB2312" w:eastAsia="仿宋_GB2312" w:hAnsi="仿宋_GB2312" w:cs="仿宋_GB2312"/>
              <w:sz w:val="32"/>
              <w:szCs w:val="32"/>
            </w:rPr>
          </w:pPr>
          <w:hyperlink w:anchor="_Toc887" w:history="1">
            <w:r w:rsidR="005A60D9">
              <w:rPr>
                <w:rFonts w:ascii="仿宋_GB2312" w:eastAsia="仿宋_GB2312" w:hAnsi="仿宋_GB2312" w:cs="仿宋_GB2312" w:hint="eastAsia"/>
                <w:sz w:val="32"/>
                <w:szCs w:val="32"/>
              </w:rPr>
              <w:t>（二）存在的问题及原因分析</w:t>
            </w:r>
            <w:r w:rsidR="005A60D9">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sidR="005A60D9">
              <w:rPr>
                <w:rFonts w:ascii="仿宋_GB2312" w:eastAsia="仿宋_GB2312" w:hAnsi="仿宋_GB2312" w:cs="仿宋_GB2312" w:hint="eastAsia"/>
                <w:sz w:val="32"/>
                <w:szCs w:val="32"/>
              </w:rPr>
              <w:instrText xml:space="preserve"> PAGEREF _Toc887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5A60D9">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fldChar w:fldCharType="end"/>
            </w:r>
          </w:hyperlink>
        </w:p>
        <w:p w:rsidR="006E61F8" w:rsidRDefault="00AB31F3">
          <w:pPr>
            <w:pStyle w:val="1"/>
            <w:tabs>
              <w:tab w:val="right" w:leader="dot" w:pos="8306"/>
            </w:tabs>
            <w:rPr>
              <w:rFonts w:ascii="仿宋_GB2312" w:eastAsia="仿宋_GB2312" w:hAnsi="仿宋_GB2312" w:cs="仿宋_GB2312"/>
              <w:sz w:val="32"/>
              <w:szCs w:val="32"/>
            </w:rPr>
          </w:pPr>
          <w:hyperlink w:anchor="_Toc18828" w:history="1">
            <w:r w:rsidR="005A60D9">
              <w:rPr>
                <w:rFonts w:ascii="仿宋_GB2312" w:eastAsia="仿宋_GB2312" w:hAnsi="仿宋_GB2312" w:cs="仿宋_GB2312" w:hint="eastAsia"/>
                <w:kern w:val="0"/>
                <w:sz w:val="32"/>
                <w:szCs w:val="32"/>
              </w:rPr>
              <w:t>六、措施建议</w:t>
            </w:r>
            <w:r w:rsidR="005A60D9">
              <w:rPr>
                <w:rFonts w:ascii="仿宋_GB2312" w:eastAsia="仿宋_GB2312" w:hAnsi="仿宋_GB2312" w:cs="仿宋_GB2312" w:hint="eastAsia"/>
                <w:sz w:val="32"/>
                <w:szCs w:val="32"/>
              </w:rPr>
              <w:tab/>
              <w:t>14</w:t>
            </w:r>
          </w:hyperlink>
        </w:p>
        <w:p w:rsidR="006E61F8" w:rsidRDefault="00AB31F3">
          <w:r>
            <w:rPr>
              <w:rFonts w:ascii="仿宋_GB2312" w:eastAsia="仿宋_GB2312" w:hAnsi="仿宋_GB2312" w:cs="仿宋_GB2312" w:hint="eastAsia"/>
              <w:sz w:val="32"/>
              <w:szCs w:val="32"/>
            </w:rPr>
            <w:fldChar w:fldCharType="end"/>
          </w:r>
        </w:p>
      </w:sdtContent>
    </w:sdt>
    <w:p w:rsidR="006E61F8" w:rsidRDefault="006E61F8">
      <w:pPr>
        <w:spacing w:line="560" w:lineRule="exact"/>
        <w:jc w:val="center"/>
        <w:rPr>
          <w:rFonts w:ascii="方正小标宋简体" w:eastAsia="方正小标宋简体"/>
          <w:sz w:val="36"/>
          <w:szCs w:val="36"/>
        </w:rPr>
        <w:sectPr w:rsidR="006E61F8">
          <w:footerReference w:type="default" r:id="rId7"/>
          <w:pgSz w:w="11906" w:h="16838"/>
          <w:pgMar w:top="1440" w:right="1800" w:bottom="1440" w:left="1800" w:header="851" w:footer="992" w:gutter="0"/>
          <w:pgNumType w:start="1"/>
          <w:cols w:space="425"/>
          <w:docGrid w:type="lines" w:linePitch="312"/>
        </w:sectPr>
      </w:pPr>
    </w:p>
    <w:p w:rsidR="006E61F8" w:rsidRDefault="005A60D9">
      <w:pPr>
        <w:spacing w:line="56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北京市重点站区管理委员会</w:t>
      </w:r>
    </w:p>
    <w:p w:rsidR="006E61F8" w:rsidRDefault="005A60D9">
      <w:pPr>
        <w:spacing w:line="560" w:lineRule="exact"/>
        <w:jc w:val="center"/>
        <w:rPr>
          <w:rFonts w:ascii="方正小标宋简体" w:eastAsia="方正小标宋简体"/>
          <w:sz w:val="36"/>
          <w:szCs w:val="36"/>
        </w:rPr>
      </w:pPr>
      <w:bookmarkStart w:id="1" w:name="_Toc4021"/>
      <w:bookmarkStart w:id="2" w:name="_Toc22521"/>
      <w:r>
        <w:rPr>
          <w:rFonts w:ascii="方正小标宋简体" w:eastAsia="方正小标宋简体" w:hint="eastAsia"/>
          <w:sz w:val="36"/>
          <w:szCs w:val="36"/>
        </w:rPr>
        <w:t>部门整体绩效评价报告</w:t>
      </w:r>
      <w:bookmarkEnd w:id="1"/>
      <w:bookmarkEnd w:id="2"/>
    </w:p>
    <w:p w:rsidR="006E61F8" w:rsidRDefault="006E61F8">
      <w:pPr>
        <w:spacing w:line="560" w:lineRule="exact"/>
        <w:jc w:val="center"/>
        <w:rPr>
          <w:rFonts w:ascii="方正小标宋简体" w:eastAsia="方正小标宋简体"/>
          <w:sz w:val="36"/>
          <w:szCs w:val="36"/>
        </w:rPr>
      </w:pPr>
    </w:p>
    <w:p w:rsidR="006E61F8" w:rsidRDefault="006E61F8">
      <w:pPr>
        <w:spacing w:line="600" w:lineRule="exact"/>
        <w:rPr>
          <w:rFonts w:ascii="黑体" w:eastAsia="黑体" w:hAnsi="黑体" w:cs="宋体"/>
          <w:color w:val="000000"/>
          <w:kern w:val="0"/>
          <w:sz w:val="32"/>
          <w:szCs w:val="32"/>
        </w:rPr>
      </w:pPr>
    </w:p>
    <w:p w:rsidR="006E61F8" w:rsidRDefault="005A60D9">
      <w:pPr>
        <w:spacing w:line="600" w:lineRule="exact"/>
        <w:ind w:firstLineChars="200" w:firstLine="640"/>
        <w:outlineLvl w:val="0"/>
        <w:rPr>
          <w:rFonts w:ascii="黑体" w:eastAsia="黑体" w:hAnsi="黑体" w:cs="宋体"/>
          <w:color w:val="000000"/>
          <w:kern w:val="0"/>
          <w:sz w:val="32"/>
          <w:szCs w:val="32"/>
        </w:rPr>
      </w:pPr>
      <w:bookmarkStart w:id="3" w:name="_Toc26693"/>
      <w:r>
        <w:rPr>
          <w:rFonts w:ascii="黑体" w:eastAsia="黑体" w:hAnsi="黑体" w:cs="宋体" w:hint="eastAsia"/>
          <w:color w:val="000000"/>
          <w:kern w:val="0"/>
          <w:sz w:val="32"/>
          <w:szCs w:val="32"/>
        </w:rPr>
        <w:t>一、部门概况</w:t>
      </w:r>
      <w:bookmarkEnd w:id="3"/>
    </w:p>
    <w:p w:rsidR="006E61F8" w:rsidRDefault="005A60D9">
      <w:pPr>
        <w:spacing w:line="600" w:lineRule="exact"/>
        <w:ind w:firstLineChars="200" w:firstLine="640"/>
        <w:outlineLvl w:val="1"/>
        <w:rPr>
          <w:rFonts w:ascii="楷体_GB2312" w:eastAsia="楷体_GB2312"/>
          <w:sz w:val="32"/>
          <w:szCs w:val="32"/>
        </w:rPr>
      </w:pPr>
      <w:bookmarkStart w:id="4" w:name="_Toc24074"/>
      <w:r>
        <w:rPr>
          <w:rFonts w:ascii="楷体_GB2312" w:eastAsia="楷体_GB2312" w:hint="eastAsia"/>
          <w:sz w:val="32"/>
          <w:szCs w:val="32"/>
        </w:rPr>
        <w:t>（一）机构设置及职责工作任务情况</w:t>
      </w:r>
      <w:bookmarkEnd w:id="4"/>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中共北京市委办公厅、北京市人民政府办公厅关于印发〈北京市重点站区管理委员会职能配置、内设机构和人员编制规定〉的通知》（京办字〔2020〕8号），设立北京市重点站区管理委员会，为市政府派出机构，统一负责组织协调本市重点站区的管理、服务工作，内设办公室、政策法规处、市政环境处、综合治理处、应急工作处、宣传处、财务处、人事处(离退休干部处)、北京站地区管理办公室、北京西站地区管理办公室、北京南站地区管理办公室、北京北站地区管理办公室、北京清河站地区管理办公室等13个职能处室和机关党委、纪委、工会；下属3个预算单位，分别为北京市重点站区管理委员会本级、北京市城市管理综合行政执法局重点站区分局和北京市重点站区综合事务中心。</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负责组织协调本市重点站区的社会治安、市场秩序、交通秩序、公共卫生、市政公用、精神文明建设等工作，拟定相关建设、管理、服务的规划、标准并组织实施；负责协调有关部门和单位做好本市重点站区的客运工作；负责本市重点站区出站系统管理和市容环卫工作，依据城市规划完善重点站区的服务设施；负责组织、协调、监督本市重</w:t>
      </w:r>
      <w:r>
        <w:rPr>
          <w:rFonts w:ascii="仿宋_GB2312" w:eastAsia="仿宋_GB2312" w:hAnsi="仿宋_GB2312" w:cs="仿宋_GB2312" w:hint="eastAsia"/>
          <w:sz w:val="32"/>
          <w:szCs w:val="32"/>
        </w:rPr>
        <w:lastRenderedPageBreak/>
        <w:t>点站区的安全生产工作，并承担相应的管理责任。负责机关及所属单位的安全工作，并承担相应的领导责任；负责对有关部门和单位在本市重点站区的日常管理和服务工作进行监督检查；参与本市重点站区的规划建设；完成市委、市政府交办的其他任务。</w:t>
      </w:r>
    </w:p>
    <w:p w:rsidR="006E61F8" w:rsidRDefault="005A60D9">
      <w:pPr>
        <w:spacing w:line="560" w:lineRule="exact"/>
        <w:ind w:firstLineChars="200" w:firstLine="640"/>
      </w:pPr>
      <w:r>
        <w:rPr>
          <w:rFonts w:ascii="仿宋_GB2312" w:eastAsia="仿宋_GB2312" w:hAnsi="宋体" w:cs="宋体" w:hint="eastAsia"/>
          <w:color w:val="000000"/>
          <w:kern w:val="0"/>
          <w:sz w:val="32"/>
          <w:szCs w:val="32"/>
        </w:rPr>
        <w:t>2021年度</w:t>
      </w:r>
      <w:r>
        <w:rPr>
          <w:rFonts w:ascii="仿宋_GB2312" w:eastAsia="仿宋_GB2312" w:hAnsi="仿宋_GB2312" w:cs="仿宋_GB2312" w:hint="eastAsia"/>
          <w:sz w:val="32"/>
          <w:szCs w:val="32"/>
        </w:rPr>
        <w:t>市重点站区管委会</w:t>
      </w:r>
      <w:r>
        <w:rPr>
          <w:rFonts w:ascii="仿宋_GB2312" w:eastAsia="仿宋_GB2312" w:hAnsi="宋体" w:cs="宋体" w:hint="eastAsia"/>
          <w:color w:val="000000"/>
          <w:kern w:val="0"/>
          <w:sz w:val="32"/>
          <w:szCs w:val="32"/>
        </w:rPr>
        <w:t>日常履职工作任务10项，具体情况如下：</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1.落实习近平总书记指示批示。</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2.常态化疫情防控。</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3.打造站城一体轨道交通“微中心”，建设第一批71个“微中心”，商业、商务、公共服务等公共功能用地面积占比达到30%，促进大枢纽站城融合和小站点一体化实施。</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4.实现地铁站、火车站、学校自动体外除颤器全覆盖，做好急救技能培训，提高市民自救互救能力。</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5.加快推进地铁站点、火车站地区AED配置，实现所有站点全覆盖；开展公众急救知识和技能培训。</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6.持续推进无障碍建设和管理。</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7.推进城市立体交通联动治理。</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8.“疏解整治促提升”专项行动（重点站区整治提升）。</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9.深入推进依法行政，加快实现基本建成法治政府。</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10.市委市政府其他重点工作</w:t>
      </w:r>
    </w:p>
    <w:p w:rsidR="006E61F8" w:rsidRDefault="005A60D9">
      <w:pPr>
        <w:spacing w:line="600" w:lineRule="exact"/>
        <w:ind w:firstLineChars="200" w:firstLine="640"/>
        <w:outlineLvl w:val="1"/>
        <w:rPr>
          <w:rFonts w:ascii="楷体_GB2312" w:eastAsia="楷体_GB2312"/>
          <w:sz w:val="32"/>
          <w:szCs w:val="32"/>
        </w:rPr>
      </w:pPr>
      <w:bookmarkStart w:id="5" w:name="_Toc10248"/>
      <w:r>
        <w:rPr>
          <w:rFonts w:ascii="楷体_GB2312" w:eastAsia="楷体_GB2312" w:hint="eastAsia"/>
          <w:sz w:val="32"/>
          <w:szCs w:val="32"/>
        </w:rPr>
        <w:t>（二）部门整体绩效目标设立情况</w:t>
      </w:r>
      <w:bookmarkEnd w:id="5"/>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市重点站区管委会根据部门工作职能和年度工作重点制定部门整体支出绩效目标，具体目标设定情况如下：</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1.切实加强社会秩序综合管理工作，保持地区安全稳定有序</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贯彻落实市委市政府关于城市管理综合行政执法工作的一系列文件精神，丰富完善地区综合行政执法协调运行机制，围绕地区中心工作抓好执法服务，加大对群众关心的热点和难点问题的综合整治力度；探索全时段管控工作机制，加强重点时期和重大活动的执法工作；全力抓好重点区域和重点违法行为的综合监管。</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2.扎实推进重点工程建设，全面提高西站地区运行管理水平</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加快完成重点站区管理模式的确立，理顺站区管理体制，切实提高管理服务水平；按照管辖“四至”范围和各部门区划职责，增加执勤力量，加强安全、维稳、城市建设与管理工作，固化前一阶段整治成果；增加硬件隔离、监控等物防技防投入，完善导向标识、出租车调度站等候区、自行车存放设施升级改造；落实好机构改革后所需经费的保障和支出工作。</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3.坚持巩固国家卫生区成果，着力打造靓丽窗口地区</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加强站区环境卫生监督和管理，按照增加清扫密度和做到时时保洁的工作标准，保持好干净整洁的站区卫生环境；积极做好“春、暑”运及全国“两会”等重点时期环境服务保障工作；严格落实站区扫雪铲冰工作方案和预案，确保雨雪天气地区道路通畅和旅客出行安全；加强垃圾分类宣传引导和规范运输管理工作；保证公厕设施完好和卫生干净整洁，</w:t>
      </w:r>
      <w:r>
        <w:rPr>
          <w:rFonts w:ascii="仿宋_GB2312" w:eastAsia="仿宋_GB2312" w:hAnsi="仿宋_GB2312" w:cs="仿宋_GB2312" w:hint="eastAsia"/>
          <w:sz w:val="32"/>
          <w:szCs w:val="32"/>
        </w:rPr>
        <w:lastRenderedPageBreak/>
        <w:t>为旅客提供良好的如厕环境。</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4.不断深化精神文明建设，全力提升地区整体文明形象</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充分发挥站区宣传载体作用，重点开展文明宣传和组织开展主题公益宣传，做好重大节日和重点时期的环境氛围布置工作；继续组织开展文明出行、垃圾分类主题公益宣传教育和实践活动；建立地区文明志愿者骨干队伍，加强春暑运等重点时期的专业引导和志愿者服务活动；组织开展文明大讲堂活动，积极营造站区文明和谐氛围。</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5.深入抓好管委会自身建设，努力建设旅客满意的服务型政府</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采取辅导讲座、理论知识要点答题等多种形式，紧密联系站区实际和党的群众路线教育实践活动取得的成果，推动学习贯彻走向深入，促进全会精神转化到实际工作中来；落实好党组理论学习中心组学习制度，加强效能监察工作。</w:t>
      </w:r>
    </w:p>
    <w:p w:rsidR="006E61F8" w:rsidRDefault="005A60D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市重点站区管委会部门整体绩效目标设定与部门工作重点相关，工作部门与部门工作任务相匹配，绩效目标设定比较合理。</w:t>
      </w:r>
    </w:p>
    <w:p w:rsidR="006E61F8" w:rsidRDefault="005A60D9">
      <w:pPr>
        <w:spacing w:line="600" w:lineRule="exact"/>
        <w:ind w:firstLineChars="200" w:firstLine="640"/>
        <w:outlineLvl w:val="0"/>
        <w:rPr>
          <w:rFonts w:ascii="黑体" w:eastAsia="黑体" w:hAnsi="黑体" w:cs="宋体"/>
          <w:color w:val="000000"/>
          <w:kern w:val="0"/>
          <w:sz w:val="32"/>
          <w:szCs w:val="32"/>
        </w:rPr>
      </w:pPr>
      <w:bookmarkStart w:id="6" w:name="_Toc21403"/>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bookmarkEnd w:id="6"/>
    </w:p>
    <w:p w:rsidR="006E61F8" w:rsidRDefault="005A60D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预算数46,512.26万元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Pr>
          <w:rFonts w:ascii="仿宋_GB2312" w:eastAsia="仿宋_GB2312" w:hAnsi="宋体" w:cs="宋体" w:hint="eastAsia"/>
          <w:color w:val="000000"/>
          <w:kern w:val="0"/>
          <w:sz w:val="32"/>
          <w:szCs w:val="32"/>
        </w:rPr>
        <w:t>14,877.31</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项目支出预算数31,634.95</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支出45,656.18</w:t>
      </w:r>
      <w:r>
        <w:rPr>
          <w:rFonts w:ascii="仿宋_GB2312" w:eastAsia="仿宋_GB2312" w:hAnsi="宋体" w:cs="宋体"/>
          <w:color w:val="000000"/>
          <w:kern w:val="0"/>
          <w:sz w:val="32"/>
          <w:szCs w:val="32"/>
        </w:rPr>
        <w:t>万元，其中，基本支出</w:t>
      </w:r>
      <w:r>
        <w:rPr>
          <w:rFonts w:ascii="仿宋_GB2312" w:eastAsia="仿宋_GB2312" w:hAnsi="宋体" w:cs="宋体" w:hint="eastAsia"/>
          <w:color w:val="000000"/>
          <w:kern w:val="0"/>
          <w:sz w:val="32"/>
          <w:szCs w:val="32"/>
        </w:rPr>
        <w:t>15,804.57</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支出29,851.61</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Pr>
          <w:rFonts w:ascii="仿宋_GB2312" w:eastAsia="仿宋_GB2312" w:hAnsi="宋体" w:cs="宋体" w:hint="eastAsia"/>
          <w:color w:val="000000"/>
          <w:kern w:val="0"/>
          <w:sz w:val="32"/>
          <w:szCs w:val="32"/>
        </w:rPr>
        <w:t>98.16%。</w:t>
      </w:r>
    </w:p>
    <w:p w:rsidR="006E61F8" w:rsidRDefault="005A60D9">
      <w:pPr>
        <w:spacing w:line="600" w:lineRule="exact"/>
        <w:ind w:leftChars="50" w:left="105" w:firstLineChars="150" w:firstLine="480"/>
        <w:outlineLvl w:val="0"/>
        <w:rPr>
          <w:rFonts w:ascii="黑体" w:eastAsia="黑体" w:hAnsi="黑体" w:cs="宋体"/>
          <w:color w:val="000000"/>
          <w:kern w:val="0"/>
          <w:sz w:val="32"/>
          <w:szCs w:val="32"/>
        </w:rPr>
      </w:pPr>
      <w:bookmarkStart w:id="7" w:name="_Toc20976"/>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bookmarkEnd w:id="7"/>
    </w:p>
    <w:p w:rsidR="006E61F8" w:rsidRDefault="005A60D9">
      <w:pPr>
        <w:spacing w:line="600" w:lineRule="exact"/>
        <w:ind w:leftChars="50" w:left="105" w:firstLineChars="150" w:firstLine="480"/>
        <w:outlineLvl w:val="1"/>
        <w:rPr>
          <w:rFonts w:ascii="楷体_GB2312" w:eastAsia="楷体_GB2312"/>
          <w:sz w:val="32"/>
          <w:szCs w:val="32"/>
        </w:rPr>
      </w:pPr>
      <w:bookmarkStart w:id="8" w:name="_Toc15033"/>
      <w:r>
        <w:rPr>
          <w:rFonts w:ascii="楷体_GB2312" w:eastAsia="楷体_GB2312" w:hint="eastAsia"/>
          <w:sz w:val="32"/>
          <w:szCs w:val="32"/>
        </w:rPr>
        <w:t>（一）产出完成情况分析</w:t>
      </w:r>
      <w:bookmarkEnd w:id="8"/>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1.产出数量</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该项指标分值10.00分，实际得分9.43分。市重点站区管委会2021年度申报预算项目7个，包含工作任务88项，其中83项工作任务按计划完成，实现了预期产出目标。具体分析如下：</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（1）市重点站区管委会积极学习贯彻习近平总书记指示批示。开展基层党组织日常党务工作活动，有效落实主题党日活动制度。</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完善站区常态化立体防控网，制定《关于加强重点火车站地区新冠肺炎疫情防控的若干措施》，压实“四方责任”，全面落实市委市政府疫情防控各项工作要求，定期监督检查疫情常态化防控工作落实情况，累计检查站内、外单位1.6万余家次，完成场站疫情监测哨点建设并开展环境采样2600余处。严格内部防控措施，推进疫苗接种，确保站区“零感染”。</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配合市规自委做好市区两级一体化工作专班工作，结合站区实际情况和配套需求，将站区需求提前与相关部门对接，建立有效沟通和协调机制。协调对接相关单位协同推进丰台站、副中心站及周边枢纽站城融合规划及建设，全力做好配合和对接大枢纽工作，推进朝阳站枢纽初步设计方案论证和优化；持续跟踪大枢纽站城融合进展及存在问题，对接黄土店枢纽方案及建设，协调推进、多方协调，与辖区政府做好对接；协助配合其他委办局，做好轨道微中心前期调</w:t>
      </w:r>
      <w:r>
        <w:rPr>
          <w:rFonts w:ascii="仿宋_GB2312" w:eastAsia="仿宋_GB2312" w:hAnsi="宋体" w:cs="宋体" w:hint="eastAsia"/>
          <w:color w:val="000000"/>
          <w:kern w:val="0"/>
          <w:sz w:val="32"/>
          <w:szCs w:val="32"/>
        </w:rPr>
        <w:lastRenderedPageBreak/>
        <w:t>研、规划及实施工作，不断促进站城一体化落地。</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按照相关部门要求，对各个站区体外除颤器现状进行摸底，选备AED点位并全部安装完成，做到每个站区都具备AED。加强与市卫健委等单位沟通协调，加强业务指导，陆续组织各站区工作人员开展培训，确保培训全覆盖。与新建站区建设单位加强沟通确保站区全覆盖，根据实际情况，在站区组织急救技能培训，提高市民自救互助能力。</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开展监测哨点建设，完成既有站区配套，委托核酸检测机构每月对6个站区进行环境采样，选取旅客频繁接触的30个重点点位开展环境采样，同时在春运、建党百年系列活动等重点时期前，并根据疫情防控形势需要，适时增加环境采样频次。重点时期根据实际情况增加环境采样，全年完成场站疫情监测哨点建设并开展环境采样2600余处。</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定期监督检查疫情常态化防控工作落实情况，今年以来共检查三类场所1.6万余家次、出租调度站3477次、出租车16716车次，执法公示94家次，提醒司机开窗通风4064车次，提醒乘客佩戴口罩12749人次。加强公共场所消杀，督促落实一米线、戴口罩、通风等防控措施，定期开展检查，做到防疫常态化。</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7）配合市专班开展现场调研，协调相关单位针对性解决所存在的问题。组织实施2021年重点站区无障碍设施专项改造工程,主要涉及4个站区，包括盲道改造、直梯、语音提示、标识等内容，已全部完工并投入使用。积极配合市</w:t>
      </w:r>
      <w:r>
        <w:rPr>
          <w:rFonts w:ascii="仿宋_GB2312" w:eastAsia="仿宋_GB2312" w:hAnsi="宋体" w:cs="宋体" w:hint="eastAsia"/>
          <w:color w:val="000000"/>
          <w:kern w:val="0"/>
          <w:sz w:val="32"/>
          <w:szCs w:val="32"/>
        </w:rPr>
        <w:lastRenderedPageBreak/>
        <w:t>交通委编写《北京2022年冬奥会和冬残奥会无障碍交通出行手册》，提供各火车站无障碍设施分布、交通流线、无障碍停车位数量及无障碍预约服务情况。无障碍预约服务已在重点站区网站预约服务专栏公示并开始使用。配合市交通委制定冬奥交通无障碍环境专项提升计划。组织专题会，协调相关单位不断优化新建站区无障碍设施配套，对接丰台站等推动枢纽无障碍设施方案优化及配合后续建设。</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8）按照《北京市“十四五”时期智慧城市发展行动纲要》、《北京智慧城市建设2021年重点工作任务》通知要求，管委会在推进城市立体交通联动治理任务中，承担着开展智慧站区管理建设，提升重点站区智能综合治理水平的任务。为完成该任务，管委会到各站区实地调研，收集智慧平台建设需求，并制定了《重点站区智慧平台建设方案》，以期实现重点站区全面感知、智能分析、实时调度、快速应急的“一屏统管”，提升混合交通管理模式下平行指挥效能。先后征求了有关部门意见，并进行修改完善。同时，管委会向市政府上报了《关于建设智慧管理平台的请示》，市领导要求市经信局补充论证与智慧城市建设技术要求的吻合情况。按照市领导批示精神和市经信局的反馈意见，制定了《智慧平台项目申报书》和《重点站区智慧城市规划》。</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（9）制定重点站区疏整促绩效任务书，明确责任部门、完成时限及时限目标等；组织市交通委、市国资委、东城区、祥龙公司等相关部门（单位）协调推进华通停车场北侧步道</w:t>
      </w:r>
      <w:r>
        <w:rPr>
          <w:rFonts w:ascii="仿宋_GB2312" w:eastAsia="仿宋_GB2312" w:hAnsi="宋体" w:cs="宋体" w:hint="eastAsia"/>
          <w:color w:val="000000"/>
          <w:kern w:val="0"/>
          <w:sz w:val="32"/>
          <w:szCs w:val="32"/>
        </w:rPr>
        <w:lastRenderedPageBreak/>
        <w:t>改造和站东街环境治理；组织管委会相关部门启动站东街（管委会管辖范围）环境治理工作，制定方案，并逐步推进实施。完成2021年疏整促台账任务，并做好月度汇报和协调工作，圆满完成工程如期投入使用。组织站区相关部门提前做好2022年疏整促计划和预期目标，并做好与市相关单位对接和协调工作。</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（10</w:t>
      </w:r>
      <w:r w:rsidR="00CF338B">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每季度至少一次检查，确保三项制度执行率随时符合规范标准。完成代为起草的市政府规范性文件报审工作。产生复议及行政诉讼工作时，按时，按要求完成对应工作。按照市推进依法行政工作领导小组下发的《2021年推进法治政府建设工作要点》，制定管委会《2021年推进法治政府建设工作要点》，并抓好落实。</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（11）市委市政府工作报告重点任务第264项、265项、266项、267项、272项、273项、274项、276项、277项、278项，及市重点站区管委会其他“三定”职责任务及市委市政府交办的其他重点工作均已完成。</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市重点站区管委会部门产出数量指标完成情况较好，但“宣传工作经费”、“法律顾问服务”、“综合执法运行保障经费”、“重点站区管理工作服务保障”、“LED、狗舍及库房租金”5项工作任务受客观因素影响未能完成全部预期产出数量目标。</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2.产出</w:t>
      </w:r>
      <w:r>
        <w:rPr>
          <w:rFonts w:ascii="仿宋_GB2312" w:eastAsia="仿宋_GB2312" w:hAnsi="宋体" w:cs="宋体"/>
          <w:color w:val="000000"/>
          <w:kern w:val="0"/>
          <w:sz w:val="32"/>
          <w:szCs w:val="32"/>
        </w:rPr>
        <w:t>质量</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该项指标分值10.00分，实际得分9.04分。市重点站区</w:t>
      </w:r>
      <w:r>
        <w:rPr>
          <w:rFonts w:ascii="仿宋_GB2312" w:eastAsia="仿宋_GB2312" w:hAnsi="宋体" w:cs="宋体" w:hint="eastAsia"/>
          <w:color w:val="000000"/>
          <w:kern w:val="0"/>
          <w:sz w:val="32"/>
          <w:szCs w:val="32"/>
        </w:rPr>
        <w:lastRenderedPageBreak/>
        <w:t>管委会2021年度计划实施项目7个，其中实际完成工作任务83项，其中质量达标项目75项。具体分析如下：</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重点站区管委会在项目执行过程中建立了项目日常监管办法，并严格按照单位管理制度执行，项目日常监督管理机制健全，执行严格。但个别项目的质量管理仍有提升空间。如：“综合治理工作综合经费”、“重点站区综合治理工作综合调研”、“市政环境日常经费”、“疫情防控物资”、“环境采样经费”、“重点站区环境建设规划”、“综合事务中心服务保障经费”等项目中有8项工作任务，存在实施过程中日常监督检查和监管记录不够完整的情况。</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3.产出</w:t>
      </w:r>
      <w:r>
        <w:rPr>
          <w:rFonts w:ascii="仿宋_GB2312" w:eastAsia="仿宋_GB2312" w:hAnsi="宋体" w:cs="宋体"/>
          <w:color w:val="000000"/>
          <w:kern w:val="0"/>
          <w:sz w:val="32"/>
          <w:szCs w:val="32"/>
        </w:rPr>
        <w:t>进度</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该项指标分值5.00分，实际得分5.00分。市重点站区管委会实际完成工作任务83项，已全部按计划进度完成。</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产出</w:t>
      </w:r>
      <w:r>
        <w:rPr>
          <w:rFonts w:ascii="仿宋_GB2312" w:eastAsia="仿宋_GB2312" w:hAnsi="宋体" w:cs="宋体"/>
          <w:color w:val="000000"/>
          <w:kern w:val="0"/>
          <w:sz w:val="32"/>
          <w:szCs w:val="32"/>
        </w:rPr>
        <w:t>成本</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该项指标分值5.00分，实际得分5.00分。市重点站区管委会2021年度压缩一般性公务开支，降低机关运行成本，部门公用经费控制情况较好。</w:t>
      </w:r>
    </w:p>
    <w:p w:rsidR="006E61F8" w:rsidRDefault="005A60D9">
      <w:pPr>
        <w:spacing w:line="600" w:lineRule="exact"/>
        <w:ind w:leftChars="50" w:left="105" w:firstLineChars="150" w:firstLine="480"/>
        <w:outlineLvl w:val="1"/>
        <w:rPr>
          <w:rFonts w:ascii="楷体_GB2312" w:eastAsia="楷体_GB2312"/>
          <w:sz w:val="32"/>
          <w:szCs w:val="32"/>
        </w:rPr>
      </w:pPr>
      <w:bookmarkStart w:id="9" w:name="_Toc24627"/>
      <w:r>
        <w:rPr>
          <w:rFonts w:ascii="楷体_GB2312" w:eastAsia="楷体_GB2312" w:hint="eastAsia"/>
          <w:sz w:val="32"/>
          <w:szCs w:val="32"/>
        </w:rPr>
        <w:t>（二）效果</w:t>
      </w:r>
      <w:r>
        <w:rPr>
          <w:rFonts w:ascii="楷体_GB2312" w:eastAsia="楷体_GB2312"/>
          <w:sz w:val="32"/>
          <w:szCs w:val="32"/>
        </w:rPr>
        <w:t>实现情况分析</w:t>
      </w:r>
      <w:bookmarkEnd w:id="9"/>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1.社会效益</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10.00分，实际得分8.00分。市重点站区管委会坚持以习近平新时代中国特色社会主义思想为指导，深入贯彻落实党的十九大和历次全会精神，按照中央和市委、市政府决策部署，紧扣“深化改革年”工作定位，在疫情防</w:t>
      </w:r>
      <w:r>
        <w:rPr>
          <w:rFonts w:ascii="仿宋_GB2312" w:eastAsia="仿宋_GB2312" w:hAnsi="宋体" w:cs="宋体" w:hint="eastAsia"/>
          <w:color w:val="000000"/>
          <w:kern w:val="0"/>
          <w:sz w:val="32"/>
          <w:szCs w:val="32"/>
        </w:rPr>
        <w:lastRenderedPageBreak/>
        <w:t>控、机构改革、重点保障任务等因素交错叠加的形势下，坚持以党史学习教育为引领，以服务保障“两件大事”为主线，以服务市民旅客出行为中心，努力提升政治站位、深化顶层设计、夯实安全基础、推进综合整治、打造窗口形象，坚决守住首都疫情防控关口，完成了重点站区机构改革整合任务，完善了以应急管理为代表的站区治理体系，各站区服务综合客流约3.8亿人次。具体社会效益如下：</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是圆满完成重点服务保障任务。顺利完成十九届六中全会、春暑运、全国“两会”、十一等152天重点时期保障任务，实现站区出行顺畅、安全稳定。全方位宣传冬奥、服务冬奥。有效把牢首都疫情防控陆路关口。</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二是深化治理体系改革，站区机构整合任务基本完成。研究起草《关于加强本市重点站区管理服务工作的意见》，提请市委深改委会议审核通过。内部运转制度体系逐步理顺。新站筹建接管工作稳步推进。法治政府建设有效落地。</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三是深化安全体系改革，站区安全基础得以巩固。完善应急管理体系。组建重点站区应急委，组织联合实战演练50余次，提高应急处置能力。完善重点站区平安北京建设组织体系，深化平安铁路沿线安全管理，开展铁路沿线空飘物等隐患排查；组织开展平安单位创建活动。搭建反恐组织体系，开展专项演练。建立重大决策社会稳定风险评估机制。</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四是深化站区综合整治，站区服务质量明显提升。推动火车站地区第三轮综合整治。北京站地区精细化智慧服务管</w:t>
      </w:r>
      <w:r>
        <w:rPr>
          <w:rFonts w:ascii="仿宋_GB2312" w:eastAsia="仿宋_GB2312" w:hAnsi="宋体" w:cs="宋体" w:hint="eastAsia"/>
          <w:color w:val="000000"/>
          <w:kern w:val="0"/>
          <w:sz w:val="32"/>
          <w:szCs w:val="32"/>
        </w:rPr>
        <w:lastRenderedPageBreak/>
        <w:t>理平台投入使用。做好“接诉即办”、推动主动治理“未诉先办”。净化站区秩序环境。积极优化人文服务，志愿服务引领文明风尚，组织志愿者1.85万人次、服务旅客102万余人次。完善新闻发布、宣传阵地管理等制度规范。</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五是深化全面从严治党，为站区治理奠定坚强政治保证。深入开展党史学习教育，压实全面从严治党主体责任。</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2.环境效益</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5.00分，实际得分4.00分。市重点站区管委会通过部门年度工作任务开展，有效保障旅客出行环境顺畅整洁。持续推进绿化美化、建筑立面、交通秩序等整体提升。推动垃圾分类，开展联合检查、检查单位1.27万家次，推进示范单位创建和非居民厨余垃圾计量收费管理。</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3.可持续</w:t>
      </w:r>
      <w:r>
        <w:rPr>
          <w:rFonts w:ascii="仿宋_GB2312" w:eastAsia="仿宋_GB2312" w:hAnsi="宋体" w:cs="宋体"/>
          <w:color w:val="000000"/>
          <w:kern w:val="0"/>
          <w:sz w:val="32"/>
          <w:szCs w:val="32"/>
        </w:rPr>
        <w:t>性影响</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10.00分，实际得分8.00分。市重点站区管委会重视顶层设计，制定发展规划和工作计划，推动站区服务能力持续提升。一是对照“十四五”期间上位规划，编制《北京市重点站区发展行动纲要(2021-2025年)》，持续推进了服务标准化建设，推动站区服务水平规范提升。二是积极推进疏解整治促提升，编制环境整治三年行动计划和户外广告控制性详细规划。</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4.服务对象</w:t>
      </w:r>
      <w:r>
        <w:rPr>
          <w:rFonts w:ascii="仿宋_GB2312" w:eastAsia="仿宋_GB2312" w:hAnsi="宋体" w:cs="宋体"/>
          <w:color w:val="000000"/>
          <w:kern w:val="0"/>
          <w:sz w:val="32"/>
          <w:szCs w:val="32"/>
        </w:rPr>
        <w:t>满意度</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该项指标分值5.00分，实际得分4.00分。2021年度共接到市12345热线中心派发群众诉求3432件。重点站区管</w:t>
      </w:r>
      <w:r>
        <w:rPr>
          <w:rFonts w:ascii="仿宋_GB2312" w:eastAsia="仿宋_GB2312" w:hAnsi="宋体" w:cs="宋体" w:hint="eastAsia"/>
          <w:color w:val="000000"/>
          <w:kern w:val="0"/>
          <w:sz w:val="32"/>
          <w:szCs w:val="32"/>
        </w:rPr>
        <w:lastRenderedPageBreak/>
        <w:t>委会承办群众诉求工单的“响应率”为99.74%，承办群众诉求工单的“解决率”为97.77%，承办群众诉求工单的“满意率”为98.61%。</w:t>
      </w:r>
    </w:p>
    <w:p w:rsidR="006E61F8" w:rsidRDefault="005A60D9">
      <w:pPr>
        <w:spacing w:line="600" w:lineRule="exact"/>
        <w:ind w:leftChars="50" w:left="105" w:firstLineChars="150" w:firstLine="480"/>
        <w:outlineLvl w:val="0"/>
        <w:rPr>
          <w:rFonts w:ascii="黑体" w:eastAsia="黑体" w:hAnsi="黑体" w:cs="宋体"/>
          <w:color w:val="000000"/>
          <w:kern w:val="0"/>
          <w:sz w:val="32"/>
          <w:szCs w:val="32"/>
        </w:rPr>
      </w:pPr>
      <w:bookmarkStart w:id="10" w:name="_Toc28342"/>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bookmarkEnd w:id="10"/>
    </w:p>
    <w:p w:rsidR="006E61F8" w:rsidRDefault="005A60D9">
      <w:pPr>
        <w:spacing w:line="600" w:lineRule="exact"/>
        <w:ind w:leftChars="50" w:left="105" w:firstLineChars="150" w:firstLine="480"/>
        <w:outlineLvl w:val="1"/>
        <w:rPr>
          <w:rFonts w:ascii="楷体_GB2312" w:eastAsia="楷体_GB2312"/>
          <w:sz w:val="32"/>
          <w:szCs w:val="32"/>
        </w:rPr>
      </w:pPr>
      <w:bookmarkStart w:id="11" w:name="_Toc11018"/>
      <w:r>
        <w:rPr>
          <w:rFonts w:ascii="楷体_GB2312" w:eastAsia="楷体_GB2312" w:hint="eastAsia"/>
          <w:sz w:val="32"/>
          <w:szCs w:val="32"/>
        </w:rPr>
        <w:t>（一）财务管理</w:t>
      </w:r>
      <w:bookmarkEnd w:id="11"/>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1.00分，实际得分1.00分。市重点站区管委会建立了《北京市重点站区管理委员会制度汇编》、《北京市重点站区综合事务中心制度汇编》、《北京市北京市城市管理综合行政执法局重点站区分局制度汇编》等管理制度文件，部门财务管理制度健全有效。</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2.资金使用合规性</w:t>
      </w:r>
      <w:r>
        <w:rPr>
          <w:rFonts w:ascii="仿宋_GB2312" w:eastAsia="仿宋_GB2312" w:hAnsi="宋体" w:cs="宋体"/>
          <w:color w:val="000000"/>
          <w:kern w:val="0"/>
          <w:sz w:val="32"/>
          <w:szCs w:val="32"/>
        </w:rPr>
        <w:t>和安全性</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2.00分，实际得分2.00分。市重点站区管委会资金使用符合国家财经法规和财务管理制度规定以及有关专项资金管理办法的规定；资金的拨付有完整的审批程序和手续；项目的重大开支经过评估论证；符合部门预算批复的用途；不存在截留、挤占、挪用情况；资金使用符合政府采购的程序和流程；资金使用符合公务卡结算相关制度和规定。</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会计</w:t>
      </w:r>
      <w:r>
        <w:rPr>
          <w:rFonts w:ascii="仿宋_GB2312" w:eastAsia="仿宋_GB2312" w:hAnsi="宋体" w:cs="宋体"/>
          <w:color w:val="000000"/>
          <w:kern w:val="0"/>
          <w:sz w:val="32"/>
          <w:szCs w:val="32"/>
        </w:rPr>
        <w:t>基础信息完善性</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该项指标分值1.00分，实际得分1.00分。部门基础数据信息和会计信息资料真实；基础数据信息和会计信息资料完整；基础数据信息和会计信息资料准确。</w:t>
      </w:r>
    </w:p>
    <w:p w:rsidR="006E61F8" w:rsidRDefault="005A60D9">
      <w:pPr>
        <w:spacing w:line="600" w:lineRule="exact"/>
        <w:ind w:leftChars="50" w:left="105" w:firstLineChars="150" w:firstLine="480"/>
        <w:outlineLvl w:val="1"/>
        <w:rPr>
          <w:rFonts w:ascii="楷体_GB2312" w:eastAsia="楷体_GB2312"/>
          <w:sz w:val="32"/>
          <w:szCs w:val="32"/>
        </w:rPr>
      </w:pPr>
      <w:bookmarkStart w:id="12" w:name="_Toc20585"/>
      <w:r>
        <w:rPr>
          <w:rFonts w:ascii="楷体_GB2312" w:eastAsia="楷体_GB2312" w:hint="eastAsia"/>
          <w:sz w:val="32"/>
          <w:szCs w:val="32"/>
        </w:rPr>
        <w:lastRenderedPageBreak/>
        <w:t>（二）资产管理</w:t>
      </w:r>
      <w:bookmarkEnd w:id="12"/>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4.00分，实际得分4.00分。部门未有因管理不当发生严重资产损失和丢失情况；不存在超标准配置资产；资产使用规范，不存在未经批准擅自出租、出借资产行为；资产处置规范，不存在不按要求进行报批或资产不公开处置行为。</w:t>
      </w:r>
    </w:p>
    <w:p w:rsidR="006E61F8" w:rsidRDefault="005A60D9">
      <w:pPr>
        <w:spacing w:line="600" w:lineRule="exact"/>
        <w:ind w:leftChars="50" w:left="105" w:firstLineChars="150" w:firstLine="480"/>
        <w:outlineLvl w:val="1"/>
        <w:rPr>
          <w:rFonts w:ascii="楷体_GB2312" w:eastAsia="楷体_GB2312"/>
          <w:sz w:val="32"/>
          <w:szCs w:val="32"/>
        </w:rPr>
      </w:pPr>
      <w:bookmarkStart w:id="13" w:name="_Toc23397"/>
      <w:r>
        <w:rPr>
          <w:rFonts w:ascii="楷体_GB2312" w:eastAsia="楷体_GB2312" w:hint="eastAsia"/>
          <w:sz w:val="32"/>
          <w:szCs w:val="32"/>
        </w:rPr>
        <w:t>（三）绩效</w:t>
      </w:r>
      <w:r>
        <w:rPr>
          <w:rFonts w:ascii="楷体_GB2312" w:eastAsia="楷体_GB2312"/>
          <w:sz w:val="32"/>
          <w:szCs w:val="32"/>
        </w:rPr>
        <w:t>管理</w:t>
      </w:r>
      <w:bookmarkEnd w:id="13"/>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4.00分，实际得分4.00分。市重点站区管委会建立了《北京市重点站区管理委员会2021绩效管理制度》、《北京市重点站区管理委员会2021年度绩效管理实施方案》、《北京市重点站区管理委员会2021年度绩效管理手册》，单位绩效管理制度健全。在年度预算执行过程中及时对绩效信息进行汇总分析整理；并在项目执行过程中及时开展中期运行监控工作，及时对偏离绩效目标项目进行纠正。</w:t>
      </w:r>
    </w:p>
    <w:p w:rsidR="006E61F8" w:rsidRDefault="005A60D9">
      <w:pPr>
        <w:spacing w:line="600" w:lineRule="exact"/>
        <w:ind w:leftChars="50" w:left="105" w:firstLineChars="150" w:firstLine="480"/>
        <w:outlineLvl w:val="1"/>
        <w:rPr>
          <w:rFonts w:ascii="楷体_GB2312" w:eastAsia="楷体_GB2312"/>
          <w:sz w:val="32"/>
          <w:szCs w:val="32"/>
        </w:rPr>
      </w:pPr>
      <w:bookmarkStart w:id="14" w:name="_Toc27286"/>
      <w:r>
        <w:rPr>
          <w:rFonts w:ascii="楷体_GB2312" w:eastAsia="楷体_GB2312" w:hint="eastAsia"/>
          <w:sz w:val="32"/>
          <w:szCs w:val="32"/>
        </w:rPr>
        <w:t>（四）结转结余率</w:t>
      </w:r>
      <w:bookmarkEnd w:id="14"/>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该项指标分值4.00分，实际得分4.00分。市重点站区管委会于2020年9月正式批复成立，无法参考部门上一年度结转结余情况，对2021年度部门结转结余情况进行评价，2021年度结转结余率为13.42%。</w:t>
      </w:r>
    </w:p>
    <w:p w:rsidR="006E61F8" w:rsidRDefault="005A60D9">
      <w:pPr>
        <w:spacing w:line="600" w:lineRule="exact"/>
        <w:ind w:leftChars="50" w:left="105" w:firstLineChars="150" w:firstLine="480"/>
        <w:outlineLvl w:val="1"/>
        <w:rPr>
          <w:rFonts w:ascii="楷体_GB2312" w:eastAsia="楷体_GB2312"/>
          <w:sz w:val="32"/>
          <w:szCs w:val="32"/>
        </w:rPr>
      </w:pPr>
      <w:bookmarkStart w:id="15" w:name="_Toc2122"/>
      <w:r>
        <w:rPr>
          <w:rFonts w:ascii="楷体_GB2312" w:eastAsia="楷体_GB2312" w:hint="eastAsia"/>
          <w:sz w:val="32"/>
          <w:szCs w:val="32"/>
        </w:rPr>
        <w:t>（五）部门</w:t>
      </w:r>
      <w:r>
        <w:rPr>
          <w:rFonts w:ascii="楷体_GB2312" w:eastAsia="楷体_GB2312"/>
          <w:sz w:val="32"/>
          <w:szCs w:val="32"/>
        </w:rPr>
        <w:t>预决算差异率</w:t>
      </w:r>
      <w:bookmarkEnd w:id="15"/>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该项指标分值4.00分，实际得分4.00分。2021年度，市重点站区管委2021年支出预算数46,512.26万元，支出</w:t>
      </w:r>
      <w:r>
        <w:rPr>
          <w:rFonts w:ascii="仿宋_GB2312" w:eastAsia="仿宋_GB2312" w:hAnsi="宋体" w:cs="宋体" w:hint="eastAsia"/>
          <w:color w:val="000000"/>
          <w:kern w:val="0"/>
          <w:sz w:val="32"/>
          <w:szCs w:val="32"/>
        </w:rPr>
        <w:lastRenderedPageBreak/>
        <w:t>决算数45,656.18万元，预决算差异金额856.09万元，预决算差异率为1.84%，低于北京市28.3%的平均水平。</w:t>
      </w:r>
    </w:p>
    <w:p w:rsidR="006E61F8" w:rsidRDefault="005A60D9">
      <w:pPr>
        <w:spacing w:line="600" w:lineRule="exact"/>
        <w:ind w:leftChars="50" w:left="105" w:firstLineChars="150" w:firstLine="480"/>
        <w:outlineLvl w:val="0"/>
        <w:rPr>
          <w:rFonts w:ascii="黑体" w:eastAsia="黑体" w:hAnsi="黑体"/>
          <w:sz w:val="32"/>
          <w:szCs w:val="32"/>
        </w:rPr>
      </w:pPr>
      <w:bookmarkStart w:id="16" w:name="_Toc31306"/>
      <w:r>
        <w:rPr>
          <w:rFonts w:ascii="黑体" w:eastAsia="黑体" w:hAnsi="黑体" w:hint="eastAsia"/>
          <w:sz w:val="32"/>
          <w:szCs w:val="32"/>
        </w:rPr>
        <w:t>五、总体</w:t>
      </w:r>
      <w:r>
        <w:rPr>
          <w:rFonts w:ascii="黑体" w:eastAsia="黑体" w:hAnsi="黑体"/>
          <w:sz w:val="32"/>
          <w:szCs w:val="32"/>
        </w:rPr>
        <w:t>评价结论</w:t>
      </w:r>
      <w:bookmarkEnd w:id="16"/>
    </w:p>
    <w:p w:rsidR="006E61F8" w:rsidRDefault="005A60D9">
      <w:pPr>
        <w:spacing w:line="600" w:lineRule="exact"/>
        <w:ind w:leftChars="50" w:left="105" w:firstLineChars="150" w:firstLine="480"/>
        <w:outlineLvl w:val="1"/>
        <w:rPr>
          <w:rFonts w:ascii="楷体_GB2312" w:eastAsia="楷体_GB2312"/>
          <w:sz w:val="32"/>
          <w:szCs w:val="32"/>
        </w:rPr>
      </w:pPr>
      <w:bookmarkStart w:id="17" w:name="_Toc31780"/>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bookmarkEnd w:id="17"/>
    </w:p>
    <w:p w:rsidR="006E61F8" w:rsidRDefault="005A60D9">
      <w:pPr>
        <w:spacing w:line="600" w:lineRule="exact"/>
        <w:ind w:leftChars="50" w:left="105" w:firstLineChars="150" w:firstLine="480"/>
        <w:rPr>
          <w:rFonts w:ascii="楷体_GB2312" w:eastAsia="楷体_GB2312"/>
          <w:sz w:val="32"/>
          <w:szCs w:val="32"/>
        </w:rPr>
      </w:pPr>
      <w:r>
        <w:rPr>
          <w:rFonts w:ascii="仿宋_GB2312" w:eastAsia="仿宋_GB2312" w:hAnsi="宋体" w:cs="宋体" w:hint="eastAsia"/>
          <w:color w:val="000000"/>
          <w:kern w:val="0"/>
          <w:sz w:val="32"/>
          <w:szCs w:val="32"/>
        </w:rPr>
        <w:t>北京市重点站区管理委员会2021年部门整体评价得分92.10分，其中当年预算执行情况得分19.63分，整体绩效目标实现情况得分52.47分，预算管理情况得分20.00分，部门整体评价等级为“优”。</w:t>
      </w:r>
    </w:p>
    <w:p w:rsidR="006E61F8" w:rsidRDefault="005A60D9">
      <w:pPr>
        <w:spacing w:line="600" w:lineRule="exact"/>
        <w:ind w:leftChars="50" w:left="105" w:firstLineChars="150" w:firstLine="480"/>
        <w:outlineLvl w:val="1"/>
        <w:rPr>
          <w:rFonts w:ascii="楷体_GB2312" w:eastAsia="楷体_GB2312"/>
          <w:sz w:val="32"/>
          <w:szCs w:val="32"/>
        </w:rPr>
      </w:pPr>
      <w:bookmarkStart w:id="18" w:name="_Toc887"/>
      <w:r>
        <w:rPr>
          <w:rFonts w:ascii="楷体_GB2312" w:eastAsia="楷体_GB2312" w:hint="eastAsia"/>
          <w:sz w:val="32"/>
          <w:szCs w:val="32"/>
        </w:rPr>
        <w:t>（二）存在的问题及原因分析</w:t>
      </w:r>
      <w:bookmarkEnd w:id="18"/>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1.部门整体支出绩效目标和项目支出绩效目标设定科学性仍有提升空间。项目支出绩效目标申报表个别指标填报不够明确，影响项目产出完成情况评价。</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2.项目实施过程中严谨性需持续提升，应进一步加强项目实施过程管理资料的收集及归纳。</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3.项目绩效成果展现不够充分。市重点站区管委会对于年度工作成果总结提炼不够及时，成果资料在绩效资料中呈现不足。</w:t>
      </w:r>
    </w:p>
    <w:p w:rsidR="006E61F8" w:rsidRDefault="005A60D9">
      <w:pPr>
        <w:spacing w:line="600" w:lineRule="exact"/>
        <w:ind w:firstLineChars="200" w:firstLine="640"/>
        <w:outlineLvl w:val="0"/>
        <w:rPr>
          <w:rFonts w:ascii="仿宋_GB2312" w:eastAsia="仿宋_GB2312" w:hAnsi="宋体" w:cs="宋体"/>
          <w:color w:val="000000"/>
          <w:kern w:val="0"/>
          <w:sz w:val="32"/>
          <w:szCs w:val="32"/>
        </w:rPr>
      </w:pPr>
      <w:bookmarkStart w:id="19" w:name="_Toc18828"/>
      <w:r>
        <w:rPr>
          <w:rFonts w:ascii="黑体" w:eastAsia="黑体" w:hAnsi="黑体" w:cs="宋体" w:hint="eastAsia"/>
          <w:color w:val="000000"/>
          <w:kern w:val="0"/>
          <w:sz w:val="32"/>
          <w:szCs w:val="32"/>
        </w:rPr>
        <w:t>六、措施建议</w:t>
      </w:r>
      <w:bookmarkEnd w:id="19"/>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（一）继续做好年度预算绩效评价工作，按照预算绩效评价要求，进一步认真总结分析绩效评价的有益做法和经验，结合绩效评价发现的问题，完善相关工作内容和程序。</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（二）协助指导项目单位加强绩效评价意识，加深对绩效评价工作的理解与认识。提高预算编制的科学性，对项目</w:t>
      </w:r>
      <w:r>
        <w:rPr>
          <w:rFonts w:ascii="仿宋_GB2312" w:eastAsia="仿宋_GB2312" w:hAnsi="宋体" w:cs="宋体" w:hint="eastAsia"/>
          <w:color w:val="000000"/>
          <w:kern w:val="0"/>
          <w:sz w:val="32"/>
          <w:szCs w:val="32"/>
        </w:rPr>
        <w:lastRenderedPageBreak/>
        <w:t>实施内容的预算支出进行精细化计算。科学填报绩效目标申报表，准确设定绩效指标，提升绩效目标设定可衡量性。</w:t>
      </w:r>
    </w:p>
    <w:p w:rsidR="006E61F8" w:rsidRDefault="005A60D9">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三）协助指导项目单位加强项目过程管理，及时提醒项目相关人员加强项目管理,控制项目风险,保证项目质量,将细节管理落实到项目实施的各个环节。特别是在项目实施过程中，注重项目管理以及成果资料的留存整理，为实现项目绩效目标提供有效支撑。</w:t>
      </w:r>
    </w:p>
    <w:p w:rsidR="006E61F8" w:rsidRDefault="006E61F8"/>
    <w:sectPr w:rsidR="006E61F8" w:rsidSect="006E61F8">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1D5" w:rsidRDefault="00B711D5" w:rsidP="006E61F8">
      <w:r>
        <w:separator/>
      </w:r>
    </w:p>
  </w:endnote>
  <w:endnote w:type="continuationSeparator" w:id="1">
    <w:p w:rsidR="00B711D5" w:rsidRDefault="00B711D5" w:rsidP="006E61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FBF89D53-D965-40DB-9E9B-D87B23840F2C}"/>
  </w:font>
  <w:font w:name="仿宋_GB2312">
    <w:panose1 w:val="02010609030101010101"/>
    <w:charset w:val="86"/>
    <w:family w:val="modern"/>
    <w:pitch w:val="fixed"/>
    <w:sig w:usb0="00000001" w:usb1="080E0000" w:usb2="00000010" w:usb3="00000000" w:csb0="00040000" w:csb1="00000000"/>
    <w:embedRegular r:id="rId2" w:subsetted="1" w:fontKey="{4DEACD40-851D-4038-AF95-1BF15349E50E}"/>
  </w:font>
  <w:font w:name="方正小标宋简体">
    <w:panose1 w:val="02010601030101010101"/>
    <w:charset w:val="86"/>
    <w:family w:val="auto"/>
    <w:pitch w:val="variable"/>
    <w:sig w:usb0="00000001" w:usb1="080E0000" w:usb2="00000010" w:usb3="00000000" w:csb0="00040000" w:csb1="00000000"/>
    <w:embedRegular r:id="rId3" w:subsetted="1" w:fontKey="{06ECD5CA-1B97-48E3-A296-A7571B8FC1BB}"/>
  </w:font>
  <w:font w:name="楷体_GB2312">
    <w:panose1 w:val="02010609030101010101"/>
    <w:charset w:val="86"/>
    <w:family w:val="modern"/>
    <w:pitch w:val="fixed"/>
    <w:sig w:usb0="00000001" w:usb1="080E0000" w:usb2="00000010" w:usb3="00000000" w:csb0="00040000" w:csb1="00000000"/>
    <w:embedRegular r:id="rId4" w:subsetted="1" w:fontKey="{D372E8A3-DFCB-434D-9703-F70CFF423E78}"/>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1F8" w:rsidRDefault="006E61F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1F8" w:rsidRDefault="00AB31F3">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6E61F8" w:rsidRDefault="00AB31F3">
                <w:pPr>
                  <w:pStyle w:val="a5"/>
                </w:pPr>
                <w:r>
                  <w:fldChar w:fldCharType="begin"/>
                </w:r>
                <w:r w:rsidR="005A60D9">
                  <w:instrText xml:space="preserve"> PAGE  \* MERGEFORMAT </w:instrText>
                </w:r>
                <w:r>
                  <w:fldChar w:fldCharType="separate"/>
                </w:r>
                <w:r w:rsidR="00EA7395">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1D5" w:rsidRDefault="00B711D5" w:rsidP="006E61F8">
      <w:r>
        <w:separator/>
      </w:r>
    </w:p>
  </w:footnote>
  <w:footnote w:type="continuationSeparator" w:id="1">
    <w:p w:rsidR="00B711D5" w:rsidRDefault="00B711D5" w:rsidP="006E61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2I5NGYxMGRkZmI2MWQ2MzMzMmExZTQ5ODAwMmUyZWQifQ=="/>
  </w:docVars>
  <w:rsids>
    <w:rsidRoot w:val="0031681F"/>
    <w:rsid w:val="000E30FD"/>
    <w:rsid w:val="00277DEE"/>
    <w:rsid w:val="0031681F"/>
    <w:rsid w:val="004B1EFD"/>
    <w:rsid w:val="005A60D9"/>
    <w:rsid w:val="006E61F8"/>
    <w:rsid w:val="007840E0"/>
    <w:rsid w:val="008862F8"/>
    <w:rsid w:val="00A81A87"/>
    <w:rsid w:val="00AB31F3"/>
    <w:rsid w:val="00B1781A"/>
    <w:rsid w:val="00B711D5"/>
    <w:rsid w:val="00CF338B"/>
    <w:rsid w:val="00EA5BA0"/>
    <w:rsid w:val="00EA7395"/>
    <w:rsid w:val="01175F16"/>
    <w:rsid w:val="012C1508"/>
    <w:rsid w:val="024047CD"/>
    <w:rsid w:val="03D25B79"/>
    <w:rsid w:val="040C4C3E"/>
    <w:rsid w:val="047A1114"/>
    <w:rsid w:val="056A1FCC"/>
    <w:rsid w:val="05863A26"/>
    <w:rsid w:val="07452A3A"/>
    <w:rsid w:val="096B3218"/>
    <w:rsid w:val="0FE5719E"/>
    <w:rsid w:val="11D01765"/>
    <w:rsid w:val="13264F2E"/>
    <w:rsid w:val="13AD35B4"/>
    <w:rsid w:val="15AE235B"/>
    <w:rsid w:val="168B10C2"/>
    <w:rsid w:val="16B15AA0"/>
    <w:rsid w:val="16BE5FBD"/>
    <w:rsid w:val="17B76D45"/>
    <w:rsid w:val="185B0D53"/>
    <w:rsid w:val="1997149E"/>
    <w:rsid w:val="1AEB0D31"/>
    <w:rsid w:val="1B041BC6"/>
    <w:rsid w:val="1E844445"/>
    <w:rsid w:val="20631369"/>
    <w:rsid w:val="23270D74"/>
    <w:rsid w:val="253432D4"/>
    <w:rsid w:val="261E020C"/>
    <w:rsid w:val="26FE3B9A"/>
    <w:rsid w:val="277001C4"/>
    <w:rsid w:val="282A78D1"/>
    <w:rsid w:val="294C4684"/>
    <w:rsid w:val="29535AA8"/>
    <w:rsid w:val="297D6E28"/>
    <w:rsid w:val="29932436"/>
    <w:rsid w:val="2ADC0C80"/>
    <w:rsid w:val="2B3202B6"/>
    <w:rsid w:val="2B461EE9"/>
    <w:rsid w:val="3075265F"/>
    <w:rsid w:val="30EE0170"/>
    <w:rsid w:val="3122506D"/>
    <w:rsid w:val="31336B36"/>
    <w:rsid w:val="31DE3A9E"/>
    <w:rsid w:val="33362F81"/>
    <w:rsid w:val="349472EA"/>
    <w:rsid w:val="3810124E"/>
    <w:rsid w:val="38247742"/>
    <w:rsid w:val="38C74734"/>
    <w:rsid w:val="3AA156F3"/>
    <w:rsid w:val="3AF9494C"/>
    <w:rsid w:val="3E611186"/>
    <w:rsid w:val="3FC24CAB"/>
    <w:rsid w:val="43BB117D"/>
    <w:rsid w:val="48FA020D"/>
    <w:rsid w:val="49251803"/>
    <w:rsid w:val="4DBC3CE3"/>
    <w:rsid w:val="4E3C1596"/>
    <w:rsid w:val="4ECA3178"/>
    <w:rsid w:val="519563CB"/>
    <w:rsid w:val="524349D3"/>
    <w:rsid w:val="53474416"/>
    <w:rsid w:val="537742C5"/>
    <w:rsid w:val="564C575A"/>
    <w:rsid w:val="595C16D5"/>
    <w:rsid w:val="595D52E9"/>
    <w:rsid w:val="5A3E31F1"/>
    <w:rsid w:val="5B0605EA"/>
    <w:rsid w:val="5C693288"/>
    <w:rsid w:val="5CA63460"/>
    <w:rsid w:val="5DB34F59"/>
    <w:rsid w:val="5DFA4633"/>
    <w:rsid w:val="5F4607D7"/>
    <w:rsid w:val="5F942323"/>
    <w:rsid w:val="60801015"/>
    <w:rsid w:val="60E4175B"/>
    <w:rsid w:val="6197060F"/>
    <w:rsid w:val="61AE19CB"/>
    <w:rsid w:val="61E04F3C"/>
    <w:rsid w:val="61ED1051"/>
    <w:rsid w:val="620946D9"/>
    <w:rsid w:val="634F746F"/>
    <w:rsid w:val="645A6E6C"/>
    <w:rsid w:val="65BE0F69"/>
    <w:rsid w:val="65F8243B"/>
    <w:rsid w:val="67917600"/>
    <w:rsid w:val="685968A7"/>
    <w:rsid w:val="68961AA0"/>
    <w:rsid w:val="689664C7"/>
    <w:rsid w:val="69BE6932"/>
    <w:rsid w:val="69E46644"/>
    <w:rsid w:val="6ACC2515"/>
    <w:rsid w:val="6ADC309B"/>
    <w:rsid w:val="6F23304B"/>
    <w:rsid w:val="708717DA"/>
    <w:rsid w:val="72F148F0"/>
    <w:rsid w:val="740521B9"/>
    <w:rsid w:val="79CB027A"/>
    <w:rsid w:val="7A9F67D4"/>
    <w:rsid w:val="7B161D54"/>
    <w:rsid w:val="7B5B40B2"/>
    <w:rsid w:val="7C266648"/>
    <w:rsid w:val="7CB579CC"/>
    <w:rsid w:val="7DB70CEA"/>
    <w:rsid w:val="7E834D79"/>
    <w:rsid w:val="7F2B0A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61F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6E61F8"/>
    <w:pPr>
      <w:jc w:val="left"/>
    </w:pPr>
  </w:style>
  <w:style w:type="paragraph" w:styleId="a4">
    <w:name w:val="Balloon Text"/>
    <w:basedOn w:val="a"/>
    <w:link w:val="Char"/>
    <w:rsid w:val="006E61F8"/>
    <w:rPr>
      <w:sz w:val="18"/>
      <w:szCs w:val="18"/>
    </w:rPr>
  </w:style>
  <w:style w:type="paragraph" w:styleId="a5">
    <w:name w:val="footer"/>
    <w:basedOn w:val="a"/>
    <w:qFormat/>
    <w:rsid w:val="006E61F8"/>
    <w:pPr>
      <w:tabs>
        <w:tab w:val="center" w:pos="4153"/>
        <w:tab w:val="right" w:pos="8306"/>
      </w:tabs>
      <w:snapToGrid w:val="0"/>
      <w:jc w:val="left"/>
    </w:pPr>
    <w:rPr>
      <w:sz w:val="18"/>
    </w:rPr>
  </w:style>
  <w:style w:type="paragraph" w:styleId="a6">
    <w:name w:val="header"/>
    <w:basedOn w:val="a"/>
    <w:qFormat/>
    <w:rsid w:val="006E61F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6E61F8"/>
  </w:style>
  <w:style w:type="paragraph" w:styleId="2">
    <w:name w:val="toc 2"/>
    <w:basedOn w:val="a"/>
    <w:next w:val="a"/>
    <w:qFormat/>
    <w:rsid w:val="006E61F8"/>
    <w:pPr>
      <w:ind w:leftChars="200" w:left="420"/>
    </w:pPr>
  </w:style>
  <w:style w:type="character" w:customStyle="1" w:styleId="Char">
    <w:name w:val="批注框文本 Char"/>
    <w:basedOn w:val="a0"/>
    <w:link w:val="a4"/>
    <w:qFormat/>
    <w:rsid w:val="006E61F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1286</Words>
  <Characters>7333</Characters>
  <Application>Microsoft Office Word</Application>
  <DocSecurity>0</DocSecurity>
  <Lines>61</Lines>
  <Paragraphs>17</Paragraphs>
  <ScaleCrop>false</ScaleCrop>
  <Company>Lenovo</Company>
  <LinksUpToDate>false</LinksUpToDate>
  <CharactersWithSpaces>8602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cp:lastModifiedBy>
  <cp:revision>7</cp:revision>
  <dcterms:created xsi:type="dcterms:W3CDTF">2022-04-29T05:38:00Z</dcterms:created>
  <dcterms:modified xsi:type="dcterms:W3CDTF">2022-08-25T01:19:00Z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042CB84839B94340862819A61AF4B677</vt:lpwstr>
  </property>
</Properties>
</file>