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atLeast"/>
        <w:ind w:firstLine="0" w:firstLineChars="0"/>
        <w:jc w:val="center"/>
        <w:outlineLvl w:val="9"/>
        <w:rPr>
          <w:rFonts w:hint="default" w:ascii="Times New Roman" w:hAnsi="Times New Roman" w:cs="Times New Roman"/>
          <w:b/>
          <w:bCs/>
          <w:sz w:val="52"/>
          <w:szCs w:val="52"/>
        </w:rPr>
      </w:pPr>
      <w:bookmarkStart w:id="0" w:name="_Toc13506"/>
      <w:bookmarkStart w:id="1" w:name="_Toc14173"/>
      <w:bookmarkStart w:id="2" w:name="_Toc410210433"/>
    </w:p>
    <w:p>
      <w:pPr>
        <w:pStyle w:val="7"/>
        <w:rPr>
          <w:rFonts w:hint="default"/>
        </w:rPr>
      </w:pPr>
    </w:p>
    <w:p>
      <w:pPr>
        <w:spacing w:line="400" w:lineRule="atLeast"/>
        <w:ind w:firstLine="0" w:firstLineChars="0"/>
        <w:jc w:val="center"/>
        <w:outlineLvl w:val="9"/>
        <w:rPr>
          <w:rFonts w:ascii="Times New Roman" w:hAnsi="Times New Roman" w:eastAsia="方正小标宋_GBK" w:cs="Times New Roman"/>
          <w:b/>
          <w:bCs/>
          <w:sz w:val="44"/>
          <w:szCs w:val="44"/>
        </w:rPr>
      </w:pPr>
    </w:p>
    <w:p>
      <w:pPr>
        <w:spacing w:line="400" w:lineRule="atLeast"/>
        <w:ind w:firstLine="0" w:firstLineChars="0"/>
        <w:jc w:val="center"/>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北京市项目支出绩效评价报告</w:t>
      </w:r>
    </w:p>
    <w:p>
      <w:pPr>
        <w:spacing w:line="400" w:lineRule="atLeast"/>
        <w:ind w:firstLine="640"/>
        <w:rPr>
          <w:rFonts w:ascii="Times New Roman" w:hAnsi="Times New Roman" w:eastAsia="仿宋_GB2312" w:cs="Times New Roman"/>
          <w:sz w:val="32"/>
          <w:szCs w:val="32"/>
          <w:highlight w:val="yellow"/>
        </w:rPr>
      </w:pPr>
    </w:p>
    <w:p>
      <w:pPr>
        <w:spacing w:line="400" w:lineRule="atLeast"/>
        <w:ind w:firstLine="0" w:firstLineChars="0"/>
        <w:rPr>
          <w:rFonts w:ascii="Times New Roman" w:hAnsi="Times New Roman" w:eastAsia="仿宋_GB2312" w:cs="Times New Roman"/>
          <w:sz w:val="32"/>
          <w:szCs w:val="32"/>
          <w:highlight w:val="yellow"/>
        </w:rPr>
      </w:pPr>
    </w:p>
    <w:p>
      <w:pPr>
        <w:spacing w:line="400" w:lineRule="atLeast"/>
        <w:ind w:firstLine="640"/>
        <w:rPr>
          <w:rFonts w:ascii="Times New Roman" w:hAnsi="Times New Roman" w:eastAsia="仿宋_GB2312" w:cs="Times New Roman"/>
          <w:sz w:val="32"/>
          <w:szCs w:val="32"/>
          <w:highlight w:val="yellow"/>
        </w:rPr>
      </w:pPr>
    </w:p>
    <w:p>
      <w:pPr>
        <w:spacing w:line="400" w:lineRule="atLeast"/>
        <w:ind w:firstLine="640"/>
        <w:rPr>
          <w:rFonts w:ascii="Times New Roman" w:hAnsi="Times New Roman" w:eastAsia="仿宋_GB2312" w:cs="Times New Roman"/>
          <w:sz w:val="32"/>
          <w:szCs w:val="32"/>
          <w:highlight w:val="yellow"/>
        </w:rPr>
      </w:pPr>
    </w:p>
    <w:p>
      <w:pPr>
        <w:spacing w:line="400" w:lineRule="atLeast"/>
        <w:ind w:firstLine="640"/>
        <w:rPr>
          <w:rFonts w:hint="default" w:ascii="Times New Roman" w:hAnsi="Times New Roman" w:eastAsia="仿宋_GB2312" w:cs="Times New Roman"/>
          <w:sz w:val="32"/>
          <w:szCs w:val="32"/>
          <w:highlight w:val="yellow"/>
        </w:rPr>
      </w:pPr>
    </w:p>
    <w:p>
      <w:pPr>
        <w:spacing w:line="600" w:lineRule="auto"/>
        <w:ind w:left="1363" w:leftChars="300" w:right="564" w:rightChars="235" w:hanging="643" w:hangingChars="200"/>
        <w:jc w:val="left"/>
        <w:rPr>
          <w:rFonts w:ascii="Times New Roman" w:hAnsi="Times New Roman" w:eastAsia="仿宋_GB2312" w:cs="Times New Roman"/>
          <w:sz w:val="32"/>
          <w:szCs w:val="32"/>
          <w:u w:val="single"/>
        </w:rPr>
      </w:pPr>
      <w:r>
        <w:rPr>
          <w:rFonts w:hint="default" w:ascii="Times New Roman" w:hAnsi="Times New Roman" w:eastAsia="仿宋_GB2312" w:cs="Times New Roman"/>
          <w:b/>
          <w:sz w:val="32"/>
          <w:szCs w:val="32"/>
        </w:rPr>
        <w:t>项目名称</w:t>
      </w:r>
      <w:r>
        <w:rPr>
          <w:rFonts w:ascii="Times New Roman" w:hAnsi="Times New Roman" w:eastAsia="仿宋_GB2312" w:cs="Times New Roman"/>
          <w:b/>
          <w:sz w:val="32"/>
          <w:szCs w:val="32"/>
        </w:rPr>
        <w:t>：</w:t>
      </w:r>
      <w:r>
        <w:rPr>
          <w:rFonts w:hint="eastAsia"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u w:val="single"/>
        </w:rPr>
        <w:t xml:space="preserve">预审计服务 </w:t>
      </w:r>
      <w:r>
        <w:rPr>
          <w:rFonts w:ascii="Times New Roman" w:hAnsi="Times New Roman" w:eastAsia="仿宋_GB2312" w:cs="Times New Roman"/>
          <w:sz w:val="32"/>
          <w:szCs w:val="32"/>
          <w:u w:val="single"/>
        </w:rPr>
        <w:t xml:space="preserve">          </w:t>
      </w:r>
    </w:p>
    <w:p>
      <w:pPr>
        <w:spacing w:line="600" w:lineRule="auto"/>
        <w:ind w:firstLine="707" w:firstLineChars="220"/>
        <w:rPr>
          <w:rFonts w:ascii="Times New Roman" w:hAnsi="Times New Roman" w:eastAsia="仿宋_GB2312" w:cs="Times New Roman"/>
          <w:sz w:val="32"/>
          <w:szCs w:val="32"/>
          <w:u w:val="single"/>
        </w:rPr>
      </w:pPr>
      <w:r>
        <w:rPr>
          <w:rFonts w:hint="default" w:ascii="Times New Roman" w:hAnsi="Times New Roman" w:eastAsia="仿宋_GB2312" w:cs="Times New Roman"/>
          <w:b/>
          <w:sz w:val="32"/>
          <w:szCs w:val="32"/>
        </w:rPr>
        <w:t>实施部门</w:t>
      </w:r>
      <w:r>
        <w:rPr>
          <w:rFonts w:ascii="Times New Roman" w:hAnsi="Times New Roman" w:eastAsia="仿宋_GB2312" w:cs="Times New Roman"/>
          <w:b/>
          <w:sz w:val="32"/>
          <w:szCs w:val="32"/>
        </w:rPr>
        <w:t>：</w:t>
      </w:r>
      <w:r>
        <w:rPr>
          <w:rFonts w:hint="default" w:ascii="Times New Roman" w:hAnsi="Times New Roman" w:eastAsia="仿宋_GB2312" w:cs="Times New Roman"/>
          <w:sz w:val="32"/>
          <w:szCs w:val="32"/>
          <w:u w:val="single"/>
        </w:rPr>
        <w:t>北京城市副中心工程建设管理办公室</w:t>
      </w:r>
    </w:p>
    <w:p>
      <w:pPr>
        <w:spacing w:line="600" w:lineRule="auto"/>
        <w:ind w:firstLine="2304" w:firstLineChars="720"/>
        <w:rPr>
          <w:rFonts w:ascii="Times New Roman" w:hAnsi="Times New Roman" w:eastAsia="仿宋_GB2312" w:cs="Times New Roman"/>
          <w:sz w:val="32"/>
          <w:szCs w:val="32"/>
          <w:u w:val="single"/>
        </w:rPr>
      </w:pPr>
      <w:r>
        <w:rPr>
          <w:rFonts w:hint="eastAsia"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u w:val="single"/>
        </w:rPr>
        <w:t xml:space="preserve">财务审计部 </w:t>
      </w:r>
      <w:r>
        <w:rPr>
          <w:rFonts w:ascii="Times New Roman" w:hAnsi="Times New Roman" w:eastAsia="仿宋_GB2312" w:cs="Times New Roman"/>
          <w:sz w:val="32"/>
          <w:szCs w:val="32"/>
          <w:u w:val="single"/>
        </w:rPr>
        <w:t xml:space="preserve">          </w:t>
      </w:r>
    </w:p>
    <w:p>
      <w:pPr>
        <w:spacing w:line="500" w:lineRule="exact"/>
        <w:ind w:firstLine="0" w:firstLineChars="0"/>
        <w:jc w:val="left"/>
        <w:rPr>
          <w:rFonts w:ascii="Times New Roman" w:hAnsi="Times New Roman" w:eastAsia="仿宋_GB2312" w:cs="Times New Roman"/>
          <w:sz w:val="32"/>
          <w:szCs w:val="32"/>
          <w:highlight w:val="yellow"/>
          <w:u w:val="single"/>
        </w:rPr>
      </w:pPr>
    </w:p>
    <w:p>
      <w:pPr>
        <w:spacing w:line="500" w:lineRule="exact"/>
        <w:ind w:firstLine="0" w:firstLineChars="0"/>
        <w:jc w:val="left"/>
        <w:rPr>
          <w:rFonts w:hint="default" w:ascii="Times New Roman" w:hAnsi="Times New Roman" w:eastAsia="仿宋_GB2312" w:cs="Times New Roman"/>
          <w:sz w:val="32"/>
          <w:szCs w:val="32"/>
          <w:highlight w:val="yellow"/>
          <w:u w:val="single"/>
        </w:rPr>
      </w:pPr>
    </w:p>
    <w:p>
      <w:pPr>
        <w:snapToGrid w:val="0"/>
        <w:spacing w:line="360" w:lineRule="auto"/>
        <w:ind w:firstLine="0" w:firstLineChars="0"/>
        <w:jc w:val="center"/>
        <w:rPr>
          <w:rFonts w:hint="default" w:ascii="Times New Roman" w:hAnsi="Times New Roman" w:eastAsia="黑体" w:cs="Times New Roman"/>
          <w:b/>
          <w:sz w:val="32"/>
          <w:szCs w:val="32"/>
        </w:rPr>
      </w:pPr>
      <w:bookmarkStart w:id="3" w:name="_Hlk71569008"/>
    </w:p>
    <w:p>
      <w:pPr>
        <w:snapToGrid w:val="0"/>
        <w:spacing w:line="360" w:lineRule="auto"/>
        <w:ind w:firstLine="0" w:firstLineChars="0"/>
        <w:jc w:val="center"/>
        <w:rPr>
          <w:rFonts w:hint="default" w:ascii="Times New Roman" w:hAnsi="Times New Roman" w:eastAsia="黑体" w:cs="Times New Roman"/>
          <w:b/>
          <w:sz w:val="32"/>
          <w:szCs w:val="32"/>
        </w:rPr>
      </w:pPr>
    </w:p>
    <w:p>
      <w:pPr>
        <w:snapToGrid w:val="0"/>
        <w:spacing w:line="360" w:lineRule="auto"/>
        <w:ind w:firstLine="0" w:firstLineChars="0"/>
        <w:jc w:val="center"/>
        <w:rPr>
          <w:rFonts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北京城市副中心工程建设管理办公室</w:t>
      </w:r>
    </w:p>
    <w:bookmarkEnd w:id="3"/>
    <w:p>
      <w:pPr>
        <w:snapToGrid w:val="0"/>
        <w:spacing w:line="360" w:lineRule="auto"/>
        <w:ind w:firstLine="0" w:firstLineChars="0"/>
        <w:jc w:val="center"/>
        <w:rPr>
          <w:rFonts w:ascii="Times New Roman" w:hAnsi="Times New Roman" w:eastAsia="黑体" w:cs="Times New Roman"/>
          <w:b w:val="0"/>
          <w:bCs/>
          <w:sz w:val="32"/>
          <w:szCs w:val="32"/>
        </w:rPr>
      </w:pPr>
    </w:p>
    <w:p>
      <w:pPr>
        <w:snapToGrid w:val="0"/>
        <w:spacing w:line="360" w:lineRule="auto"/>
        <w:ind w:firstLine="0" w:firstLineChars="0"/>
        <w:jc w:val="center"/>
        <w:rPr>
          <w:rFonts w:ascii="Times New Roman" w:hAnsi="Times New Roman" w:eastAsia="黑体" w:cs="Times New Roman"/>
          <w:b w:val="0"/>
          <w:bCs/>
          <w:sz w:val="32"/>
          <w:szCs w:val="32"/>
        </w:rPr>
      </w:pPr>
      <w:r>
        <w:rPr>
          <w:rFonts w:ascii="Times New Roman" w:hAnsi="Times New Roman" w:eastAsia="黑体" w:cs="Times New Roman"/>
          <w:b w:val="0"/>
          <w:bCs/>
          <w:sz w:val="32"/>
          <w:szCs w:val="32"/>
        </w:rPr>
        <w:t>202</w:t>
      </w:r>
      <w:r>
        <w:rPr>
          <w:rFonts w:hint="default" w:ascii="Times New Roman" w:hAnsi="Times New Roman" w:eastAsia="黑体" w:cs="Times New Roman"/>
          <w:b w:val="0"/>
          <w:bCs/>
          <w:sz w:val="32"/>
          <w:szCs w:val="32"/>
          <w:lang w:val="en-US" w:eastAsia="zh-CN"/>
        </w:rPr>
        <w:t>2</w:t>
      </w:r>
      <w:r>
        <w:rPr>
          <w:rFonts w:ascii="Times New Roman" w:hAnsi="Times New Roman" w:eastAsia="黑体" w:cs="Times New Roman"/>
          <w:b w:val="0"/>
          <w:bCs/>
          <w:sz w:val="32"/>
          <w:szCs w:val="32"/>
        </w:rPr>
        <w:t>年5月</w:t>
      </w:r>
      <w:bookmarkEnd w:id="0"/>
      <w:bookmarkEnd w:id="1"/>
      <w:bookmarkEnd w:id="2"/>
      <w:bookmarkStart w:id="4" w:name="_Hlk68002075"/>
      <w:bookmarkStart w:id="5" w:name="_Hlk67994668"/>
    </w:p>
    <w:bookmarkEnd w:id="4"/>
    <w:p>
      <w:pPr>
        <w:snapToGrid w:val="0"/>
        <w:spacing w:line="360" w:lineRule="auto"/>
        <w:ind w:firstLine="0" w:firstLineChars="0"/>
        <w:jc w:val="center"/>
        <w:rPr>
          <w:rFonts w:hint="default" w:ascii="Times New Roman" w:hAnsi="Times New Roman" w:eastAsia="方正小标宋_GBK" w:cs="Times New Roman"/>
          <w:bCs/>
          <w:sz w:val="36"/>
          <w:szCs w:val="36"/>
        </w:rPr>
        <w:sectPr>
          <w:headerReference r:id="rId5" w:type="default"/>
          <w:footerReference r:id="rId6" w:type="default"/>
          <w:pgSz w:w="11906" w:h="16838"/>
          <w:pgMar w:top="1701" w:right="1701" w:bottom="1701" w:left="1701" w:header="851" w:footer="992" w:gutter="0"/>
          <w:pgNumType w:start="1"/>
          <w:cols w:space="720" w:num="1"/>
          <w:docGrid w:type="lines" w:linePitch="327" w:charSpace="0"/>
        </w:sect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北京城市副中心工程建设管理办公室</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sz w:val="36"/>
          <w:szCs w:val="36"/>
        </w:rPr>
        <w:t>“预审计服务”项目</w:t>
      </w:r>
      <w:bookmarkEnd w:id="5"/>
      <w:r>
        <w:rPr>
          <w:rFonts w:hint="eastAsia" w:ascii="方正小标宋简体" w:hAnsi="方正小标宋简体" w:eastAsia="方正小标宋简体" w:cs="方正小标宋简体"/>
          <w:sz w:val="36"/>
          <w:szCs w:val="36"/>
        </w:rPr>
        <w:t>支出绩效评价结论</w:t>
      </w:r>
    </w:p>
    <w:p>
      <w:pPr>
        <w:spacing w:line="600" w:lineRule="exact"/>
        <w:ind w:firstLine="0" w:firstLineChars="0"/>
        <w:jc w:val="center"/>
        <w:rPr>
          <w:rFonts w:ascii="Times New Roman" w:hAnsi="Times New Roman" w:cs="Times New Roman"/>
          <w:b/>
          <w:bCs/>
          <w:sz w:val="36"/>
          <w:szCs w:val="36"/>
          <w:highlight w:val="yellow"/>
        </w:rPr>
      </w:pP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caps/>
          <w:sz w:val="32"/>
          <w:szCs w:val="32"/>
          <w:highlight w:val="none"/>
        </w:rPr>
      </w:pPr>
      <w:bookmarkStart w:id="6" w:name="_Hlk71567303"/>
      <w:r>
        <w:rPr>
          <w:rFonts w:hint="eastAsia" w:ascii="仿宋_GB2312" w:hAnsi="仿宋_GB2312" w:eastAsia="仿宋_GB2312" w:cs="仿宋_GB2312"/>
          <w:bCs/>
          <w:sz w:val="32"/>
          <w:szCs w:val="32"/>
          <w:highlight w:val="none"/>
        </w:rPr>
        <w:t>北京城市副中心工程建设管理办公室</w:t>
      </w:r>
      <w:bookmarkEnd w:id="6"/>
      <w:r>
        <w:rPr>
          <w:rFonts w:hint="eastAsia" w:ascii="仿宋_GB2312" w:hAnsi="仿宋_GB2312" w:eastAsia="仿宋_GB2312" w:cs="仿宋_GB2312"/>
          <w:bCs/>
          <w:sz w:val="32"/>
          <w:szCs w:val="32"/>
          <w:highlight w:val="none"/>
          <w:lang w:val="en-US" w:eastAsia="zh-CN"/>
        </w:rPr>
        <w:t>2021年度</w:t>
      </w:r>
      <w:r>
        <w:rPr>
          <w:rFonts w:hint="eastAsia" w:ascii="仿宋_GB2312" w:hAnsi="仿宋_GB2312" w:eastAsia="仿宋_GB2312" w:cs="仿宋_GB2312"/>
          <w:bCs/>
          <w:sz w:val="32"/>
          <w:szCs w:val="32"/>
          <w:highlight w:val="none"/>
        </w:rPr>
        <w:t>“预审计服务”项目</w:t>
      </w:r>
      <w:r>
        <w:rPr>
          <w:rFonts w:hint="eastAsia" w:ascii="仿宋_GB2312" w:hAnsi="仿宋_GB2312" w:eastAsia="仿宋_GB2312" w:cs="仿宋_GB2312"/>
          <w:bCs/>
          <w:caps/>
          <w:sz w:val="32"/>
          <w:szCs w:val="32"/>
          <w:highlight w:val="none"/>
        </w:rPr>
        <w:t>绩效评价得分9</w:t>
      </w:r>
      <w:r>
        <w:rPr>
          <w:rFonts w:hint="eastAsia" w:ascii="仿宋_GB2312" w:hAnsi="仿宋_GB2312" w:eastAsia="仿宋_GB2312" w:cs="仿宋_GB2312"/>
          <w:bCs/>
          <w:caps/>
          <w:sz w:val="32"/>
          <w:szCs w:val="32"/>
          <w:highlight w:val="none"/>
          <w:lang w:val="en-US" w:eastAsia="zh-CN"/>
        </w:rPr>
        <w:t>7.6</w:t>
      </w:r>
      <w:r>
        <w:rPr>
          <w:rFonts w:hint="eastAsia" w:ascii="仿宋_GB2312" w:hAnsi="仿宋_GB2312" w:eastAsia="仿宋_GB2312" w:cs="仿宋_GB2312"/>
          <w:bCs/>
          <w:caps/>
          <w:sz w:val="32"/>
          <w:szCs w:val="32"/>
          <w:highlight w:val="none"/>
        </w:rPr>
        <w:t>分。其中，</w:t>
      </w:r>
      <w:r>
        <w:rPr>
          <w:rFonts w:hint="eastAsia" w:ascii="仿宋_GB2312" w:hAnsi="仿宋_GB2312" w:eastAsia="仿宋_GB2312" w:cs="仿宋_GB2312"/>
          <w:bCs/>
          <w:kern w:val="44"/>
          <w:sz w:val="32"/>
          <w:szCs w:val="32"/>
          <w:highlight w:val="none"/>
        </w:rPr>
        <w:t>项目决策得分</w:t>
      </w:r>
      <w:r>
        <w:rPr>
          <w:rFonts w:hint="eastAsia" w:ascii="仿宋_GB2312" w:hAnsi="仿宋_GB2312" w:eastAsia="仿宋_GB2312" w:cs="仿宋_GB2312"/>
          <w:bCs/>
          <w:caps/>
          <w:sz w:val="32"/>
          <w:szCs w:val="32"/>
          <w:highlight w:val="none"/>
        </w:rPr>
        <w:t>9.</w:t>
      </w:r>
      <w:r>
        <w:rPr>
          <w:rFonts w:hint="eastAsia" w:ascii="仿宋_GB2312" w:hAnsi="仿宋_GB2312" w:eastAsia="仿宋_GB2312" w:cs="仿宋_GB2312"/>
          <w:bCs/>
          <w:caps/>
          <w:sz w:val="32"/>
          <w:szCs w:val="32"/>
          <w:highlight w:val="none"/>
          <w:lang w:val="en-US" w:eastAsia="zh-CN"/>
        </w:rPr>
        <w:t>8</w:t>
      </w:r>
      <w:r>
        <w:rPr>
          <w:rFonts w:hint="eastAsia" w:ascii="仿宋_GB2312" w:hAnsi="仿宋_GB2312" w:eastAsia="仿宋_GB2312" w:cs="仿宋_GB2312"/>
          <w:bCs/>
          <w:kern w:val="44"/>
          <w:sz w:val="32"/>
          <w:szCs w:val="32"/>
          <w:highlight w:val="none"/>
        </w:rPr>
        <w:t>分，项目过程得分</w:t>
      </w:r>
      <w:r>
        <w:rPr>
          <w:rFonts w:hint="eastAsia" w:ascii="仿宋_GB2312" w:hAnsi="仿宋_GB2312" w:eastAsia="仿宋_GB2312" w:cs="仿宋_GB2312"/>
          <w:bCs/>
          <w:caps/>
          <w:sz w:val="32"/>
          <w:szCs w:val="32"/>
          <w:highlight w:val="none"/>
        </w:rPr>
        <w:t>1</w:t>
      </w:r>
      <w:r>
        <w:rPr>
          <w:rFonts w:hint="eastAsia" w:ascii="仿宋_GB2312" w:hAnsi="仿宋_GB2312" w:eastAsia="仿宋_GB2312" w:cs="仿宋_GB2312"/>
          <w:bCs/>
          <w:caps/>
          <w:sz w:val="32"/>
          <w:szCs w:val="32"/>
          <w:highlight w:val="none"/>
          <w:lang w:val="en-US" w:eastAsia="zh-CN"/>
        </w:rPr>
        <w:t>9.8</w:t>
      </w:r>
      <w:r>
        <w:rPr>
          <w:rFonts w:hint="eastAsia" w:ascii="仿宋_GB2312" w:hAnsi="仿宋_GB2312" w:eastAsia="仿宋_GB2312" w:cs="仿宋_GB2312"/>
          <w:bCs/>
          <w:kern w:val="44"/>
          <w:sz w:val="32"/>
          <w:szCs w:val="32"/>
          <w:highlight w:val="none"/>
        </w:rPr>
        <w:t>分，项目产出得分</w:t>
      </w:r>
      <w:r>
        <w:rPr>
          <w:rFonts w:hint="eastAsia" w:ascii="仿宋_GB2312" w:hAnsi="仿宋_GB2312" w:eastAsia="仿宋_GB2312" w:cs="仿宋_GB2312"/>
          <w:bCs/>
          <w:caps/>
          <w:sz w:val="32"/>
          <w:szCs w:val="32"/>
          <w:highlight w:val="none"/>
          <w:lang w:val="en-US" w:eastAsia="zh-CN"/>
        </w:rPr>
        <w:t>40</w:t>
      </w:r>
      <w:r>
        <w:rPr>
          <w:rFonts w:hint="eastAsia" w:ascii="仿宋_GB2312" w:hAnsi="仿宋_GB2312" w:eastAsia="仿宋_GB2312" w:cs="仿宋_GB2312"/>
          <w:bCs/>
          <w:kern w:val="44"/>
          <w:sz w:val="32"/>
          <w:szCs w:val="32"/>
          <w:highlight w:val="none"/>
        </w:rPr>
        <w:t>分，项目</w:t>
      </w:r>
      <w:r>
        <w:rPr>
          <w:rFonts w:hint="eastAsia" w:ascii="仿宋_GB2312" w:hAnsi="仿宋_GB2312" w:eastAsia="仿宋_GB2312" w:cs="仿宋_GB2312"/>
          <w:bCs/>
          <w:kern w:val="44"/>
          <w:sz w:val="32"/>
          <w:szCs w:val="32"/>
          <w:highlight w:val="none"/>
          <w:lang w:val="en-US" w:eastAsia="zh-CN"/>
        </w:rPr>
        <w:t>效益</w:t>
      </w:r>
      <w:r>
        <w:rPr>
          <w:rFonts w:hint="eastAsia" w:ascii="仿宋_GB2312" w:hAnsi="仿宋_GB2312" w:eastAsia="仿宋_GB2312" w:cs="仿宋_GB2312"/>
          <w:bCs/>
          <w:kern w:val="44"/>
          <w:sz w:val="32"/>
          <w:szCs w:val="32"/>
          <w:highlight w:val="none"/>
        </w:rPr>
        <w:t>得分</w:t>
      </w:r>
      <w:r>
        <w:rPr>
          <w:rFonts w:hint="eastAsia" w:ascii="仿宋_GB2312" w:hAnsi="仿宋_GB2312" w:eastAsia="仿宋_GB2312" w:cs="仿宋_GB2312"/>
          <w:bCs/>
          <w:caps/>
          <w:sz w:val="32"/>
          <w:szCs w:val="32"/>
          <w:highlight w:val="none"/>
        </w:rPr>
        <w:t>2</w:t>
      </w:r>
      <w:r>
        <w:rPr>
          <w:rFonts w:hint="eastAsia" w:ascii="仿宋_GB2312" w:hAnsi="仿宋_GB2312" w:eastAsia="仿宋_GB2312" w:cs="仿宋_GB2312"/>
          <w:bCs/>
          <w:caps/>
          <w:sz w:val="32"/>
          <w:szCs w:val="32"/>
          <w:highlight w:val="none"/>
          <w:lang w:val="en-US" w:eastAsia="zh-CN"/>
        </w:rPr>
        <w:t>8</w:t>
      </w:r>
      <w:r>
        <w:rPr>
          <w:rFonts w:hint="eastAsia" w:ascii="仿宋_GB2312" w:hAnsi="仿宋_GB2312" w:eastAsia="仿宋_GB2312" w:cs="仿宋_GB2312"/>
          <w:bCs/>
          <w:kern w:val="44"/>
          <w:sz w:val="32"/>
          <w:szCs w:val="32"/>
          <w:highlight w:val="none"/>
        </w:rPr>
        <w:t>分，绩效评定级别为“优”。</w:t>
      </w:r>
      <w:r>
        <w:rPr>
          <w:rFonts w:hint="eastAsia" w:ascii="仿宋_GB2312" w:hAnsi="仿宋_GB2312" w:eastAsia="仿宋_GB2312" w:cs="仿宋_GB2312"/>
          <w:bCs/>
          <w:caps/>
          <w:sz w:val="32"/>
          <w:szCs w:val="32"/>
          <w:highlight w:val="none"/>
        </w:rPr>
        <w:t>具体情况详见下表。</w:t>
      </w:r>
    </w:p>
    <w:p>
      <w:pPr>
        <w:spacing w:line="600" w:lineRule="exact"/>
        <w:ind w:firstLine="640"/>
        <w:rPr>
          <w:rFonts w:ascii="Times New Roman" w:hAnsi="Times New Roman" w:eastAsia="仿宋_GB2312" w:cs="Times New Roman"/>
          <w:bCs/>
          <w:caps/>
          <w:sz w:val="32"/>
          <w:szCs w:val="32"/>
          <w:highlight w:val="none"/>
        </w:rPr>
      </w:pPr>
    </w:p>
    <w:p>
      <w:pPr>
        <w:pStyle w:val="10"/>
        <w:spacing w:after="0" w:line="360" w:lineRule="auto"/>
        <w:ind w:left="0" w:leftChars="0"/>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w:t>
      </w:r>
      <w:r>
        <w:rPr>
          <w:rFonts w:hint="default" w:ascii="Times New Roman" w:hAnsi="Times New Roman" w:cs="Times New Roman"/>
          <w:b/>
          <w:sz w:val="28"/>
          <w:szCs w:val="28"/>
          <w:highlight w:val="none"/>
        </w:rPr>
        <w:t>预审计服务</w:t>
      </w:r>
      <w:r>
        <w:rPr>
          <w:rFonts w:ascii="Times New Roman" w:hAnsi="Times New Roman" w:cs="Times New Roman"/>
          <w:b/>
          <w:sz w:val="28"/>
          <w:szCs w:val="28"/>
          <w:highlight w:val="none"/>
        </w:rPr>
        <w:t>”项目绩效评价结论一览表</w:t>
      </w:r>
    </w:p>
    <w:tbl>
      <w:tblPr>
        <w:tblStyle w:val="19"/>
        <w:tblW w:w="8485"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
      <w:tblGrid>
        <w:gridCol w:w="2250"/>
        <w:gridCol w:w="3240"/>
        <w:gridCol w:w="299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680" w:hRule="atLeast"/>
        </w:trPr>
        <w:tc>
          <w:tcPr>
            <w:tcW w:w="2250" w:type="dxa"/>
            <w:tcBorders>
              <w:bottom w:val="single" w:color="FFFFFF" w:sz="6" w:space="0"/>
              <w:right w:val="single" w:color="FFFFFF" w:sz="6" w:space="0"/>
            </w:tcBorders>
            <w:shd w:val="clear" w:color="auto" w:fill="C0C0C0"/>
            <w:noWrap w:val="0"/>
            <w:vAlign w:val="center"/>
          </w:tcPr>
          <w:p>
            <w:pPr>
              <w:adjustRightInd w:val="0"/>
              <w:snapToGrid w:val="0"/>
              <w:spacing w:line="520" w:lineRule="exact"/>
              <w:ind w:firstLine="0" w:firstLineChars="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评价内容</w:t>
            </w:r>
          </w:p>
        </w:tc>
        <w:tc>
          <w:tcPr>
            <w:tcW w:w="3240" w:type="dxa"/>
            <w:tcBorders>
              <w:left w:val="single" w:color="FFFFFF" w:sz="6" w:space="0"/>
              <w:bottom w:val="single" w:color="FFFFFF" w:sz="6" w:space="0"/>
              <w:right w:val="single" w:color="FFFFFF" w:sz="6" w:space="0"/>
            </w:tcBorders>
            <w:shd w:val="clear" w:color="auto" w:fill="C0C0C0"/>
            <w:noWrap w:val="0"/>
            <w:vAlign w:val="center"/>
          </w:tcPr>
          <w:p>
            <w:pPr>
              <w:adjustRightInd w:val="0"/>
              <w:snapToGrid w:val="0"/>
              <w:spacing w:line="520" w:lineRule="exact"/>
              <w:ind w:firstLine="0" w:firstLineChars="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分值</w:t>
            </w:r>
          </w:p>
        </w:tc>
        <w:tc>
          <w:tcPr>
            <w:tcW w:w="2995" w:type="dxa"/>
            <w:tcBorders>
              <w:left w:val="single" w:color="FFFFFF" w:sz="6" w:space="0"/>
              <w:bottom w:val="single" w:color="FFFFFF" w:sz="6" w:space="0"/>
            </w:tcBorders>
            <w:shd w:val="clear" w:color="auto" w:fill="C0C0C0"/>
            <w:noWrap w:val="0"/>
            <w:vAlign w:val="center"/>
          </w:tcPr>
          <w:p>
            <w:pPr>
              <w:adjustRightInd w:val="0"/>
              <w:snapToGrid w:val="0"/>
              <w:spacing w:line="520" w:lineRule="exact"/>
              <w:ind w:firstLine="0" w:firstLineChars="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680" w:hRule="atLeast"/>
        </w:trPr>
        <w:tc>
          <w:tcPr>
            <w:tcW w:w="2250" w:type="dxa"/>
            <w:tcBorders>
              <w:top w:val="single" w:color="FFFFFF" w:sz="6" w:space="0"/>
              <w:bottom w:val="single" w:color="FFFFFF" w:sz="6" w:space="0"/>
              <w:right w:val="single" w:color="FFFFFF" w:sz="6" w:space="0"/>
            </w:tcBorders>
            <w:shd w:val="clear" w:color="auto" w:fill="C0C0C0"/>
            <w:noWrap w:val="0"/>
            <w:vAlign w:val="center"/>
          </w:tcPr>
          <w:p>
            <w:pPr>
              <w:pStyle w:val="5"/>
              <w:adjustRightInd w:val="0"/>
              <w:snapToGrid w:val="0"/>
              <w:spacing w:line="600" w:lineRule="exact"/>
              <w:ind w:firstLine="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项目决策</w:t>
            </w:r>
          </w:p>
        </w:tc>
        <w:tc>
          <w:tcPr>
            <w:tcW w:w="3240" w:type="dxa"/>
            <w:tcBorders>
              <w:top w:val="single" w:color="FFFFFF" w:sz="6" w:space="0"/>
              <w:left w:val="single" w:color="FFFFFF" w:sz="6" w:space="0"/>
              <w:bottom w:val="single" w:color="FFFFFF" w:sz="6" w:space="0"/>
              <w:right w:val="single" w:color="FFFFFF" w:sz="6" w:space="0"/>
            </w:tcBorders>
            <w:shd w:val="clear" w:color="auto" w:fill="C0C0C0"/>
            <w:noWrap w:val="0"/>
            <w:vAlign w:val="center"/>
          </w:tcPr>
          <w:p>
            <w:pPr>
              <w:adjustRightInd w:val="0"/>
              <w:snapToGrid w:val="0"/>
              <w:spacing w:line="600" w:lineRule="exact"/>
              <w:ind w:firstLine="0" w:firstLineChars="0"/>
              <w:jc w:val="center"/>
              <w:rPr>
                <w:rFonts w:hint="default"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rPr>
              <w:t>10</w:t>
            </w:r>
            <w:r>
              <w:rPr>
                <w:rFonts w:hint="eastAsia" w:ascii="仿宋_GB2312" w:hAnsi="仿宋_GB2312" w:eastAsia="仿宋_GB2312" w:cs="仿宋_GB2312"/>
                <w:b/>
                <w:sz w:val="28"/>
                <w:szCs w:val="28"/>
                <w:highlight w:val="none"/>
                <w:lang w:val="en-US" w:eastAsia="zh-CN"/>
              </w:rPr>
              <w:t>.00</w:t>
            </w:r>
          </w:p>
        </w:tc>
        <w:tc>
          <w:tcPr>
            <w:tcW w:w="2995" w:type="dxa"/>
            <w:tcBorders>
              <w:top w:val="single" w:color="FFFFFF" w:sz="6" w:space="0"/>
              <w:left w:val="single" w:color="FFFFFF" w:sz="6" w:space="0"/>
              <w:bottom w:val="single" w:color="FFFFFF" w:sz="6" w:space="0"/>
            </w:tcBorders>
            <w:shd w:val="clear" w:color="auto" w:fill="C0C0C0"/>
            <w:noWrap w:val="0"/>
            <w:vAlign w:val="center"/>
          </w:tcPr>
          <w:p>
            <w:pPr>
              <w:keepNext w:val="0"/>
              <w:keepLines w:val="0"/>
              <w:widowControl/>
              <w:suppressLineNumbers w:val="0"/>
              <w:adjustRightInd w:val="0"/>
              <w:snapToGrid w:val="0"/>
              <w:spacing w:line="600" w:lineRule="exact"/>
              <w:ind w:firstLine="0" w:firstLineChars="0"/>
              <w:jc w:val="center"/>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i w:val="0"/>
                <w:iCs w:val="0"/>
                <w:kern w:val="2"/>
                <w:sz w:val="28"/>
                <w:szCs w:val="28"/>
                <w:highlight w:val="none"/>
                <w:u w:val="none"/>
                <w:lang w:val="en-US" w:eastAsia="zh-CN" w:bidi="ar"/>
              </w:rPr>
              <w:t>9.80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680" w:hRule="atLeast"/>
        </w:trPr>
        <w:tc>
          <w:tcPr>
            <w:tcW w:w="2250" w:type="dxa"/>
            <w:tcBorders>
              <w:top w:val="single" w:color="FFFFFF" w:sz="6" w:space="0"/>
              <w:bottom w:val="single" w:color="FFFFFF" w:sz="6" w:space="0"/>
              <w:right w:val="single" w:color="FFFFFF" w:sz="6" w:space="0"/>
            </w:tcBorders>
            <w:shd w:val="clear" w:color="auto" w:fill="C0C0C0"/>
            <w:noWrap w:val="0"/>
            <w:vAlign w:val="center"/>
          </w:tcPr>
          <w:p>
            <w:pPr>
              <w:adjustRightInd w:val="0"/>
              <w:snapToGrid w:val="0"/>
              <w:spacing w:line="600" w:lineRule="exact"/>
              <w:ind w:firstLine="0" w:firstLineChars="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项目过程</w:t>
            </w:r>
          </w:p>
        </w:tc>
        <w:tc>
          <w:tcPr>
            <w:tcW w:w="3240" w:type="dxa"/>
            <w:tcBorders>
              <w:top w:val="single" w:color="FFFFFF" w:sz="6" w:space="0"/>
              <w:left w:val="single" w:color="FFFFFF" w:sz="6" w:space="0"/>
              <w:bottom w:val="single" w:color="FFFFFF" w:sz="6" w:space="0"/>
              <w:right w:val="single" w:color="FFFFFF" w:sz="6" w:space="0"/>
            </w:tcBorders>
            <w:shd w:val="clear" w:color="auto" w:fill="C0C0C0"/>
            <w:noWrap w:val="0"/>
            <w:vAlign w:val="center"/>
          </w:tcPr>
          <w:p>
            <w:pPr>
              <w:adjustRightInd w:val="0"/>
              <w:snapToGrid w:val="0"/>
              <w:spacing w:line="600" w:lineRule="exact"/>
              <w:ind w:firstLine="0" w:firstLineChars="0"/>
              <w:jc w:val="center"/>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20</w:t>
            </w:r>
            <w:r>
              <w:rPr>
                <w:rFonts w:hint="eastAsia" w:ascii="仿宋_GB2312" w:hAnsi="仿宋_GB2312" w:eastAsia="仿宋_GB2312" w:cs="仿宋_GB2312"/>
                <w:b/>
                <w:sz w:val="28"/>
                <w:szCs w:val="28"/>
                <w:highlight w:val="none"/>
                <w:lang w:val="en-US" w:eastAsia="zh-CN"/>
              </w:rPr>
              <w:t>.00</w:t>
            </w:r>
          </w:p>
        </w:tc>
        <w:tc>
          <w:tcPr>
            <w:tcW w:w="2995" w:type="dxa"/>
            <w:tcBorders>
              <w:top w:val="single" w:color="FFFFFF" w:sz="6" w:space="0"/>
              <w:left w:val="single" w:color="FFFFFF" w:sz="6" w:space="0"/>
              <w:bottom w:val="single" w:color="FFFFFF" w:sz="6" w:space="0"/>
            </w:tcBorders>
            <w:shd w:val="clear" w:color="auto" w:fill="C0C0C0"/>
            <w:noWrap w:val="0"/>
            <w:vAlign w:val="center"/>
          </w:tcPr>
          <w:p>
            <w:pPr>
              <w:keepNext w:val="0"/>
              <w:keepLines w:val="0"/>
              <w:widowControl/>
              <w:suppressLineNumbers w:val="0"/>
              <w:adjustRightInd w:val="0"/>
              <w:snapToGrid w:val="0"/>
              <w:spacing w:line="600" w:lineRule="exact"/>
              <w:ind w:firstLine="0" w:firstLineChars="0"/>
              <w:jc w:val="center"/>
              <w:textAlignment w:val="auto"/>
              <w:rPr>
                <w:rFonts w:hint="default" w:ascii="仿宋_GB2312" w:hAnsi="仿宋_GB2312" w:eastAsia="仿宋_GB2312" w:cs="仿宋_GB2312"/>
                <w:b/>
                <w:sz w:val="28"/>
                <w:szCs w:val="28"/>
                <w:highlight w:val="none"/>
                <w:lang w:val="en-US"/>
              </w:rPr>
            </w:pPr>
            <w:r>
              <w:rPr>
                <w:rFonts w:hint="eastAsia" w:ascii="仿宋_GB2312" w:hAnsi="仿宋_GB2312" w:eastAsia="仿宋_GB2312" w:cs="仿宋_GB2312"/>
                <w:b/>
                <w:i w:val="0"/>
                <w:iCs w:val="0"/>
                <w:kern w:val="2"/>
                <w:sz w:val="28"/>
                <w:szCs w:val="28"/>
                <w:highlight w:val="none"/>
                <w:u w:val="none"/>
                <w:lang w:val="en-US" w:eastAsia="zh-CN" w:bidi="ar"/>
              </w:rPr>
              <w:t>19.80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680" w:hRule="atLeast"/>
        </w:trPr>
        <w:tc>
          <w:tcPr>
            <w:tcW w:w="2250" w:type="dxa"/>
            <w:tcBorders>
              <w:top w:val="single" w:color="FFFFFF" w:sz="6" w:space="0"/>
              <w:bottom w:val="single" w:color="FFFFFF" w:sz="4" w:space="0"/>
              <w:right w:val="single" w:color="FFFFFF" w:sz="6" w:space="0"/>
            </w:tcBorders>
            <w:shd w:val="clear" w:color="auto" w:fill="C0C0C0"/>
            <w:noWrap w:val="0"/>
            <w:vAlign w:val="center"/>
          </w:tcPr>
          <w:p>
            <w:pPr>
              <w:adjustRightInd w:val="0"/>
              <w:snapToGrid w:val="0"/>
              <w:spacing w:line="600" w:lineRule="exact"/>
              <w:ind w:firstLine="0" w:firstLineChars="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项目产出</w:t>
            </w:r>
          </w:p>
        </w:tc>
        <w:tc>
          <w:tcPr>
            <w:tcW w:w="3240" w:type="dxa"/>
            <w:tcBorders>
              <w:top w:val="single" w:color="FFFFFF" w:sz="6" w:space="0"/>
              <w:left w:val="single" w:color="FFFFFF" w:sz="6" w:space="0"/>
              <w:bottom w:val="single" w:color="FFFFFF" w:sz="4" w:space="0"/>
              <w:right w:val="single" w:color="FFFFFF" w:sz="4" w:space="0"/>
            </w:tcBorders>
            <w:shd w:val="clear" w:color="auto" w:fill="C0C0C0"/>
            <w:noWrap w:val="0"/>
            <w:vAlign w:val="center"/>
          </w:tcPr>
          <w:p>
            <w:pPr>
              <w:adjustRightInd w:val="0"/>
              <w:snapToGrid w:val="0"/>
              <w:spacing w:line="600" w:lineRule="exact"/>
              <w:ind w:firstLine="0" w:firstLineChars="0"/>
              <w:jc w:val="center"/>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40</w:t>
            </w:r>
            <w:r>
              <w:rPr>
                <w:rFonts w:hint="eastAsia" w:ascii="仿宋_GB2312" w:hAnsi="仿宋_GB2312" w:eastAsia="仿宋_GB2312" w:cs="仿宋_GB2312"/>
                <w:b/>
                <w:sz w:val="28"/>
                <w:szCs w:val="28"/>
                <w:highlight w:val="none"/>
                <w:lang w:val="en-US" w:eastAsia="zh-CN"/>
              </w:rPr>
              <w:t>.00</w:t>
            </w:r>
          </w:p>
        </w:tc>
        <w:tc>
          <w:tcPr>
            <w:tcW w:w="2995" w:type="dxa"/>
            <w:tcBorders>
              <w:top w:val="single" w:color="FFFFFF" w:sz="6" w:space="0"/>
              <w:left w:val="single" w:color="FFFFFF" w:sz="4" w:space="0"/>
              <w:bottom w:val="single" w:color="FFFFFF" w:sz="4" w:space="0"/>
            </w:tcBorders>
            <w:shd w:val="clear" w:color="auto" w:fill="C0C0C0"/>
            <w:noWrap w:val="0"/>
            <w:vAlign w:val="center"/>
          </w:tcPr>
          <w:p>
            <w:pPr>
              <w:keepNext w:val="0"/>
              <w:keepLines w:val="0"/>
              <w:widowControl/>
              <w:suppressLineNumbers w:val="0"/>
              <w:adjustRightInd w:val="0"/>
              <w:snapToGrid w:val="0"/>
              <w:spacing w:line="600" w:lineRule="exact"/>
              <w:ind w:firstLine="0" w:firstLineChars="0"/>
              <w:jc w:val="center"/>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i w:val="0"/>
                <w:iCs w:val="0"/>
                <w:kern w:val="2"/>
                <w:sz w:val="28"/>
                <w:szCs w:val="28"/>
                <w:highlight w:val="none"/>
                <w:u w:val="none"/>
                <w:lang w:val="en-US" w:eastAsia="zh-CN" w:bidi="ar"/>
              </w:rPr>
              <w:t>40.00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680" w:hRule="atLeast"/>
        </w:trPr>
        <w:tc>
          <w:tcPr>
            <w:tcW w:w="2250" w:type="dxa"/>
            <w:tcBorders>
              <w:top w:val="single" w:color="FFFFFF" w:sz="6" w:space="0"/>
              <w:bottom w:val="single" w:color="FFFFFF" w:sz="4" w:space="0"/>
              <w:right w:val="single" w:color="FFFFFF" w:sz="6" w:space="0"/>
            </w:tcBorders>
            <w:shd w:val="clear" w:color="auto" w:fill="C0C0C0"/>
            <w:noWrap w:val="0"/>
            <w:vAlign w:val="center"/>
          </w:tcPr>
          <w:p>
            <w:pPr>
              <w:adjustRightInd w:val="0"/>
              <w:snapToGrid w:val="0"/>
              <w:spacing w:line="600" w:lineRule="exact"/>
              <w:ind w:firstLine="0" w:firstLineChars="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项目效益</w:t>
            </w:r>
          </w:p>
        </w:tc>
        <w:tc>
          <w:tcPr>
            <w:tcW w:w="3240" w:type="dxa"/>
            <w:tcBorders>
              <w:top w:val="single" w:color="FFFFFF" w:sz="6" w:space="0"/>
              <w:left w:val="single" w:color="FFFFFF" w:sz="6" w:space="0"/>
              <w:bottom w:val="single" w:color="FFFFFF" w:sz="4" w:space="0"/>
              <w:right w:val="single" w:color="FFFFFF" w:sz="4" w:space="0"/>
            </w:tcBorders>
            <w:shd w:val="clear" w:color="auto" w:fill="C0C0C0"/>
            <w:noWrap w:val="0"/>
            <w:vAlign w:val="center"/>
          </w:tcPr>
          <w:p>
            <w:pPr>
              <w:adjustRightInd w:val="0"/>
              <w:snapToGrid w:val="0"/>
              <w:spacing w:line="600" w:lineRule="exact"/>
              <w:ind w:firstLine="0" w:firstLineChars="0"/>
              <w:jc w:val="center"/>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30</w:t>
            </w:r>
            <w:r>
              <w:rPr>
                <w:rFonts w:hint="eastAsia" w:ascii="仿宋_GB2312" w:hAnsi="仿宋_GB2312" w:eastAsia="仿宋_GB2312" w:cs="仿宋_GB2312"/>
                <w:b/>
                <w:sz w:val="28"/>
                <w:szCs w:val="28"/>
                <w:highlight w:val="none"/>
                <w:lang w:val="en-US" w:eastAsia="zh-CN"/>
              </w:rPr>
              <w:t>.00</w:t>
            </w:r>
          </w:p>
        </w:tc>
        <w:tc>
          <w:tcPr>
            <w:tcW w:w="2995" w:type="dxa"/>
            <w:tcBorders>
              <w:top w:val="single" w:color="FFFFFF" w:sz="6" w:space="0"/>
              <w:left w:val="single" w:color="FFFFFF" w:sz="4" w:space="0"/>
              <w:bottom w:val="single" w:color="FFFFFF" w:sz="4" w:space="0"/>
            </w:tcBorders>
            <w:shd w:val="clear" w:color="auto" w:fill="C0C0C0"/>
            <w:noWrap w:val="0"/>
            <w:vAlign w:val="center"/>
          </w:tcPr>
          <w:p>
            <w:pPr>
              <w:keepNext w:val="0"/>
              <w:keepLines w:val="0"/>
              <w:widowControl/>
              <w:suppressLineNumbers w:val="0"/>
              <w:adjustRightInd w:val="0"/>
              <w:snapToGrid w:val="0"/>
              <w:spacing w:line="600" w:lineRule="exact"/>
              <w:ind w:firstLine="0" w:firstLineChars="0"/>
              <w:jc w:val="center"/>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i w:val="0"/>
                <w:iCs w:val="0"/>
                <w:kern w:val="2"/>
                <w:sz w:val="28"/>
                <w:szCs w:val="28"/>
                <w:highlight w:val="none"/>
                <w:u w:val="none"/>
                <w:lang w:val="en-US" w:eastAsia="zh-CN" w:bidi="ar"/>
              </w:rPr>
              <w:t>28.00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850" w:hRule="atLeast"/>
        </w:trPr>
        <w:tc>
          <w:tcPr>
            <w:tcW w:w="2250" w:type="dxa"/>
            <w:tcBorders>
              <w:top w:val="single" w:color="FFFFFF" w:sz="4" w:space="0"/>
              <w:bottom w:val="single" w:color="FFFFFF" w:sz="4" w:space="0"/>
              <w:right w:val="single" w:color="FFFFFF" w:sz="6" w:space="0"/>
            </w:tcBorders>
            <w:shd w:val="clear" w:color="auto" w:fill="C0C0C0"/>
            <w:noWrap w:val="0"/>
            <w:vAlign w:val="center"/>
          </w:tcPr>
          <w:p>
            <w:pPr>
              <w:adjustRightInd w:val="0"/>
              <w:snapToGrid w:val="0"/>
              <w:spacing w:line="600" w:lineRule="exact"/>
              <w:ind w:firstLine="0" w:firstLineChars="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综合得分</w:t>
            </w:r>
          </w:p>
        </w:tc>
        <w:tc>
          <w:tcPr>
            <w:tcW w:w="3240" w:type="dxa"/>
            <w:tcBorders>
              <w:top w:val="single" w:color="FFFFFF" w:sz="4" w:space="0"/>
              <w:left w:val="single" w:color="FFFFFF" w:sz="6" w:space="0"/>
              <w:bottom w:val="single" w:color="FFFFFF" w:sz="4" w:space="0"/>
            </w:tcBorders>
            <w:shd w:val="clear" w:color="auto" w:fill="C0C0C0"/>
            <w:noWrap w:val="0"/>
            <w:vAlign w:val="center"/>
          </w:tcPr>
          <w:p>
            <w:pPr>
              <w:adjustRightInd w:val="0"/>
              <w:snapToGrid w:val="0"/>
              <w:spacing w:line="600" w:lineRule="exact"/>
              <w:ind w:firstLine="0" w:firstLineChars="0"/>
              <w:jc w:val="center"/>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100</w:t>
            </w:r>
            <w:r>
              <w:rPr>
                <w:rFonts w:hint="eastAsia" w:ascii="仿宋_GB2312" w:hAnsi="仿宋_GB2312" w:eastAsia="仿宋_GB2312" w:cs="仿宋_GB2312"/>
                <w:b/>
                <w:sz w:val="28"/>
                <w:szCs w:val="28"/>
                <w:highlight w:val="none"/>
                <w:lang w:val="en-US" w:eastAsia="zh-CN"/>
              </w:rPr>
              <w:t>.00</w:t>
            </w:r>
          </w:p>
        </w:tc>
        <w:tc>
          <w:tcPr>
            <w:tcW w:w="2995" w:type="dxa"/>
            <w:tcBorders>
              <w:top w:val="single" w:color="FFFFFF" w:sz="4" w:space="0"/>
              <w:left w:val="single" w:color="FFFFFF" w:sz="4" w:space="0"/>
              <w:bottom w:val="single" w:color="FFFFFF" w:sz="4" w:space="0"/>
            </w:tcBorders>
            <w:shd w:val="clear" w:color="auto" w:fill="C0C0C0"/>
            <w:noWrap w:val="0"/>
            <w:vAlign w:val="center"/>
          </w:tcPr>
          <w:p>
            <w:pPr>
              <w:adjustRightInd w:val="0"/>
              <w:snapToGrid w:val="0"/>
              <w:spacing w:line="600" w:lineRule="exact"/>
              <w:ind w:firstLine="0" w:firstLineChars="0"/>
              <w:jc w:val="center"/>
              <w:rPr>
                <w:rFonts w:hint="default" w:ascii="仿宋_GB2312" w:hAnsi="仿宋_GB2312" w:eastAsia="仿宋_GB2312" w:cs="仿宋_GB2312"/>
                <w:b/>
                <w:sz w:val="28"/>
                <w:szCs w:val="28"/>
                <w:highlight w:val="none"/>
                <w:lang w:val="en-US"/>
              </w:rPr>
            </w:pPr>
            <w:r>
              <w:rPr>
                <w:rFonts w:hint="eastAsia" w:ascii="仿宋_GB2312" w:hAnsi="仿宋_GB2312" w:eastAsia="仿宋_GB2312" w:cs="仿宋_GB2312"/>
                <w:b/>
                <w:sz w:val="28"/>
                <w:szCs w:val="28"/>
                <w:highlight w:val="none"/>
              </w:rPr>
              <w:t>9</w:t>
            </w:r>
            <w:r>
              <w:rPr>
                <w:rFonts w:hint="eastAsia" w:ascii="仿宋_GB2312" w:hAnsi="仿宋_GB2312" w:eastAsia="仿宋_GB2312" w:cs="仿宋_GB2312"/>
                <w:b/>
                <w:sz w:val="28"/>
                <w:szCs w:val="28"/>
                <w:highlight w:val="none"/>
                <w:lang w:val="en-US" w:eastAsia="zh-CN"/>
              </w:rPr>
              <w:t>7.60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850" w:hRule="atLeast"/>
        </w:trPr>
        <w:tc>
          <w:tcPr>
            <w:tcW w:w="2250" w:type="dxa"/>
            <w:tcBorders>
              <w:top w:val="single" w:color="FFFFFF" w:sz="4" w:space="0"/>
              <w:bottom w:val="single" w:color="FFFFFF" w:sz="4" w:space="0"/>
              <w:right w:val="single" w:color="FFFFFF" w:sz="6" w:space="0"/>
            </w:tcBorders>
            <w:shd w:val="clear" w:color="auto" w:fill="C0C0C0"/>
            <w:noWrap w:val="0"/>
            <w:vAlign w:val="center"/>
          </w:tcPr>
          <w:p>
            <w:pPr>
              <w:adjustRightInd w:val="0"/>
              <w:snapToGrid w:val="0"/>
              <w:spacing w:line="600" w:lineRule="exact"/>
              <w:ind w:firstLine="0" w:firstLineChars="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绩效评定级别</w:t>
            </w:r>
          </w:p>
        </w:tc>
        <w:tc>
          <w:tcPr>
            <w:tcW w:w="6235" w:type="dxa"/>
            <w:gridSpan w:val="2"/>
            <w:tcBorders>
              <w:top w:val="single" w:color="FFFFFF" w:sz="4" w:space="0"/>
              <w:left w:val="single" w:color="FFFFFF" w:sz="6" w:space="0"/>
              <w:bottom w:val="single" w:color="FFFFFF" w:sz="4" w:space="0"/>
            </w:tcBorders>
            <w:shd w:val="clear" w:color="auto" w:fill="C0C0C0"/>
            <w:noWrap w:val="0"/>
            <w:vAlign w:val="center"/>
          </w:tcPr>
          <w:p>
            <w:pPr>
              <w:adjustRightInd w:val="0"/>
              <w:snapToGrid w:val="0"/>
              <w:spacing w:line="600" w:lineRule="exact"/>
              <w:ind w:firstLine="0" w:firstLineChars="0"/>
              <w:jc w:val="center"/>
              <w:rPr>
                <w:rFonts w:hint="default" w:ascii="Times New Roman" w:hAnsi="Times New Roman" w:eastAsia="仿宋_GB2312" w:cs="Times New Roman"/>
                <w:b/>
                <w:sz w:val="28"/>
                <w:szCs w:val="28"/>
                <w:highlight w:val="none"/>
              </w:rPr>
            </w:pPr>
            <w:r>
              <w:rPr>
                <w:rFonts w:hint="default" w:ascii="Times New Roman" w:hAnsi="Times New Roman" w:eastAsia="仿宋_GB2312" w:cs="Times New Roman"/>
                <w:b/>
                <w:sz w:val="28"/>
                <w:szCs w:val="28"/>
                <w:highlight w:val="none"/>
              </w:rPr>
              <w:t>优</w:t>
            </w:r>
          </w:p>
        </w:tc>
      </w:tr>
    </w:tbl>
    <w:p>
      <w:pPr>
        <w:ind w:firstLine="0" w:firstLineChars="0"/>
        <w:rPr>
          <w:rFonts w:ascii="Times New Roman" w:hAnsi="Times New Roman" w:eastAsia="仿宋_GB2312" w:cs="Times New Roman"/>
          <w:sz w:val="32"/>
          <w:szCs w:val="32"/>
          <w:highlight w:val="none"/>
        </w:rPr>
      </w:pPr>
    </w:p>
    <w:p>
      <w:pPr>
        <w:spacing w:before="0" w:beforeLines="0" w:after="0" w:afterLines="0" w:line="240" w:lineRule="auto"/>
        <w:ind w:left="0" w:leftChars="0" w:right="0" w:rightChars="0" w:firstLine="0" w:firstLineChars="0"/>
        <w:jc w:val="center"/>
        <w:rPr>
          <w:rFonts w:ascii="Times New Roman" w:hAnsi="Times New Roman" w:eastAsia="宋体" w:cs="Times New Roman"/>
          <w:sz w:val="21"/>
        </w:rPr>
      </w:pPr>
    </w:p>
    <w:p>
      <w:pPr>
        <w:spacing w:before="0" w:beforeLines="0" w:after="0" w:afterLines="0" w:line="240" w:lineRule="auto"/>
        <w:ind w:left="0" w:leftChars="0" w:right="0" w:rightChars="0" w:firstLine="0" w:firstLineChars="0"/>
        <w:jc w:val="center"/>
        <w:rPr>
          <w:rFonts w:ascii="Times New Roman" w:hAnsi="Times New Roman" w:eastAsia="宋体" w:cs="Times New Roman"/>
          <w:sz w:val="21"/>
        </w:rPr>
      </w:pPr>
    </w:p>
    <w:p>
      <w:pPr>
        <w:spacing w:before="0" w:beforeLines="0" w:after="0" w:afterLines="0" w:line="240" w:lineRule="auto"/>
        <w:ind w:left="0" w:leftChars="0" w:right="0" w:rightChars="0" w:firstLine="0" w:firstLineChars="0"/>
        <w:jc w:val="center"/>
        <w:rPr>
          <w:rFonts w:ascii="Times New Roman" w:hAnsi="Times New Roman" w:eastAsia="宋体" w:cs="Times New Roman"/>
          <w:sz w:val="21"/>
        </w:rPr>
      </w:pPr>
    </w:p>
    <w:p>
      <w:pPr>
        <w:spacing w:before="0" w:beforeLines="0" w:after="0" w:afterLines="0" w:line="240" w:lineRule="auto"/>
        <w:ind w:left="0" w:leftChars="0" w:right="0" w:rightChars="0" w:firstLine="0" w:firstLineChars="0"/>
        <w:jc w:val="center"/>
        <w:rPr>
          <w:rFonts w:ascii="Times New Roman" w:hAnsi="Times New Roman" w:eastAsia="宋体" w:cs="Times New Roman"/>
          <w:sz w:val="21"/>
        </w:rPr>
      </w:pPr>
    </w:p>
    <w:p>
      <w:pPr>
        <w:spacing w:before="0" w:beforeLines="0" w:after="0" w:afterLines="0" w:line="240" w:lineRule="auto"/>
        <w:ind w:left="0" w:leftChars="0" w:right="0" w:rightChars="0" w:firstLine="0" w:firstLineChars="0"/>
        <w:jc w:val="center"/>
        <w:rPr>
          <w:rFonts w:ascii="Times New Roman" w:hAnsi="Times New Roman" w:eastAsia="宋体" w:cs="Times New Roman"/>
          <w:b/>
          <w:bCs/>
          <w:sz w:val="36"/>
          <w:szCs w:val="36"/>
        </w:rPr>
        <w:sectPr>
          <w:footerReference r:id="rId7" w:type="default"/>
          <w:pgSz w:w="11906" w:h="16838"/>
          <w:pgMar w:top="1701" w:right="1701" w:bottom="1701" w:left="1701" w:header="851" w:footer="992" w:gutter="0"/>
          <w:pgNumType w:start="1"/>
          <w:cols w:space="720" w:num="1"/>
          <w:docGrid w:type="lines" w:linePitch="327" w:charSpace="0"/>
        </w:sectPr>
      </w:pPr>
    </w:p>
    <w:p>
      <w:pPr>
        <w:spacing w:before="0" w:beforeLines="0" w:after="0" w:afterLines="0" w:line="240" w:lineRule="auto"/>
        <w:ind w:left="0" w:leftChars="0" w:right="0" w:rightChars="0" w:firstLine="0" w:firstLineChars="0"/>
        <w:jc w:val="center"/>
        <w:rPr>
          <w:rFonts w:ascii="Times New Roman" w:hAnsi="Times New Roman" w:eastAsia="宋体" w:cs="Times New Roman"/>
          <w:b/>
          <w:bCs/>
          <w:sz w:val="44"/>
          <w:szCs w:val="44"/>
        </w:rPr>
      </w:pPr>
      <w:r>
        <w:rPr>
          <w:rFonts w:ascii="Times New Roman" w:hAnsi="Times New Roman" w:eastAsia="宋体" w:cs="Times New Roman"/>
          <w:b/>
          <w:bCs/>
          <w:sz w:val="44"/>
          <w:szCs w:val="44"/>
        </w:rPr>
        <w:t>目</w:t>
      </w:r>
      <w:r>
        <w:rPr>
          <w:rFonts w:hint="default" w:ascii="Times New Roman" w:hAnsi="Times New Roman" w:eastAsia="宋体" w:cs="Times New Roman"/>
          <w:b/>
          <w:bCs/>
          <w:sz w:val="44"/>
          <w:szCs w:val="44"/>
          <w:lang w:val="en-US" w:eastAsia="zh-CN"/>
        </w:rPr>
        <w:t xml:space="preserve"> </w:t>
      </w:r>
      <w:r>
        <w:rPr>
          <w:rFonts w:hint="eastAsia" w:ascii="Times New Roman" w:hAnsi="Times New Roman" w:eastAsia="宋体" w:cs="Times New Roman"/>
          <w:b/>
          <w:bCs/>
          <w:sz w:val="44"/>
          <w:szCs w:val="44"/>
          <w:lang w:val="en-US" w:eastAsia="zh-CN"/>
        </w:rPr>
        <w:t xml:space="preserve"> </w:t>
      </w:r>
      <w:r>
        <w:rPr>
          <w:rFonts w:ascii="Times New Roman" w:hAnsi="Times New Roman" w:eastAsia="宋体" w:cs="Times New Roman"/>
          <w:b/>
          <w:bCs/>
          <w:sz w:val="44"/>
          <w:szCs w:val="44"/>
        </w:rPr>
        <w:t>录</w:t>
      </w:r>
    </w:p>
    <w:p>
      <w:pPr>
        <w:pStyle w:val="14"/>
        <w:keepNext w:val="0"/>
        <w:keepLines w:val="0"/>
        <w:pageBreakBefore w:val="0"/>
        <w:widowControl w:val="0"/>
        <w:tabs>
          <w:tab w:val="right" w:leader="dot" w:pos="8504"/>
        </w:tabs>
        <w:kinsoku/>
        <w:wordWrap/>
        <w:overflowPunct/>
        <w:topLinePunct w:val="0"/>
        <w:autoSpaceDE/>
        <w:autoSpaceDN/>
        <w:bidi w:val="0"/>
        <w:adjustRightInd/>
        <w:snapToGrid/>
        <w:ind w:left="0" w:leftChars="0" w:firstLine="560" w:firstLineChars="200"/>
        <w:textAlignment w:val="auto"/>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TOC \o "1-2" \h \u </w:instrText>
      </w:r>
      <w:r>
        <w:rPr>
          <w:rFonts w:ascii="Times New Roman" w:hAnsi="Times New Roman" w:cs="Times New Roman"/>
          <w:sz w:val="28"/>
          <w:szCs w:val="28"/>
        </w:rPr>
        <w:fldChar w:fldCharType="separate"/>
      </w: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_Toc12917 </w:instrText>
      </w:r>
      <w:r>
        <w:rPr>
          <w:rFonts w:ascii="Times New Roman" w:hAnsi="Times New Roman" w:cs="Times New Roman"/>
          <w:sz w:val="28"/>
          <w:szCs w:val="28"/>
        </w:rPr>
        <w:fldChar w:fldCharType="separate"/>
      </w:r>
      <w:r>
        <w:rPr>
          <w:rFonts w:ascii="Times New Roman" w:hAnsi="Times New Roman" w:eastAsia="黑体" w:cs="Times New Roman"/>
          <w:sz w:val="28"/>
          <w:szCs w:val="28"/>
          <w:lang w:eastAsia="zh-Hans"/>
        </w:rPr>
        <w:t>一、</w:t>
      </w:r>
      <w:r>
        <w:rPr>
          <w:rFonts w:ascii="Times New Roman" w:hAnsi="Times New Roman" w:eastAsia="黑体" w:cs="Times New Roman"/>
          <w:sz w:val="28"/>
          <w:szCs w:val="28"/>
        </w:rPr>
        <w:t>基本情况</w:t>
      </w:r>
      <w:r>
        <w:rPr>
          <w:sz w:val="28"/>
          <w:szCs w:val="28"/>
        </w:rPr>
        <w:tab/>
      </w:r>
      <w:r>
        <w:rPr>
          <w:sz w:val="28"/>
          <w:szCs w:val="28"/>
        </w:rPr>
        <w:fldChar w:fldCharType="begin"/>
      </w:r>
      <w:r>
        <w:rPr>
          <w:sz w:val="28"/>
          <w:szCs w:val="28"/>
        </w:rPr>
        <w:instrText xml:space="preserve"> PAGEREF _Toc12917 \h </w:instrText>
      </w:r>
      <w:r>
        <w:rPr>
          <w:sz w:val="28"/>
          <w:szCs w:val="28"/>
        </w:rPr>
        <w:fldChar w:fldCharType="separate"/>
      </w:r>
      <w:r>
        <w:rPr>
          <w:sz w:val="28"/>
          <w:szCs w:val="28"/>
        </w:rPr>
        <w:t>1</w:t>
      </w:r>
      <w:r>
        <w:rPr>
          <w:sz w:val="28"/>
          <w:szCs w:val="28"/>
        </w:rPr>
        <w:fldChar w:fldCharType="end"/>
      </w:r>
      <w:r>
        <w:rPr>
          <w:rFonts w:ascii="Times New Roman" w:hAnsi="Times New Roman" w:cs="Times New Roman"/>
          <w:sz w:val="28"/>
          <w:szCs w:val="28"/>
        </w:rPr>
        <w:fldChar w:fldCharType="end"/>
      </w:r>
    </w:p>
    <w:p>
      <w:pPr>
        <w:pStyle w:val="16"/>
        <w:tabs>
          <w:tab w:val="right" w:leader="dot" w:pos="8504"/>
        </w:tabs>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_Toc15555 </w:instrText>
      </w:r>
      <w:r>
        <w:rPr>
          <w:rFonts w:ascii="Times New Roman" w:hAnsi="Times New Roman" w:cs="Times New Roman"/>
          <w:sz w:val="28"/>
          <w:szCs w:val="28"/>
        </w:rPr>
        <w:fldChar w:fldCharType="separate"/>
      </w:r>
      <w:r>
        <w:rPr>
          <w:rFonts w:ascii="Times New Roman" w:hAnsi="Times New Roman" w:eastAsia="楷体_GB2312" w:cs="Times New Roman"/>
          <w:sz w:val="28"/>
          <w:szCs w:val="28"/>
        </w:rPr>
        <w:t>（一）项目概况</w:t>
      </w:r>
      <w:r>
        <w:rPr>
          <w:sz w:val="28"/>
          <w:szCs w:val="28"/>
        </w:rPr>
        <w:tab/>
      </w:r>
      <w:r>
        <w:rPr>
          <w:sz w:val="28"/>
          <w:szCs w:val="28"/>
        </w:rPr>
        <w:fldChar w:fldCharType="begin"/>
      </w:r>
      <w:r>
        <w:rPr>
          <w:sz w:val="28"/>
          <w:szCs w:val="28"/>
        </w:rPr>
        <w:instrText xml:space="preserve"> PAGEREF _Toc15555 \h </w:instrText>
      </w:r>
      <w:r>
        <w:rPr>
          <w:sz w:val="28"/>
          <w:szCs w:val="28"/>
        </w:rPr>
        <w:fldChar w:fldCharType="separate"/>
      </w:r>
      <w:r>
        <w:rPr>
          <w:sz w:val="28"/>
          <w:szCs w:val="28"/>
        </w:rPr>
        <w:t>1</w:t>
      </w:r>
      <w:r>
        <w:rPr>
          <w:sz w:val="28"/>
          <w:szCs w:val="28"/>
        </w:rPr>
        <w:fldChar w:fldCharType="end"/>
      </w:r>
      <w:r>
        <w:rPr>
          <w:rFonts w:ascii="Times New Roman" w:hAnsi="Times New Roman" w:cs="Times New Roman"/>
          <w:sz w:val="28"/>
          <w:szCs w:val="28"/>
        </w:rPr>
        <w:fldChar w:fldCharType="end"/>
      </w:r>
    </w:p>
    <w:p>
      <w:pPr>
        <w:pStyle w:val="16"/>
        <w:tabs>
          <w:tab w:val="right" w:leader="dot" w:pos="8504"/>
        </w:tabs>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_Toc5594 </w:instrText>
      </w:r>
      <w:r>
        <w:rPr>
          <w:rFonts w:ascii="Times New Roman" w:hAnsi="Times New Roman" w:cs="Times New Roman"/>
          <w:sz w:val="28"/>
          <w:szCs w:val="28"/>
        </w:rPr>
        <w:fldChar w:fldCharType="separate"/>
      </w:r>
      <w:r>
        <w:rPr>
          <w:rFonts w:ascii="Times New Roman" w:hAnsi="Times New Roman" w:eastAsia="楷体_GB2312" w:cs="Times New Roman"/>
          <w:sz w:val="28"/>
          <w:szCs w:val="28"/>
        </w:rPr>
        <w:t>（二）项目绩效目标</w:t>
      </w:r>
      <w:r>
        <w:rPr>
          <w:sz w:val="28"/>
          <w:szCs w:val="28"/>
        </w:rPr>
        <w:tab/>
      </w:r>
      <w:r>
        <w:rPr>
          <w:sz w:val="28"/>
          <w:szCs w:val="28"/>
        </w:rPr>
        <w:fldChar w:fldCharType="begin"/>
      </w:r>
      <w:r>
        <w:rPr>
          <w:sz w:val="28"/>
          <w:szCs w:val="28"/>
        </w:rPr>
        <w:instrText xml:space="preserve"> PAGEREF _Toc5594 \h </w:instrText>
      </w:r>
      <w:r>
        <w:rPr>
          <w:sz w:val="28"/>
          <w:szCs w:val="28"/>
        </w:rPr>
        <w:fldChar w:fldCharType="separate"/>
      </w:r>
      <w:r>
        <w:rPr>
          <w:sz w:val="28"/>
          <w:szCs w:val="28"/>
        </w:rPr>
        <w:t>3</w:t>
      </w:r>
      <w:r>
        <w:rPr>
          <w:sz w:val="28"/>
          <w:szCs w:val="28"/>
        </w:rPr>
        <w:fldChar w:fldCharType="end"/>
      </w:r>
      <w:r>
        <w:rPr>
          <w:rFonts w:ascii="Times New Roman" w:hAnsi="Times New Roman" w:cs="Times New Roman"/>
          <w:sz w:val="28"/>
          <w:szCs w:val="28"/>
        </w:rPr>
        <w:fldChar w:fldCharType="end"/>
      </w:r>
    </w:p>
    <w:p>
      <w:pPr>
        <w:pStyle w:val="14"/>
        <w:tabs>
          <w:tab w:val="right" w:leader="dot" w:pos="8504"/>
        </w:tabs>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_Toc26299 </w:instrText>
      </w:r>
      <w:r>
        <w:rPr>
          <w:rFonts w:ascii="Times New Roman" w:hAnsi="Times New Roman" w:cs="Times New Roman"/>
          <w:sz w:val="28"/>
          <w:szCs w:val="28"/>
        </w:rPr>
        <w:fldChar w:fldCharType="separate"/>
      </w:r>
      <w:r>
        <w:rPr>
          <w:rFonts w:hint="eastAsia" w:ascii="黑体" w:hAnsi="黑体" w:eastAsia="黑体" w:cs="黑体"/>
          <w:sz w:val="28"/>
          <w:szCs w:val="28"/>
        </w:rPr>
        <w:t>二、绩效评价工作开展情况</w:t>
      </w:r>
      <w:r>
        <w:rPr>
          <w:sz w:val="28"/>
          <w:szCs w:val="28"/>
        </w:rPr>
        <w:tab/>
      </w:r>
      <w:r>
        <w:rPr>
          <w:sz w:val="28"/>
          <w:szCs w:val="28"/>
        </w:rPr>
        <w:fldChar w:fldCharType="begin"/>
      </w:r>
      <w:r>
        <w:rPr>
          <w:sz w:val="28"/>
          <w:szCs w:val="28"/>
        </w:rPr>
        <w:instrText xml:space="preserve"> PAGEREF _Toc26299 \h </w:instrText>
      </w:r>
      <w:r>
        <w:rPr>
          <w:sz w:val="28"/>
          <w:szCs w:val="28"/>
        </w:rPr>
        <w:fldChar w:fldCharType="separate"/>
      </w:r>
      <w:r>
        <w:rPr>
          <w:sz w:val="28"/>
          <w:szCs w:val="28"/>
        </w:rPr>
        <w:t>4</w:t>
      </w:r>
      <w:r>
        <w:rPr>
          <w:sz w:val="28"/>
          <w:szCs w:val="28"/>
        </w:rPr>
        <w:fldChar w:fldCharType="end"/>
      </w:r>
      <w:r>
        <w:rPr>
          <w:rFonts w:ascii="Times New Roman" w:hAnsi="Times New Roman" w:cs="Times New Roman"/>
          <w:sz w:val="28"/>
          <w:szCs w:val="28"/>
        </w:rPr>
        <w:fldChar w:fldCharType="end"/>
      </w:r>
    </w:p>
    <w:p>
      <w:pPr>
        <w:pStyle w:val="16"/>
        <w:tabs>
          <w:tab w:val="right" w:leader="dot" w:pos="8504"/>
        </w:tabs>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_Toc21271 </w:instrText>
      </w:r>
      <w:r>
        <w:rPr>
          <w:rFonts w:ascii="Times New Roman" w:hAnsi="Times New Roman" w:cs="Times New Roman"/>
          <w:sz w:val="28"/>
          <w:szCs w:val="28"/>
        </w:rPr>
        <w:fldChar w:fldCharType="separate"/>
      </w:r>
      <w:r>
        <w:rPr>
          <w:rFonts w:ascii="Times New Roman" w:hAnsi="Times New Roman" w:eastAsia="楷体_GB2312" w:cs="Times New Roman"/>
          <w:sz w:val="28"/>
          <w:szCs w:val="28"/>
        </w:rPr>
        <w:t>（一）绩效评价目的、对象和范围</w:t>
      </w:r>
      <w:r>
        <w:rPr>
          <w:sz w:val="28"/>
          <w:szCs w:val="28"/>
        </w:rPr>
        <w:tab/>
      </w:r>
      <w:r>
        <w:rPr>
          <w:sz w:val="28"/>
          <w:szCs w:val="28"/>
        </w:rPr>
        <w:fldChar w:fldCharType="begin"/>
      </w:r>
      <w:r>
        <w:rPr>
          <w:sz w:val="28"/>
          <w:szCs w:val="28"/>
        </w:rPr>
        <w:instrText xml:space="preserve"> PAGEREF _Toc21271 \h </w:instrText>
      </w:r>
      <w:r>
        <w:rPr>
          <w:sz w:val="28"/>
          <w:szCs w:val="28"/>
        </w:rPr>
        <w:fldChar w:fldCharType="separate"/>
      </w:r>
      <w:r>
        <w:rPr>
          <w:sz w:val="28"/>
          <w:szCs w:val="28"/>
        </w:rPr>
        <w:t>4</w:t>
      </w:r>
      <w:r>
        <w:rPr>
          <w:sz w:val="28"/>
          <w:szCs w:val="28"/>
        </w:rPr>
        <w:fldChar w:fldCharType="end"/>
      </w:r>
      <w:r>
        <w:rPr>
          <w:rFonts w:ascii="Times New Roman" w:hAnsi="Times New Roman" w:cs="Times New Roman"/>
          <w:sz w:val="28"/>
          <w:szCs w:val="28"/>
        </w:rPr>
        <w:fldChar w:fldCharType="end"/>
      </w:r>
    </w:p>
    <w:p>
      <w:pPr>
        <w:pStyle w:val="16"/>
        <w:tabs>
          <w:tab w:val="right" w:leader="dot" w:pos="8504"/>
        </w:tabs>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_Toc22201 </w:instrText>
      </w:r>
      <w:r>
        <w:rPr>
          <w:rFonts w:ascii="Times New Roman" w:hAnsi="Times New Roman" w:cs="Times New Roman"/>
          <w:sz w:val="28"/>
          <w:szCs w:val="28"/>
        </w:rPr>
        <w:fldChar w:fldCharType="separate"/>
      </w:r>
      <w:r>
        <w:rPr>
          <w:rFonts w:ascii="Times New Roman" w:hAnsi="Times New Roman" w:eastAsia="楷体_GB2312" w:cs="Times New Roman"/>
          <w:sz w:val="28"/>
          <w:szCs w:val="28"/>
        </w:rPr>
        <w:t>（二）绩效评价原则、评价指标体系、评价方法和评价标准</w:t>
      </w:r>
      <w:r>
        <w:rPr>
          <w:sz w:val="28"/>
          <w:szCs w:val="28"/>
        </w:rPr>
        <w:tab/>
      </w:r>
      <w:r>
        <w:rPr>
          <w:sz w:val="28"/>
          <w:szCs w:val="28"/>
        </w:rPr>
        <w:fldChar w:fldCharType="begin"/>
      </w:r>
      <w:r>
        <w:rPr>
          <w:sz w:val="28"/>
          <w:szCs w:val="28"/>
        </w:rPr>
        <w:instrText xml:space="preserve"> PAGEREF _Toc22201 \h </w:instrText>
      </w:r>
      <w:r>
        <w:rPr>
          <w:sz w:val="28"/>
          <w:szCs w:val="28"/>
        </w:rPr>
        <w:fldChar w:fldCharType="separate"/>
      </w:r>
      <w:r>
        <w:rPr>
          <w:sz w:val="28"/>
          <w:szCs w:val="28"/>
        </w:rPr>
        <w:t>5</w:t>
      </w:r>
      <w:r>
        <w:rPr>
          <w:sz w:val="28"/>
          <w:szCs w:val="28"/>
        </w:rPr>
        <w:fldChar w:fldCharType="end"/>
      </w:r>
      <w:r>
        <w:rPr>
          <w:rFonts w:ascii="Times New Roman" w:hAnsi="Times New Roman" w:cs="Times New Roman"/>
          <w:sz w:val="28"/>
          <w:szCs w:val="28"/>
        </w:rPr>
        <w:fldChar w:fldCharType="end"/>
      </w:r>
    </w:p>
    <w:p>
      <w:pPr>
        <w:pStyle w:val="16"/>
        <w:tabs>
          <w:tab w:val="right" w:leader="dot" w:pos="8504"/>
        </w:tabs>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_Toc159 </w:instrText>
      </w:r>
      <w:r>
        <w:rPr>
          <w:rFonts w:ascii="Times New Roman" w:hAnsi="Times New Roman" w:cs="Times New Roman"/>
          <w:sz w:val="28"/>
          <w:szCs w:val="28"/>
        </w:rPr>
        <w:fldChar w:fldCharType="separate"/>
      </w:r>
      <w:r>
        <w:rPr>
          <w:rFonts w:ascii="Times New Roman" w:hAnsi="Times New Roman" w:eastAsia="楷体_GB2312" w:cs="Times New Roman"/>
          <w:sz w:val="28"/>
          <w:szCs w:val="28"/>
        </w:rPr>
        <w:t>（三）绩效评价工作过程</w:t>
      </w:r>
      <w:r>
        <w:rPr>
          <w:sz w:val="28"/>
          <w:szCs w:val="28"/>
        </w:rPr>
        <w:tab/>
      </w:r>
      <w:r>
        <w:rPr>
          <w:sz w:val="28"/>
          <w:szCs w:val="28"/>
        </w:rPr>
        <w:fldChar w:fldCharType="begin"/>
      </w:r>
      <w:r>
        <w:rPr>
          <w:sz w:val="28"/>
          <w:szCs w:val="28"/>
        </w:rPr>
        <w:instrText xml:space="preserve"> PAGEREF _Toc159 \h </w:instrText>
      </w:r>
      <w:r>
        <w:rPr>
          <w:sz w:val="28"/>
          <w:szCs w:val="28"/>
        </w:rPr>
        <w:fldChar w:fldCharType="separate"/>
      </w:r>
      <w:r>
        <w:rPr>
          <w:sz w:val="28"/>
          <w:szCs w:val="28"/>
        </w:rPr>
        <w:t>8</w:t>
      </w:r>
      <w:r>
        <w:rPr>
          <w:sz w:val="28"/>
          <w:szCs w:val="28"/>
        </w:rPr>
        <w:fldChar w:fldCharType="end"/>
      </w:r>
      <w:r>
        <w:rPr>
          <w:rFonts w:ascii="Times New Roman" w:hAnsi="Times New Roman" w:cs="Times New Roman"/>
          <w:sz w:val="28"/>
          <w:szCs w:val="28"/>
        </w:rPr>
        <w:fldChar w:fldCharType="end"/>
      </w:r>
    </w:p>
    <w:p>
      <w:pPr>
        <w:pStyle w:val="14"/>
        <w:tabs>
          <w:tab w:val="right" w:leader="dot" w:pos="8504"/>
        </w:tabs>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_Toc30652 </w:instrText>
      </w:r>
      <w:r>
        <w:rPr>
          <w:rFonts w:ascii="Times New Roman" w:hAnsi="Times New Roman" w:cs="Times New Roman"/>
          <w:sz w:val="28"/>
          <w:szCs w:val="28"/>
        </w:rPr>
        <w:fldChar w:fldCharType="separate"/>
      </w:r>
      <w:r>
        <w:rPr>
          <w:rFonts w:ascii="Times New Roman" w:hAnsi="Times New Roman" w:eastAsia="黑体" w:cs="Times New Roman"/>
          <w:bCs/>
          <w:sz w:val="28"/>
          <w:szCs w:val="28"/>
        </w:rPr>
        <w:t>三、综合评价情况及评价结论</w:t>
      </w:r>
      <w:r>
        <w:rPr>
          <w:sz w:val="28"/>
          <w:szCs w:val="28"/>
        </w:rPr>
        <w:tab/>
      </w:r>
      <w:r>
        <w:rPr>
          <w:sz w:val="28"/>
          <w:szCs w:val="28"/>
        </w:rPr>
        <w:fldChar w:fldCharType="begin"/>
      </w:r>
      <w:r>
        <w:rPr>
          <w:sz w:val="28"/>
          <w:szCs w:val="28"/>
        </w:rPr>
        <w:instrText xml:space="preserve"> PAGEREF _Toc30652 \h </w:instrText>
      </w:r>
      <w:r>
        <w:rPr>
          <w:sz w:val="28"/>
          <w:szCs w:val="28"/>
        </w:rPr>
        <w:fldChar w:fldCharType="separate"/>
      </w:r>
      <w:r>
        <w:rPr>
          <w:sz w:val="28"/>
          <w:szCs w:val="28"/>
        </w:rPr>
        <w:t>9</w:t>
      </w:r>
      <w:r>
        <w:rPr>
          <w:sz w:val="28"/>
          <w:szCs w:val="28"/>
        </w:rPr>
        <w:fldChar w:fldCharType="end"/>
      </w:r>
      <w:r>
        <w:rPr>
          <w:rFonts w:ascii="Times New Roman" w:hAnsi="Times New Roman" w:cs="Times New Roman"/>
          <w:sz w:val="28"/>
          <w:szCs w:val="28"/>
        </w:rPr>
        <w:fldChar w:fldCharType="end"/>
      </w:r>
    </w:p>
    <w:p>
      <w:pPr>
        <w:pStyle w:val="14"/>
        <w:tabs>
          <w:tab w:val="right" w:leader="dot" w:pos="8504"/>
        </w:tabs>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_Toc14951 </w:instrText>
      </w:r>
      <w:r>
        <w:rPr>
          <w:rFonts w:ascii="Times New Roman" w:hAnsi="Times New Roman" w:cs="Times New Roman"/>
          <w:sz w:val="28"/>
          <w:szCs w:val="28"/>
        </w:rPr>
        <w:fldChar w:fldCharType="separate"/>
      </w:r>
      <w:r>
        <w:rPr>
          <w:rFonts w:hint="default" w:ascii="Times New Roman" w:hAnsi="Times New Roman" w:eastAsia="黑体" w:cs="Times New Roman"/>
          <w:sz w:val="28"/>
          <w:szCs w:val="28"/>
        </w:rPr>
        <w:t>四、绩效评价指标分析</w:t>
      </w:r>
      <w:r>
        <w:rPr>
          <w:sz w:val="28"/>
          <w:szCs w:val="28"/>
        </w:rPr>
        <w:tab/>
      </w:r>
      <w:r>
        <w:rPr>
          <w:sz w:val="28"/>
          <w:szCs w:val="28"/>
        </w:rPr>
        <w:fldChar w:fldCharType="begin"/>
      </w:r>
      <w:r>
        <w:rPr>
          <w:sz w:val="28"/>
          <w:szCs w:val="28"/>
        </w:rPr>
        <w:instrText xml:space="preserve"> PAGEREF _Toc14951 \h </w:instrText>
      </w:r>
      <w:r>
        <w:rPr>
          <w:sz w:val="28"/>
          <w:szCs w:val="28"/>
        </w:rPr>
        <w:fldChar w:fldCharType="separate"/>
      </w:r>
      <w:r>
        <w:rPr>
          <w:sz w:val="28"/>
          <w:szCs w:val="28"/>
        </w:rPr>
        <w:t>9</w:t>
      </w:r>
      <w:r>
        <w:rPr>
          <w:sz w:val="28"/>
          <w:szCs w:val="28"/>
        </w:rPr>
        <w:fldChar w:fldCharType="end"/>
      </w:r>
      <w:r>
        <w:rPr>
          <w:rFonts w:ascii="Times New Roman" w:hAnsi="Times New Roman" w:cs="Times New Roman"/>
          <w:sz w:val="28"/>
          <w:szCs w:val="28"/>
        </w:rPr>
        <w:fldChar w:fldCharType="end"/>
      </w:r>
    </w:p>
    <w:p>
      <w:pPr>
        <w:pStyle w:val="16"/>
        <w:tabs>
          <w:tab w:val="right" w:leader="dot" w:pos="8504"/>
        </w:tabs>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_Toc9996 </w:instrText>
      </w:r>
      <w:r>
        <w:rPr>
          <w:rFonts w:ascii="Times New Roman" w:hAnsi="Times New Roman" w:cs="Times New Roman"/>
          <w:sz w:val="28"/>
          <w:szCs w:val="28"/>
        </w:rPr>
        <w:fldChar w:fldCharType="separate"/>
      </w:r>
      <w:r>
        <w:rPr>
          <w:rFonts w:ascii="Times New Roman" w:hAnsi="Times New Roman" w:eastAsia="楷体_GB2312" w:cs="Times New Roman"/>
          <w:sz w:val="28"/>
          <w:szCs w:val="28"/>
        </w:rPr>
        <w:t>（一）项目决策情况</w:t>
      </w:r>
      <w:r>
        <w:rPr>
          <w:sz w:val="28"/>
          <w:szCs w:val="28"/>
        </w:rPr>
        <w:tab/>
      </w:r>
      <w:r>
        <w:rPr>
          <w:sz w:val="28"/>
          <w:szCs w:val="28"/>
        </w:rPr>
        <w:fldChar w:fldCharType="begin"/>
      </w:r>
      <w:r>
        <w:rPr>
          <w:sz w:val="28"/>
          <w:szCs w:val="28"/>
        </w:rPr>
        <w:instrText xml:space="preserve"> PAGEREF _Toc9996 \h </w:instrText>
      </w:r>
      <w:r>
        <w:rPr>
          <w:sz w:val="28"/>
          <w:szCs w:val="28"/>
        </w:rPr>
        <w:fldChar w:fldCharType="separate"/>
      </w:r>
      <w:r>
        <w:rPr>
          <w:sz w:val="28"/>
          <w:szCs w:val="28"/>
        </w:rPr>
        <w:t>10</w:t>
      </w:r>
      <w:r>
        <w:rPr>
          <w:sz w:val="28"/>
          <w:szCs w:val="28"/>
        </w:rPr>
        <w:fldChar w:fldCharType="end"/>
      </w:r>
      <w:r>
        <w:rPr>
          <w:rFonts w:ascii="Times New Roman" w:hAnsi="Times New Roman" w:cs="Times New Roman"/>
          <w:sz w:val="28"/>
          <w:szCs w:val="28"/>
        </w:rPr>
        <w:fldChar w:fldCharType="end"/>
      </w:r>
    </w:p>
    <w:p>
      <w:pPr>
        <w:pStyle w:val="16"/>
        <w:tabs>
          <w:tab w:val="right" w:leader="dot" w:pos="8504"/>
        </w:tabs>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_Toc32029 </w:instrText>
      </w:r>
      <w:r>
        <w:rPr>
          <w:rFonts w:ascii="Times New Roman" w:hAnsi="Times New Roman" w:cs="Times New Roman"/>
          <w:sz w:val="28"/>
          <w:szCs w:val="28"/>
        </w:rPr>
        <w:fldChar w:fldCharType="separate"/>
      </w:r>
      <w:r>
        <w:rPr>
          <w:rFonts w:ascii="Times New Roman" w:hAnsi="Times New Roman" w:eastAsia="楷体_GB2312" w:cs="Times New Roman"/>
          <w:bCs w:val="0"/>
          <w:sz w:val="28"/>
          <w:szCs w:val="28"/>
        </w:rPr>
        <w:t>（二）项目过程情况</w:t>
      </w:r>
      <w:r>
        <w:rPr>
          <w:sz w:val="28"/>
          <w:szCs w:val="28"/>
        </w:rPr>
        <w:tab/>
      </w:r>
      <w:r>
        <w:rPr>
          <w:sz w:val="28"/>
          <w:szCs w:val="28"/>
        </w:rPr>
        <w:fldChar w:fldCharType="begin"/>
      </w:r>
      <w:r>
        <w:rPr>
          <w:sz w:val="28"/>
          <w:szCs w:val="28"/>
        </w:rPr>
        <w:instrText xml:space="preserve"> PAGEREF _Toc32029 \h </w:instrText>
      </w:r>
      <w:r>
        <w:rPr>
          <w:sz w:val="28"/>
          <w:szCs w:val="28"/>
        </w:rPr>
        <w:fldChar w:fldCharType="separate"/>
      </w:r>
      <w:r>
        <w:rPr>
          <w:sz w:val="28"/>
          <w:szCs w:val="28"/>
        </w:rPr>
        <w:t>11</w:t>
      </w:r>
      <w:r>
        <w:rPr>
          <w:sz w:val="28"/>
          <w:szCs w:val="28"/>
        </w:rPr>
        <w:fldChar w:fldCharType="end"/>
      </w:r>
      <w:r>
        <w:rPr>
          <w:rFonts w:ascii="Times New Roman" w:hAnsi="Times New Roman" w:cs="Times New Roman"/>
          <w:sz w:val="28"/>
          <w:szCs w:val="28"/>
        </w:rPr>
        <w:fldChar w:fldCharType="end"/>
      </w:r>
    </w:p>
    <w:p>
      <w:pPr>
        <w:pStyle w:val="16"/>
        <w:tabs>
          <w:tab w:val="right" w:leader="dot" w:pos="8504"/>
        </w:tabs>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_Toc14621 </w:instrText>
      </w:r>
      <w:r>
        <w:rPr>
          <w:rFonts w:ascii="Times New Roman" w:hAnsi="Times New Roman" w:cs="Times New Roman"/>
          <w:sz w:val="28"/>
          <w:szCs w:val="28"/>
        </w:rPr>
        <w:fldChar w:fldCharType="separate"/>
      </w:r>
      <w:r>
        <w:rPr>
          <w:rFonts w:hint="eastAsia" w:ascii="Times New Roman" w:hAnsi="Times New Roman" w:eastAsia="楷体_GB2312" w:cs="Times New Roman"/>
          <w:bCs w:val="0"/>
          <w:sz w:val="28"/>
          <w:szCs w:val="28"/>
          <w:lang w:eastAsia="zh-CN"/>
        </w:rPr>
        <w:t>（</w:t>
      </w:r>
      <w:r>
        <w:rPr>
          <w:rFonts w:hint="eastAsia" w:ascii="Times New Roman" w:hAnsi="Times New Roman" w:eastAsia="楷体_GB2312" w:cs="Times New Roman"/>
          <w:bCs w:val="0"/>
          <w:sz w:val="28"/>
          <w:szCs w:val="28"/>
          <w:lang w:val="en-US" w:eastAsia="zh-CN"/>
        </w:rPr>
        <w:t>三</w:t>
      </w:r>
      <w:r>
        <w:rPr>
          <w:rFonts w:hint="eastAsia" w:ascii="Times New Roman" w:hAnsi="Times New Roman" w:eastAsia="楷体_GB2312" w:cs="Times New Roman"/>
          <w:bCs w:val="0"/>
          <w:sz w:val="28"/>
          <w:szCs w:val="28"/>
          <w:lang w:eastAsia="zh-CN"/>
        </w:rPr>
        <w:t>）</w:t>
      </w:r>
      <w:r>
        <w:rPr>
          <w:rFonts w:ascii="Times New Roman" w:hAnsi="Times New Roman" w:eastAsia="楷体_GB2312" w:cs="Times New Roman"/>
          <w:bCs w:val="0"/>
          <w:sz w:val="28"/>
          <w:szCs w:val="28"/>
        </w:rPr>
        <w:t>项目产出</w:t>
      </w:r>
      <w:r>
        <w:rPr>
          <w:rFonts w:hint="eastAsia" w:ascii="Times New Roman" w:hAnsi="Times New Roman" w:eastAsia="楷体_GB2312" w:cs="Times New Roman"/>
          <w:bCs w:val="0"/>
          <w:sz w:val="28"/>
          <w:szCs w:val="28"/>
          <w:lang w:val="en-US" w:eastAsia="zh-CN"/>
        </w:rPr>
        <w:t>情况</w:t>
      </w:r>
      <w:r>
        <w:rPr>
          <w:sz w:val="28"/>
          <w:szCs w:val="28"/>
        </w:rPr>
        <w:tab/>
      </w:r>
      <w:r>
        <w:rPr>
          <w:sz w:val="28"/>
          <w:szCs w:val="28"/>
        </w:rPr>
        <w:fldChar w:fldCharType="begin"/>
      </w:r>
      <w:r>
        <w:rPr>
          <w:sz w:val="28"/>
          <w:szCs w:val="28"/>
        </w:rPr>
        <w:instrText xml:space="preserve"> PAGEREF _Toc14621 \h </w:instrText>
      </w:r>
      <w:r>
        <w:rPr>
          <w:sz w:val="28"/>
          <w:szCs w:val="28"/>
        </w:rPr>
        <w:fldChar w:fldCharType="separate"/>
      </w:r>
      <w:r>
        <w:rPr>
          <w:sz w:val="28"/>
          <w:szCs w:val="28"/>
        </w:rPr>
        <w:t>13</w:t>
      </w:r>
      <w:r>
        <w:rPr>
          <w:sz w:val="28"/>
          <w:szCs w:val="28"/>
        </w:rPr>
        <w:fldChar w:fldCharType="end"/>
      </w:r>
      <w:r>
        <w:rPr>
          <w:rFonts w:ascii="Times New Roman" w:hAnsi="Times New Roman" w:cs="Times New Roman"/>
          <w:sz w:val="28"/>
          <w:szCs w:val="28"/>
        </w:rPr>
        <w:fldChar w:fldCharType="end"/>
      </w:r>
    </w:p>
    <w:p>
      <w:pPr>
        <w:pStyle w:val="16"/>
        <w:tabs>
          <w:tab w:val="right" w:leader="dot" w:pos="8504"/>
        </w:tabs>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_Toc21491 </w:instrText>
      </w:r>
      <w:r>
        <w:rPr>
          <w:rFonts w:ascii="Times New Roman" w:hAnsi="Times New Roman" w:cs="Times New Roman"/>
          <w:sz w:val="28"/>
          <w:szCs w:val="28"/>
        </w:rPr>
        <w:fldChar w:fldCharType="separate"/>
      </w:r>
      <w:r>
        <w:rPr>
          <w:rFonts w:hint="eastAsia" w:ascii="Times New Roman" w:hAnsi="Times New Roman" w:eastAsia="楷体_GB2312" w:cs="Times New Roman"/>
          <w:bCs w:val="0"/>
          <w:sz w:val="28"/>
          <w:szCs w:val="28"/>
          <w:lang w:eastAsia="zh-CN"/>
        </w:rPr>
        <w:t>（</w:t>
      </w:r>
      <w:r>
        <w:rPr>
          <w:rFonts w:hint="eastAsia" w:ascii="Times New Roman" w:hAnsi="Times New Roman" w:eastAsia="楷体_GB2312" w:cs="Times New Roman"/>
          <w:bCs w:val="0"/>
          <w:sz w:val="28"/>
          <w:szCs w:val="28"/>
          <w:lang w:val="en-US" w:eastAsia="zh-CN"/>
        </w:rPr>
        <w:t>四</w:t>
      </w:r>
      <w:r>
        <w:rPr>
          <w:rFonts w:hint="eastAsia" w:ascii="Times New Roman" w:hAnsi="Times New Roman" w:eastAsia="楷体_GB2312" w:cs="Times New Roman"/>
          <w:bCs w:val="0"/>
          <w:sz w:val="28"/>
          <w:szCs w:val="28"/>
          <w:lang w:eastAsia="zh-CN"/>
        </w:rPr>
        <w:t>）</w:t>
      </w:r>
      <w:r>
        <w:rPr>
          <w:rFonts w:hint="eastAsia" w:ascii="Times New Roman" w:hAnsi="Times New Roman" w:eastAsia="楷体_GB2312" w:cs="Times New Roman"/>
          <w:bCs w:val="0"/>
          <w:sz w:val="28"/>
          <w:szCs w:val="28"/>
          <w:lang w:val="en-US" w:eastAsia="zh-CN"/>
        </w:rPr>
        <w:t>项目</w:t>
      </w:r>
      <w:r>
        <w:rPr>
          <w:rFonts w:ascii="Times New Roman" w:hAnsi="Times New Roman" w:eastAsia="楷体_GB2312" w:cs="Times New Roman"/>
          <w:bCs w:val="0"/>
          <w:sz w:val="28"/>
          <w:szCs w:val="28"/>
        </w:rPr>
        <w:t>效益情况</w:t>
      </w:r>
      <w:r>
        <w:rPr>
          <w:sz w:val="28"/>
          <w:szCs w:val="28"/>
        </w:rPr>
        <w:tab/>
      </w:r>
      <w:r>
        <w:rPr>
          <w:sz w:val="28"/>
          <w:szCs w:val="28"/>
        </w:rPr>
        <w:fldChar w:fldCharType="begin"/>
      </w:r>
      <w:r>
        <w:rPr>
          <w:sz w:val="28"/>
          <w:szCs w:val="28"/>
        </w:rPr>
        <w:instrText xml:space="preserve"> PAGEREF _Toc21491 \h </w:instrText>
      </w:r>
      <w:r>
        <w:rPr>
          <w:sz w:val="28"/>
          <w:szCs w:val="28"/>
        </w:rPr>
        <w:fldChar w:fldCharType="separate"/>
      </w:r>
      <w:r>
        <w:rPr>
          <w:sz w:val="28"/>
          <w:szCs w:val="28"/>
        </w:rPr>
        <w:t>14</w:t>
      </w:r>
      <w:r>
        <w:rPr>
          <w:sz w:val="28"/>
          <w:szCs w:val="28"/>
        </w:rPr>
        <w:fldChar w:fldCharType="end"/>
      </w:r>
      <w:r>
        <w:rPr>
          <w:rFonts w:ascii="Times New Roman" w:hAnsi="Times New Roman" w:cs="Times New Roman"/>
          <w:sz w:val="28"/>
          <w:szCs w:val="28"/>
        </w:rPr>
        <w:fldChar w:fldCharType="end"/>
      </w:r>
    </w:p>
    <w:p>
      <w:pPr>
        <w:pStyle w:val="14"/>
        <w:tabs>
          <w:tab w:val="right" w:leader="dot" w:pos="8504"/>
        </w:tabs>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_Toc15008 </w:instrText>
      </w:r>
      <w:r>
        <w:rPr>
          <w:rFonts w:ascii="Times New Roman" w:hAnsi="Times New Roman" w:cs="Times New Roman"/>
          <w:sz w:val="28"/>
          <w:szCs w:val="28"/>
        </w:rPr>
        <w:fldChar w:fldCharType="separate"/>
      </w:r>
      <w:r>
        <w:rPr>
          <w:rFonts w:ascii="Times New Roman" w:hAnsi="Times New Roman" w:eastAsia="黑体" w:cs="Times New Roman"/>
          <w:bCs/>
          <w:sz w:val="28"/>
          <w:szCs w:val="28"/>
        </w:rPr>
        <w:t>五、主要经验及做法、存在的问题及原因分析</w:t>
      </w:r>
      <w:r>
        <w:rPr>
          <w:sz w:val="28"/>
          <w:szCs w:val="28"/>
        </w:rPr>
        <w:tab/>
      </w:r>
      <w:r>
        <w:rPr>
          <w:sz w:val="28"/>
          <w:szCs w:val="28"/>
        </w:rPr>
        <w:fldChar w:fldCharType="begin"/>
      </w:r>
      <w:r>
        <w:rPr>
          <w:sz w:val="28"/>
          <w:szCs w:val="28"/>
        </w:rPr>
        <w:instrText xml:space="preserve"> PAGEREF _Toc15008 \h </w:instrText>
      </w:r>
      <w:r>
        <w:rPr>
          <w:sz w:val="28"/>
          <w:szCs w:val="28"/>
        </w:rPr>
        <w:fldChar w:fldCharType="separate"/>
      </w:r>
      <w:r>
        <w:rPr>
          <w:sz w:val="28"/>
          <w:szCs w:val="28"/>
        </w:rPr>
        <w:t>15</w:t>
      </w:r>
      <w:r>
        <w:rPr>
          <w:sz w:val="28"/>
          <w:szCs w:val="28"/>
        </w:rPr>
        <w:fldChar w:fldCharType="end"/>
      </w:r>
      <w:r>
        <w:rPr>
          <w:rFonts w:ascii="Times New Roman" w:hAnsi="Times New Roman" w:cs="Times New Roman"/>
          <w:sz w:val="28"/>
          <w:szCs w:val="28"/>
        </w:rPr>
        <w:fldChar w:fldCharType="end"/>
      </w:r>
    </w:p>
    <w:p>
      <w:pPr>
        <w:pStyle w:val="16"/>
        <w:tabs>
          <w:tab w:val="right" w:leader="dot" w:pos="8504"/>
        </w:tabs>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_Toc13817 </w:instrText>
      </w:r>
      <w:r>
        <w:rPr>
          <w:rFonts w:ascii="Times New Roman" w:hAnsi="Times New Roman" w:cs="Times New Roman"/>
          <w:sz w:val="28"/>
          <w:szCs w:val="28"/>
        </w:rPr>
        <w:fldChar w:fldCharType="separate"/>
      </w:r>
      <w:r>
        <w:rPr>
          <w:rFonts w:ascii="Times New Roman" w:hAnsi="Times New Roman" w:eastAsia="楷体_GB2312" w:cs="Times New Roman"/>
          <w:bCs/>
          <w:kern w:val="0"/>
          <w:sz w:val="28"/>
          <w:szCs w:val="28"/>
        </w:rPr>
        <w:t>（一）主要经验及做法</w:t>
      </w:r>
      <w:r>
        <w:rPr>
          <w:sz w:val="28"/>
          <w:szCs w:val="28"/>
        </w:rPr>
        <w:tab/>
      </w:r>
      <w:r>
        <w:rPr>
          <w:sz w:val="28"/>
          <w:szCs w:val="28"/>
        </w:rPr>
        <w:fldChar w:fldCharType="begin"/>
      </w:r>
      <w:r>
        <w:rPr>
          <w:sz w:val="28"/>
          <w:szCs w:val="28"/>
        </w:rPr>
        <w:instrText xml:space="preserve"> PAGEREF _Toc13817 \h </w:instrText>
      </w:r>
      <w:r>
        <w:rPr>
          <w:sz w:val="28"/>
          <w:szCs w:val="28"/>
        </w:rPr>
        <w:fldChar w:fldCharType="separate"/>
      </w:r>
      <w:r>
        <w:rPr>
          <w:sz w:val="28"/>
          <w:szCs w:val="28"/>
        </w:rPr>
        <w:t>15</w:t>
      </w:r>
      <w:r>
        <w:rPr>
          <w:sz w:val="28"/>
          <w:szCs w:val="28"/>
        </w:rPr>
        <w:fldChar w:fldCharType="end"/>
      </w:r>
      <w:r>
        <w:rPr>
          <w:rFonts w:ascii="Times New Roman" w:hAnsi="Times New Roman" w:cs="Times New Roman"/>
          <w:sz w:val="28"/>
          <w:szCs w:val="28"/>
        </w:rPr>
        <w:fldChar w:fldCharType="end"/>
      </w:r>
    </w:p>
    <w:p>
      <w:pPr>
        <w:pStyle w:val="16"/>
        <w:tabs>
          <w:tab w:val="right" w:leader="dot" w:pos="8504"/>
        </w:tabs>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_Toc30465 </w:instrText>
      </w:r>
      <w:r>
        <w:rPr>
          <w:rFonts w:ascii="Times New Roman" w:hAnsi="Times New Roman" w:cs="Times New Roman"/>
          <w:sz w:val="28"/>
          <w:szCs w:val="28"/>
        </w:rPr>
        <w:fldChar w:fldCharType="separate"/>
      </w:r>
      <w:r>
        <w:rPr>
          <w:rFonts w:ascii="Times New Roman" w:hAnsi="Times New Roman" w:eastAsia="楷体_GB2312" w:cs="Times New Roman"/>
          <w:bCs/>
          <w:kern w:val="0"/>
          <w:sz w:val="28"/>
          <w:szCs w:val="28"/>
        </w:rPr>
        <w:t>（二）存在的问题及原因分析</w:t>
      </w:r>
      <w:r>
        <w:rPr>
          <w:sz w:val="28"/>
          <w:szCs w:val="28"/>
        </w:rPr>
        <w:tab/>
      </w:r>
      <w:r>
        <w:rPr>
          <w:sz w:val="28"/>
          <w:szCs w:val="28"/>
        </w:rPr>
        <w:fldChar w:fldCharType="begin"/>
      </w:r>
      <w:r>
        <w:rPr>
          <w:sz w:val="28"/>
          <w:szCs w:val="28"/>
        </w:rPr>
        <w:instrText xml:space="preserve"> PAGEREF _Toc30465 \h </w:instrText>
      </w:r>
      <w:r>
        <w:rPr>
          <w:sz w:val="28"/>
          <w:szCs w:val="28"/>
        </w:rPr>
        <w:fldChar w:fldCharType="separate"/>
      </w:r>
      <w:r>
        <w:rPr>
          <w:sz w:val="28"/>
          <w:szCs w:val="28"/>
        </w:rPr>
        <w:t>16</w:t>
      </w:r>
      <w:r>
        <w:rPr>
          <w:sz w:val="28"/>
          <w:szCs w:val="28"/>
        </w:rPr>
        <w:fldChar w:fldCharType="end"/>
      </w:r>
      <w:r>
        <w:rPr>
          <w:rFonts w:ascii="Times New Roman" w:hAnsi="Times New Roman" w:cs="Times New Roman"/>
          <w:sz w:val="28"/>
          <w:szCs w:val="28"/>
        </w:rPr>
        <w:fldChar w:fldCharType="end"/>
      </w:r>
    </w:p>
    <w:p>
      <w:pPr>
        <w:pStyle w:val="14"/>
        <w:tabs>
          <w:tab w:val="right" w:leader="dot" w:pos="8504"/>
        </w:tabs>
        <w:rPr>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HYPERLINK \l _Toc5917 </w:instrText>
      </w:r>
      <w:r>
        <w:rPr>
          <w:rFonts w:ascii="Times New Roman" w:hAnsi="Times New Roman" w:cs="Times New Roman"/>
          <w:sz w:val="28"/>
          <w:szCs w:val="28"/>
        </w:rPr>
        <w:fldChar w:fldCharType="separate"/>
      </w:r>
      <w:r>
        <w:rPr>
          <w:rFonts w:ascii="Times New Roman" w:hAnsi="Times New Roman" w:eastAsia="黑体" w:cs="Times New Roman"/>
          <w:bCs/>
          <w:sz w:val="28"/>
          <w:szCs w:val="28"/>
          <w:highlight w:val="none"/>
        </w:rPr>
        <w:t>六、有关建议</w:t>
      </w:r>
      <w:r>
        <w:rPr>
          <w:sz w:val="28"/>
          <w:szCs w:val="28"/>
        </w:rPr>
        <w:tab/>
      </w:r>
      <w:r>
        <w:rPr>
          <w:sz w:val="28"/>
          <w:szCs w:val="28"/>
        </w:rPr>
        <w:fldChar w:fldCharType="begin"/>
      </w:r>
      <w:r>
        <w:rPr>
          <w:sz w:val="28"/>
          <w:szCs w:val="28"/>
        </w:rPr>
        <w:instrText xml:space="preserve"> PAGEREF _Toc5917 \h </w:instrText>
      </w:r>
      <w:r>
        <w:rPr>
          <w:sz w:val="28"/>
          <w:szCs w:val="28"/>
        </w:rPr>
        <w:fldChar w:fldCharType="separate"/>
      </w:r>
      <w:r>
        <w:rPr>
          <w:sz w:val="28"/>
          <w:szCs w:val="28"/>
        </w:rPr>
        <w:t>16</w:t>
      </w:r>
      <w:r>
        <w:rPr>
          <w:sz w:val="28"/>
          <w:szCs w:val="28"/>
        </w:rPr>
        <w:fldChar w:fldCharType="end"/>
      </w:r>
      <w:r>
        <w:rPr>
          <w:rFonts w:ascii="Times New Roman" w:hAnsi="Times New Roman" w:cs="Times New Roman"/>
          <w:sz w:val="28"/>
          <w:szCs w:val="28"/>
        </w:rPr>
        <w:fldChar w:fldCharType="end"/>
      </w:r>
    </w:p>
    <w:p>
      <w:pPr>
        <w:rPr>
          <w:rFonts w:ascii="Times New Roman" w:hAnsi="Times New Roman" w:cs="Times New Roman"/>
          <w:sz w:val="28"/>
          <w:szCs w:val="28"/>
        </w:rPr>
      </w:pPr>
      <w:r>
        <w:rPr>
          <w:rFonts w:ascii="Times New Roman" w:hAnsi="Times New Roman" w:cs="Times New Roman"/>
          <w:sz w:val="28"/>
          <w:szCs w:val="28"/>
        </w:rPr>
        <w:fldChar w:fldCharType="end"/>
      </w:r>
    </w:p>
    <w:p>
      <w:pPr>
        <w:pStyle w:val="14"/>
        <w:tabs>
          <w:tab w:val="right" w:leader="dot" w:pos="8306"/>
        </w:tabs>
        <w:spacing w:line="600" w:lineRule="exact"/>
        <w:ind w:firstLine="0" w:firstLineChars="0"/>
        <w:jc w:val="center"/>
        <w:outlineLvl w:val="0"/>
        <w:rPr>
          <w:rFonts w:ascii="Times New Roman" w:hAnsi="Times New Roman" w:eastAsia="方正小标宋_GBK" w:cs="Times New Roman"/>
          <w:bCs/>
          <w:sz w:val="44"/>
          <w:szCs w:val="44"/>
        </w:rPr>
      </w:pPr>
      <w:bookmarkStart w:id="7" w:name="_Toc1963367433_WPSOffice_Level1"/>
      <w:bookmarkStart w:id="8" w:name="_Toc683093632_WPSOffice_Level1"/>
      <w:bookmarkStart w:id="9" w:name="_Toc14782"/>
      <w:bookmarkStart w:id="10" w:name="_Toc15160"/>
      <w:bookmarkStart w:id="11" w:name="_Toc12982"/>
      <w:bookmarkStart w:id="12" w:name="_Toc27012"/>
    </w:p>
    <w:p>
      <w:pPr>
        <w:pStyle w:val="14"/>
        <w:tabs>
          <w:tab w:val="right" w:leader="dot" w:pos="8306"/>
        </w:tabs>
        <w:spacing w:line="600" w:lineRule="exact"/>
        <w:ind w:firstLine="0" w:firstLineChars="0"/>
        <w:jc w:val="center"/>
        <w:outlineLvl w:val="9"/>
        <w:rPr>
          <w:rFonts w:ascii="Times New Roman" w:hAnsi="Times New Roman" w:eastAsia="方正小标宋_GBK" w:cs="Times New Roman"/>
          <w:bCs/>
          <w:sz w:val="44"/>
          <w:szCs w:val="44"/>
        </w:rPr>
        <w:sectPr>
          <w:footerReference r:id="rId8" w:type="default"/>
          <w:pgSz w:w="11906" w:h="16838"/>
          <w:pgMar w:top="1701" w:right="1701" w:bottom="1701" w:left="1701" w:header="851" w:footer="992" w:gutter="0"/>
          <w:pgNumType w:start="1"/>
          <w:cols w:space="720" w:num="1"/>
          <w:docGrid w:type="lines" w:linePitch="327" w:charSpace="0"/>
        </w:sectPr>
      </w:pPr>
    </w:p>
    <w:p>
      <w:pPr>
        <w:pStyle w:val="14"/>
        <w:tabs>
          <w:tab w:val="right" w:leader="dot" w:pos="8306"/>
        </w:tabs>
        <w:spacing w:line="600" w:lineRule="exact"/>
        <w:ind w:firstLine="0" w:firstLineChars="0"/>
        <w:jc w:val="center"/>
        <w:outlineLvl w:val="9"/>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w:t>
      </w:r>
      <w:bookmarkStart w:id="13" w:name="_Hlk71567343"/>
      <w:r>
        <w:rPr>
          <w:rFonts w:hint="eastAsia" w:ascii="方正小标宋简体" w:hAnsi="方正小标宋简体" w:eastAsia="方正小标宋简体" w:cs="方正小标宋简体"/>
          <w:bCs/>
          <w:sz w:val="44"/>
          <w:szCs w:val="44"/>
        </w:rPr>
        <w:t>预审计服务</w:t>
      </w:r>
      <w:bookmarkEnd w:id="13"/>
      <w:r>
        <w:rPr>
          <w:rFonts w:hint="eastAsia" w:ascii="方正小标宋简体" w:hAnsi="方正小标宋简体" w:eastAsia="方正小标宋简体" w:cs="方正小标宋简体"/>
          <w:bCs/>
          <w:sz w:val="44"/>
          <w:szCs w:val="44"/>
        </w:rPr>
        <w:t>”项目</w:t>
      </w:r>
      <w:bookmarkEnd w:id="7"/>
      <w:bookmarkEnd w:id="8"/>
      <w:bookmarkStart w:id="14" w:name="_Toc307096162_WPSOffice_Level1"/>
      <w:bookmarkStart w:id="15" w:name="_Toc82726629_WPSOffice_Level1"/>
      <w:r>
        <w:rPr>
          <w:rFonts w:hint="eastAsia" w:ascii="方正小标宋简体" w:hAnsi="方正小标宋简体" w:eastAsia="方正小标宋简体" w:cs="方正小标宋简体"/>
          <w:bCs/>
          <w:sz w:val="44"/>
          <w:szCs w:val="44"/>
        </w:rPr>
        <w:t>支出绩效评价报告</w:t>
      </w:r>
      <w:bookmarkEnd w:id="9"/>
      <w:bookmarkEnd w:id="10"/>
      <w:bookmarkEnd w:id="11"/>
      <w:bookmarkEnd w:id="12"/>
      <w:bookmarkEnd w:id="14"/>
      <w:bookmarkEnd w:id="15"/>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bookmarkStart w:id="16" w:name="_Toc4184"/>
      <w:bookmarkStart w:id="17" w:name="_Toc2823"/>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为</w:t>
      </w:r>
      <w:r>
        <w:rPr>
          <w:rFonts w:hint="eastAsia" w:ascii="仿宋_GB2312" w:hAnsi="仿宋_GB2312" w:eastAsia="仿宋_GB2312" w:cs="仿宋_GB2312"/>
          <w:bCs/>
          <w:kern w:val="44"/>
          <w:sz w:val="32"/>
          <w:szCs w:val="32"/>
          <w:highlight w:val="none"/>
          <w:lang w:val="en-US" w:eastAsia="zh-CN"/>
        </w:rPr>
        <w:t>贯彻</w:t>
      </w:r>
      <w:r>
        <w:rPr>
          <w:rFonts w:hint="eastAsia" w:ascii="仿宋_GB2312" w:hAnsi="仿宋_GB2312" w:eastAsia="仿宋_GB2312" w:cs="仿宋_GB2312"/>
          <w:bCs/>
          <w:kern w:val="44"/>
          <w:sz w:val="32"/>
          <w:szCs w:val="32"/>
          <w:highlight w:val="none"/>
        </w:rPr>
        <w:t>落实《中共中央 国务院关于全面实施预算绩效管理的意见》（中发〔2018〕34号），强化以结果为导向的预算绩效管理机制，规范财政支出管理，切实增强部门支出责任和效率意识，提高财政资金使用效益</w:t>
      </w:r>
      <w:r>
        <w:rPr>
          <w:rFonts w:hint="eastAsia" w:ascii="仿宋_GB2312" w:hAnsi="仿宋_GB2312" w:eastAsia="仿宋_GB2312" w:cs="仿宋_GB2312"/>
          <w:bCs/>
          <w:kern w:val="44"/>
          <w:sz w:val="32"/>
          <w:szCs w:val="32"/>
          <w:highlight w:val="none"/>
          <w:lang w:eastAsia="zh-CN"/>
        </w:rPr>
        <w:t>，</w:t>
      </w:r>
      <w:r>
        <w:rPr>
          <w:rFonts w:hint="eastAsia" w:ascii="仿宋_GB2312" w:hAnsi="仿宋_GB2312" w:eastAsia="仿宋_GB2312" w:cs="仿宋_GB2312"/>
          <w:bCs/>
          <w:kern w:val="44"/>
          <w:sz w:val="32"/>
          <w:szCs w:val="32"/>
          <w:highlight w:val="none"/>
        </w:rPr>
        <w:t>依据《中共北京市委</w:t>
      </w:r>
      <w:r>
        <w:rPr>
          <w:rFonts w:hint="default" w:ascii="仿宋_GB2312" w:hAnsi="仿宋_GB2312" w:eastAsia="仿宋_GB2312" w:cs="仿宋_GB2312"/>
          <w:bCs/>
          <w:kern w:val="44"/>
          <w:sz w:val="32"/>
          <w:szCs w:val="32"/>
          <w:highlight w:val="none"/>
          <w:lang w:val="en-US" w:eastAsia="zh-CN"/>
        </w:rPr>
        <w:t xml:space="preserve"> </w:t>
      </w:r>
      <w:r>
        <w:rPr>
          <w:rFonts w:hint="eastAsia" w:ascii="仿宋_GB2312" w:hAnsi="仿宋_GB2312" w:eastAsia="仿宋_GB2312" w:cs="仿宋_GB2312"/>
          <w:bCs/>
          <w:kern w:val="44"/>
          <w:sz w:val="32"/>
          <w:szCs w:val="32"/>
          <w:highlight w:val="none"/>
        </w:rPr>
        <w:t>北京市人民政府关于全面实施预算绩效管理的实施意见》（京发〔2019〕12号）、《北京市预算绩效管理办法》（京财绩效〔2019〕2129号）和</w:t>
      </w:r>
      <w:bookmarkStart w:id="18" w:name="_Hlk68003568"/>
      <w:r>
        <w:rPr>
          <w:rFonts w:hint="eastAsia" w:ascii="仿宋_GB2312" w:hAnsi="仿宋_GB2312" w:eastAsia="仿宋_GB2312" w:cs="仿宋_GB2312"/>
          <w:bCs/>
          <w:kern w:val="44"/>
          <w:sz w:val="32"/>
          <w:szCs w:val="32"/>
          <w:highlight w:val="none"/>
        </w:rPr>
        <w:t>《北京市项目支出绩效评价管理办法》（京财绩效〔2020〕2146号）</w:t>
      </w:r>
      <w:bookmarkEnd w:id="18"/>
      <w:r>
        <w:rPr>
          <w:rFonts w:hint="eastAsia" w:ascii="仿宋_GB2312" w:hAnsi="仿宋_GB2312" w:eastAsia="仿宋_GB2312" w:cs="仿宋_GB2312"/>
          <w:bCs/>
          <w:kern w:val="44"/>
          <w:sz w:val="32"/>
          <w:szCs w:val="32"/>
          <w:highlight w:val="none"/>
        </w:rPr>
        <w:t>等文件，</w:t>
      </w:r>
      <w:bookmarkStart w:id="19" w:name="_Hlk71567373"/>
      <w:r>
        <w:rPr>
          <w:rFonts w:hint="default" w:ascii="仿宋_GB2312" w:hAnsi="仿宋_GB2312" w:eastAsia="仿宋_GB2312" w:cs="仿宋_GB2312"/>
          <w:bCs/>
          <w:kern w:val="44"/>
          <w:sz w:val="32"/>
          <w:szCs w:val="32"/>
          <w:highlight w:val="none"/>
        </w:rPr>
        <w:t>北京城市副中心工程建设管理办公室</w:t>
      </w:r>
      <w:bookmarkEnd w:id="19"/>
      <w:r>
        <w:rPr>
          <w:rFonts w:hint="eastAsia" w:ascii="仿宋_GB2312" w:hAnsi="仿宋_GB2312" w:eastAsia="仿宋_GB2312" w:cs="仿宋_GB2312"/>
          <w:bCs/>
          <w:kern w:val="44"/>
          <w:sz w:val="32"/>
          <w:szCs w:val="32"/>
          <w:highlight w:val="none"/>
        </w:rPr>
        <w:t>（以下简称</w:t>
      </w:r>
      <w:r>
        <w:rPr>
          <w:rFonts w:hint="eastAsia" w:ascii="仿宋_GB2312" w:hAnsi="仿宋_GB2312" w:eastAsia="仿宋_GB2312" w:cs="仿宋_GB2312"/>
          <w:bCs/>
          <w:kern w:val="44"/>
          <w:sz w:val="32"/>
          <w:szCs w:val="32"/>
          <w:highlight w:val="none"/>
          <w:lang w:eastAsia="zh-CN"/>
        </w:rPr>
        <w:t>副中心工程办</w:t>
      </w:r>
      <w:r>
        <w:rPr>
          <w:rFonts w:hint="eastAsia" w:ascii="仿宋_GB2312" w:hAnsi="仿宋_GB2312" w:eastAsia="仿宋_GB2312" w:cs="仿宋_GB2312"/>
          <w:bCs/>
          <w:kern w:val="44"/>
          <w:sz w:val="32"/>
          <w:szCs w:val="32"/>
          <w:highlight w:val="none"/>
        </w:rPr>
        <w:t>）按照</w:t>
      </w:r>
      <w:bookmarkStart w:id="20" w:name="_Hlk68003590"/>
      <w:r>
        <w:rPr>
          <w:rFonts w:hint="eastAsia" w:ascii="仿宋_GB2312" w:hAnsi="仿宋_GB2312" w:eastAsia="仿宋_GB2312" w:cs="仿宋_GB2312"/>
          <w:bCs/>
          <w:kern w:val="44"/>
          <w:sz w:val="32"/>
          <w:szCs w:val="32"/>
          <w:highlight w:val="none"/>
        </w:rPr>
        <w:t>《北京市财政局关于开展202</w:t>
      </w:r>
      <w:r>
        <w:rPr>
          <w:rFonts w:hint="default" w:ascii="仿宋_GB2312" w:hAnsi="仿宋_GB2312" w:eastAsia="仿宋_GB2312" w:cs="仿宋_GB2312"/>
          <w:bCs/>
          <w:kern w:val="44"/>
          <w:sz w:val="32"/>
          <w:szCs w:val="32"/>
          <w:highlight w:val="none"/>
          <w:lang w:val="en-US" w:eastAsia="zh-CN"/>
        </w:rPr>
        <w:t>2</w:t>
      </w:r>
      <w:r>
        <w:rPr>
          <w:rFonts w:hint="eastAsia" w:ascii="仿宋_GB2312" w:hAnsi="仿宋_GB2312" w:eastAsia="仿宋_GB2312" w:cs="仿宋_GB2312"/>
          <w:bCs/>
          <w:kern w:val="44"/>
          <w:sz w:val="32"/>
          <w:szCs w:val="32"/>
          <w:highlight w:val="none"/>
        </w:rPr>
        <w:t>年绩效自评工作的通知》（京财绩效〔202</w:t>
      </w:r>
      <w:r>
        <w:rPr>
          <w:rFonts w:hint="default" w:ascii="仿宋_GB2312" w:hAnsi="仿宋_GB2312" w:eastAsia="仿宋_GB2312" w:cs="仿宋_GB2312"/>
          <w:bCs/>
          <w:kern w:val="44"/>
          <w:sz w:val="32"/>
          <w:szCs w:val="32"/>
          <w:highlight w:val="none"/>
          <w:lang w:val="en-US" w:eastAsia="zh-CN"/>
        </w:rPr>
        <w:t>2</w:t>
      </w:r>
      <w:r>
        <w:rPr>
          <w:rFonts w:hint="eastAsia" w:ascii="仿宋_GB2312" w:hAnsi="仿宋_GB2312" w:eastAsia="仿宋_GB2312" w:cs="仿宋_GB2312"/>
          <w:bCs/>
          <w:kern w:val="44"/>
          <w:sz w:val="32"/>
          <w:szCs w:val="32"/>
          <w:highlight w:val="none"/>
        </w:rPr>
        <w:t>〕</w:t>
      </w:r>
      <w:r>
        <w:rPr>
          <w:rFonts w:hint="default" w:ascii="仿宋_GB2312" w:hAnsi="仿宋_GB2312" w:eastAsia="仿宋_GB2312" w:cs="仿宋_GB2312"/>
          <w:bCs/>
          <w:kern w:val="44"/>
          <w:sz w:val="32"/>
          <w:szCs w:val="32"/>
          <w:highlight w:val="none"/>
          <w:lang w:val="en-US" w:eastAsia="zh-CN"/>
        </w:rPr>
        <w:t>669</w:t>
      </w:r>
      <w:r>
        <w:rPr>
          <w:rFonts w:hint="eastAsia" w:ascii="仿宋_GB2312" w:hAnsi="仿宋_GB2312" w:eastAsia="仿宋_GB2312" w:cs="仿宋_GB2312"/>
          <w:bCs/>
          <w:kern w:val="44"/>
          <w:sz w:val="32"/>
          <w:szCs w:val="32"/>
          <w:highlight w:val="none"/>
        </w:rPr>
        <w:t>号）</w:t>
      </w:r>
      <w:bookmarkEnd w:id="20"/>
      <w:r>
        <w:rPr>
          <w:rFonts w:hint="eastAsia" w:ascii="仿宋_GB2312" w:hAnsi="仿宋_GB2312" w:eastAsia="仿宋_GB2312" w:cs="仿宋_GB2312"/>
          <w:bCs/>
          <w:kern w:val="44"/>
          <w:sz w:val="32"/>
          <w:szCs w:val="32"/>
          <w:highlight w:val="none"/>
        </w:rPr>
        <w:t>部署要求，组建重点项目绩效评价工作组（以下简称评价工作组）对</w:t>
      </w:r>
      <w:r>
        <w:rPr>
          <w:rFonts w:hint="default" w:ascii="仿宋_GB2312" w:hAnsi="仿宋_GB2312" w:eastAsia="仿宋_GB2312" w:cs="仿宋_GB2312"/>
          <w:bCs/>
          <w:kern w:val="44"/>
          <w:sz w:val="32"/>
          <w:szCs w:val="32"/>
          <w:highlight w:val="none"/>
        </w:rPr>
        <w:t>财务审计部（以下简称财务审计部或实施部门）负责实施的</w:t>
      </w:r>
      <w:r>
        <w:rPr>
          <w:rFonts w:hint="eastAsia" w:ascii="仿宋_GB2312" w:hAnsi="仿宋_GB2312" w:eastAsia="仿宋_GB2312" w:cs="仿宋_GB2312"/>
          <w:bCs/>
          <w:kern w:val="44"/>
          <w:sz w:val="32"/>
          <w:szCs w:val="32"/>
          <w:highlight w:val="none"/>
        </w:rPr>
        <w:t>“</w:t>
      </w:r>
      <w:r>
        <w:rPr>
          <w:rFonts w:hint="default" w:ascii="仿宋_GB2312" w:hAnsi="仿宋_GB2312" w:eastAsia="仿宋_GB2312" w:cs="仿宋_GB2312"/>
          <w:bCs/>
          <w:kern w:val="44"/>
          <w:sz w:val="32"/>
          <w:szCs w:val="32"/>
          <w:highlight w:val="none"/>
        </w:rPr>
        <w:t>预审计服务</w:t>
      </w:r>
      <w:r>
        <w:rPr>
          <w:rFonts w:hint="eastAsia" w:ascii="仿宋_GB2312" w:hAnsi="仿宋_GB2312" w:eastAsia="仿宋_GB2312" w:cs="仿宋_GB2312"/>
          <w:bCs/>
          <w:kern w:val="44"/>
          <w:sz w:val="32"/>
          <w:szCs w:val="32"/>
          <w:highlight w:val="none"/>
        </w:rPr>
        <w:t>”项目（以下简称该项目）的绩效情况实施评价，形成本报告。</w:t>
      </w:r>
    </w:p>
    <w:bookmarkEnd w:id="16"/>
    <w:bookmarkEnd w:id="17"/>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outlineLvl w:val="0"/>
        <w:rPr>
          <w:rFonts w:ascii="Times New Roman" w:hAnsi="Times New Roman" w:eastAsia="黑体" w:cs="Times New Roman"/>
          <w:b/>
          <w:sz w:val="32"/>
        </w:rPr>
      </w:pPr>
      <w:bookmarkStart w:id="21" w:name="_Toc15517"/>
      <w:bookmarkStart w:id="22" w:name="_Toc964533994_WPSOffice_Level1"/>
      <w:bookmarkStart w:id="23" w:name="_Toc26439"/>
      <w:bookmarkStart w:id="24" w:name="_Toc28952"/>
      <w:bookmarkStart w:id="25" w:name="_Toc1783587871"/>
      <w:bookmarkStart w:id="26" w:name="_Toc16374"/>
      <w:bookmarkStart w:id="27" w:name="_Toc12917"/>
      <w:bookmarkStart w:id="28" w:name="_Toc13095"/>
      <w:r>
        <w:rPr>
          <w:rFonts w:ascii="Times New Roman" w:hAnsi="Times New Roman" w:eastAsia="黑体" w:cs="Times New Roman"/>
          <w:sz w:val="32"/>
          <w:szCs w:val="32"/>
          <w:lang w:eastAsia="zh-Hans"/>
        </w:rPr>
        <w:t>一、</w:t>
      </w:r>
      <w:r>
        <w:rPr>
          <w:rFonts w:ascii="Times New Roman" w:hAnsi="Times New Roman" w:eastAsia="黑体" w:cs="Times New Roman"/>
          <w:sz w:val="32"/>
          <w:szCs w:val="32"/>
        </w:rPr>
        <w:t>基本情况</w:t>
      </w:r>
      <w:bookmarkEnd w:id="21"/>
      <w:bookmarkEnd w:id="22"/>
      <w:bookmarkEnd w:id="23"/>
      <w:bookmarkEnd w:id="24"/>
      <w:bookmarkEnd w:id="25"/>
      <w:bookmarkEnd w:id="26"/>
      <w:bookmarkEnd w:id="27"/>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outlineLvl w:val="1"/>
        <w:rPr>
          <w:rFonts w:ascii="Times New Roman" w:hAnsi="Times New Roman" w:eastAsia="楷体_GB2312" w:cs="Times New Roman"/>
          <w:b/>
          <w:sz w:val="32"/>
        </w:rPr>
      </w:pPr>
      <w:bookmarkStart w:id="29" w:name="_Toc1716269602_WPSOffice_Level2"/>
      <w:bookmarkStart w:id="30" w:name="_Toc11131"/>
      <w:bookmarkStart w:id="31" w:name="_Toc37119424"/>
      <w:bookmarkStart w:id="32" w:name="_Toc17092"/>
      <w:bookmarkStart w:id="33" w:name="_Toc23833"/>
      <w:bookmarkStart w:id="34" w:name="_Toc15555"/>
      <w:bookmarkStart w:id="35" w:name="_Toc16496"/>
      <w:r>
        <w:rPr>
          <w:rFonts w:ascii="Times New Roman" w:hAnsi="Times New Roman" w:eastAsia="楷体_GB2312" w:cs="Times New Roman"/>
          <w:b/>
          <w:sz w:val="32"/>
        </w:rPr>
        <w:t>（一）项目概况</w:t>
      </w:r>
      <w:bookmarkEnd w:id="28"/>
      <w:bookmarkEnd w:id="29"/>
      <w:bookmarkEnd w:id="30"/>
      <w:bookmarkEnd w:id="31"/>
      <w:bookmarkEnd w:id="32"/>
      <w:bookmarkEnd w:id="33"/>
      <w:bookmarkEnd w:id="34"/>
      <w:bookmarkEnd w:id="35"/>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1.项目基本情况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项目名称：</w:t>
      </w:r>
      <w:bookmarkStart w:id="36" w:name="_Hlk71568736"/>
      <w:r>
        <w:rPr>
          <w:rFonts w:hint="default" w:ascii="仿宋_GB2312" w:hAnsi="仿宋_GB2312" w:eastAsia="仿宋_GB2312" w:cs="仿宋_GB2312"/>
          <w:bCs/>
          <w:kern w:val="44"/>
          <w:sz w:val="32"/>
          <w:szCs w:val="32"/>
          <w:highlight w:val="none"/>
        </w:rPr>
        <w:t>预审计服务</w:t>
      </w:r>
      <w:bookmarkEnd w:id="36"/>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default" w:ascii="仿宋_GB2312" w:hAnsi="仿宋_GB2312" w:eastAsia="仿宋_GB2312" w:cs="仿宋_GB2312"/>
          <w:bCs/>
          <w:kern w:val="44"/>
          <w:sz w:val="32"/>
          <w:szCs w:val="32"/>
          <w:highlight w:val="none"/>
        </w:rPr>
        <w:t>实施部门</w:t>
      </w:r>
      <w:r>
        <w:rPr>
          <w:rFonts w:hint="eastAsia" w:ascii="仿宋_GB2312" w:hAnsi="仿宋_GB2312" w:eastAsia="仿宋_GB2312" w:cs="仿宋_GB2312"/>
          <w:bCs/>
          <w:kern w:val="44"/>
          <w:sz w:val="32"/>
          <w:szCs w:val="32"/>
          <w:highlight w:val="none"/>
        </w:rPr>
        <w:t>：</w:t>
      </w:r>
      <w:r>
        <w:rPr>
          <w:rFonts w:hint="default" w:ascii="仿宋_GB2312" w:hAnsi="仿宋_GB2312" w:eastAsia="仿宋_GB2312" w:cs="仿宋_GB2312"/>
          <w:bCs/>
          <w:kern w:val="44"/>
          <w:sz w:val="32"/>
          <w:szCs w:val="32"/>
          <w:highlight w:val="none"/>
        </w:rPr>
        <w:t>北京城市副中心工程建设管理办公室财务审计部</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项目类型：</w:t>
      </w:r>
      <w:r>
        <w:rPr>
          <w:rFonts w:hint="eastAsia" w:ascii="仿宋_GB2312" w:hAnsi="仿宋_GB2312" w:eastAsia="仿宋_GB2312" w:cs="仿宋_GB2312"/>
          <w:bCs/>
          <w:kern w:val="44"/>
          <w:sz w:val="32"/>
          <w:szCs w:val="32"/>
          <w:highlight w:val="none"/>
          <w:lang w:val="en-US" w:eastAsia="zh-CN"/>
        </w:rPr>
        <w:t>延续</w:t>
      </w:r>
      <w:r>
        <w:rPr>
          <w:rFonts w:hint="eastAsia" w:ascii="仿宋_GB2312" w:hAnsi="仿宋_GB2312" w:eastAsia="仿宋_GB2312" w:cs="仿宋_GB2312"/>
          <w:bCs/>
          <w:kern w:val="44"/>
          <w:sz w:val="32"/>
          <w:szCs w:val="32"/>
          <w:highlight w:val="none"/>
        </w:rPr>
        <w:t>项目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项目开始时间：202</w:t>
      </w:r>
      <w:r>
        <w:rPr>
          <w:rFonts w:hint="default" w:ascii="仿宋_GB2312" w:hAnsi="仿宋_GB2312" w:eastAsia="仿宋_GB2312" w:cs="仿宋_GB2312"/>
          <w:bCs/>
          <w:kern w:val="44"/>
          <w:sz w:val="32"/>
          <w:szCs w:val="32"/>
          <w:highlight w:val="none"/>
          <w:lang w:val="en-US" w:eastAsia="zh-CN"/>
        </w:rPr>
        <w:t>1</w:t>
      </w:r>
      <w:r>
        <w:rPr>
          <w:rFonts w:hint="eastAsia" w:ascii="仿宋_GB2312" w:hAnsi="仿宋_GB2312" w:eastAsia="仿宋_GB2312" w:cs="仿宋_GB2312"/>
          <w:bCs/>
          <w:kern w:val="44"/>
          <w:sz w:val="32"/>
          <w:szCs w:val="32"/>
          <w:highlight w:val="none"/>
        </w:rPr>
        <w:t>年1月</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项目完成时间：202</w:t>
      </w:r>
      <w:r>
        <w:rPr>
          <w:rFonts w:hint="default" w:ascii="仿宋_GB2312" w:hAnsi="仿宋_GB2312" w:eastAsia="仿宋_GB2312" w:cs="仿宋_GB2312"/>
          <w:bCs/>
          <w:kern w:val="44"/>
          <w:sz w:val="32"/>
          <w:szCs w:val="32"/>
          <w:highlight w:val="none"/>
          <w:lang w:val="en-US" w:eastAsia="zh-CN"/>
        </w:rPr>
        <w:t>1</w:t>
      </w:r>
      <w:r>
        <w:rPr>
          <w:rFonts w:hint="eastAsia" w:ascii="仿宋_GB2312" w:hAnsi="仿宋_GB2312" w:eastAsia="仿宋_GB2312" w:cs="仿宋_GB2312"/>
          <w:bCs/>
          <w:kern w:val="44"/>
          <w:sz w:val="32"/>
          <w:szCs w:val="32"/>
          <w:highlight w:val="none"/>
        </w:rPr>
        <w:t>年12月</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2.项目</w:t>
      </w:r>
      <w:r>
        <w:rPr>
          <w:rFonts w:hint="eastAsia" w:ascii="仿宋_GB2312" w:hAnsi="仿宋_GB2312" w:eastAsia="仿宋_GB2312" w:cs="仿宋_GB2312"/>
          <w:b/>
          <w:bCs w:val="0"/>
          <w:sz w:val="32"/>
          <w:szCs w:val="32"/>
          <w:lang w:val="en-US" w:eastAsia="zh-CN"/>
        </w:rPr>
        <w:t>实施</w:t>
      </w:r>
      <w:r>
        <w:rPr>
          <w:rFonts w:hint="eastAsia" w:ascii="仿宋_GB2312" w:hAnsi="仿宋_GB2312" w:eastAsia="仿宋_GB2312" w:cs="仿宋_GB2312"/>
          <w:b/>
          <w:bCs w:val="0"/>
          <w:sz w:val="32"/>
          <w:szCs w:val="32"/>
        </w:rPr>
        <w:t>背景</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lang w:val="en-US" w:eastAsia="zh-CN"/>
        </w:rPr>
      </w:pPr>
      <w:bookmarkStart w:id="37" w:name="_Toc15639"/>
      <w:r>
        <w:rPr>
          <w:rFonts w:hint="eastAsia" w:ascii="仿宋_GB2312" w:hAnsi="仿宋" w:eastAsia="仿宋_GB2312" w:cs="仿宋"/>
          <w:sz w:val="32"/>
          <w:szCs w:val="32"/>
          <w:highlight w:val="none"/>
        </w:rPr>
        <w:t>为科学合理控制项目投资、进一步加强行政办公区建设工程结算工作管理、促进结算工作质量的提高，确保工程结算水平风险总体可控，</w:t>
      </w:r>
      <w:r>
        <w:rPr>
          <w:rFonts w:hint="default" w:ascii="仿宋_GB2312" w:hAnsi="仿宋_GB2312" w:eastAsia="仿宋_GB2312" w:cs="仿宋_GB2312"/>
          <w:bCs/>
          <w:kern w:val="44"/>
          <w:sz w:val="32"/>
          <w:szCs w:val="32"/>
          <w:highlight w:val="none"/>
        </w:rPr>
        <w:t>北京城市副中心工程建设管理办公室申报</w:t>
      </w:r>
      <w:r>
        <w:rPr>
          <w:rFonts w:hint="eastAsia" w:ascii="仿宋_GB2312" w:hAnsi="仿宋_GB2312" w:eastAsia="仿宋_GB2312" w:cs="仿宋_GB2312"/>
          <w:bCs/>
          <w:kern w:val="44"/>
          <w:sz w:val="32"/>
          <w:szCs w:val="32"/>
          <w:highlight w:val="none"/>
          <w:lang w:val="en-US" w:eastAsia="zh-CN"/>
        </w:rPr>
        <w:t>了</w:t>
      </w:r>
      <w:r>
        <w:rPr>
          <w:rFonts w:hint="default" w:ascii="仿宋_GB2312" w:hAnsi="仿宋_GB2312" w:eastAsia="仿宋_GB2312" w:cs="仿宋_GB2312"/>
          <w:bCs/>
          <w:kern w:val="44"/>
          <w:sz w:val="32"/>
          <w:szCs w:val="32"/>
          <w:highlight w:val="none"/>
        </w:rPr>
        <w:t>预审计服务项目</w:t>
      </w:r>
      <w:r>
        <w:rPr>
          <w:rFonts w:hint="eastAsia" w:ascii="仿宋_GB2312" w:hAnsi="仿宋_GB2312" w:eastAsia="仿宋_GB2312" w:cs="仿宋_GB2312"/>
          <w:bCs/>
          <w:kern w:val="44"/>
          <w:sz w:val="32"/>
          <w:szCs w:val="32"/>
          <w:highlight w:val="none"/>
          <w:lang w:eastAsia="zh-CN"/>
        </w:rPr>
        <w:t>。</w:t>
      </w:r>
      <w:r>
        <w:rPr>
          <w:rFonts w:hint="default" w:ascii="仿宋_GB2312" w:hAnsi="仿宋_GB2312" w:eastAsia="仿宋_GB2312" w:cs="仿宋_GB2312"/>
          <w:bCs/>
          <w:kern w:val="44"/>
          <w:sz w:val="32"/>
          <w:szCs w:val="32"/>
          <w:highlight w:val="none"/>
        </w:rPr>
        <w:t>按照“依法合规、适度从严”的原则，对副中心</w:t>
      </w:r>
      <w:r>
        <w:rPr>
          <w:rFonts w:hint="eastAsia" w:ascii="仿宋_GB2312" w:hAnsi="仿宋_GB2312" w:eastAsia="仿宋_GB2312" w:cs="仿宋_GB2312"/>
          <w:bCs/>
          <w:kern w:val="44"/>
          <w:sz w:val="32"/>
          <w:szCs w:val="32"/>
          <w:highlight w:val="none"/>
          <w:lang w:val="en-US" w:eastAsia="zh-CN"/>
        </w:rPr>
        <w:t>建设</w:t>
      </w:r>
      <w:r>
        <w:rPr>
          <w:rFonts w:hint="default" w:ascii="仿宋_GB2312" w:hAnsi="仿宋_GB2312" w:eastAsia="仿宋_GB2312" w:cs="仿宋_GB2312"/>
          <w:bCs/>
          <w:kern w:val="44"/>
          <w:sz w:val="32"/>
          <w:szCs w:val="32"/>
          <w:highlight w:val="none"/>
        </w:rPr>
        <w:t>工程开展预审计</w:t>
      </w:r>
      <w:r>
        <w:rPr>
          <w:rFonts w:hint="eastAsia" w:ascii="仿宋_GB2312" w:hAnsi="仿宋_GB2312" w:eastAsia="仿宋_GB2312" w:cs="仿宋_GB2312"/>
          <w:bCs/>
          <w:kern w:val="44"/>
          <w:sz w:val="32"/>
          <w:szCs w:val="32"/>
          <w:highlight w:val="none"/>
          <w:lang w:eastAsia="zh-CN"/>
        </w:rPr>
        <w:t>，</w:t>
      </w:r>
      <w:r>
        <w:rPr>
          <w:rFonts w:hint="eastAsia" w:ascii="仿宋_GB2312" w:hAnsi="仿宋_GB2312" w:eastAsia="仿宋_GB2312" w:cs="仿宋_GB2312"/>
          <w:bCs/>
          <w:kern w:val="44"/>
          <w:sz w:val="32"/>
          <w:szCs w:val="32"/>
          <w:highlight w:val="none"/>
          <w:lang w:val="en-US" w:eastAsia="zh-CN"/>
        </w:rPr>
        <w:t>检验工程建设质量，</w:t>
      </w:r>
      <w:r>
        <w:rPr>
          <w:rFonts w:hint="default" w:ascii="仿宋_GB2312" w:hAnsi="仿宋_GB2312" w:eastAsia="仿宋_GB2312" w:cs="仿宋_GB2312"/>
          <w:bCs/>
          <w:kern w:val="44"/>
          <w:sz w:val="32"/>
          <w:szCs w:val="32"/>
          <w:highlight w:val="none"/>
        </w:rPr>
        <w:t>对结算工作进行提前体检</w:t>
      </w:r>
      <w:r>
        <w:rPr>
          <w:rFonts w:hint="eastAsia" w:ascii="仿宋_GB2312" w:hAnsi="仿宋_GB2312" w:eastAsia="仿宋_GB2312" w:cs="仿宋_GB2312"/>
          <w:bCs/>
          <w:kern w:val="44"/>
          <w:sz w:val="32"/>
          <w:szCs w:val="32"/>
          <w:highlight w:val="none"/>
          <w:lang w:eastAsia="zh-CN"/>
        </w:rPr>
        <w:t>，</w:t>
      </w:r>
      <w:r>
        <w:rPr>
          <w:rFonts w:hint="eastAsia" w:ascii="仿宋_GB2312" w:hAnsi="仿宋" w:eastAsia="仿宋_GB2312" w:cs="仿宋"/>
          <w:sz w:val="32"/>
          <w:szCs w:val="32"/>
          <w:highlight w:val="none"/>
        </w:rPr>
        <w:t>预审计结果作为矫正工程结算的参考。</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3.</w:t>
      </w:r>
      <w:r>
        <w:rPr>
          <w:rFonts w:hint="eastAsia" w:ascii="仿宋_GB2312" w:hAnsi="仿宋_GB2312" w:eastAsia="仿宋_GB2312" w:cs="仿宋_GB2312"/>
          <w:b/>
          <w:bCs w:val="0"/>
          <w:sz w:val="32"/>
          <w:szCs w:val="32"/>
          <w:lang w:val="en-US" w:eastAsia="zh-CN"/>
        </w:rPr>
        <w:t>项目</w:t>
      </w:r>
      <w:r>
        <w:rPr>
          <w:rFonts w:hint="eastAsia" w:ascii="仿宋_GB2312" w:hAnsi="仿宋_GB2312" w:eastAsia="仿宋_GB2312" w:cs="仿宋_GB2312"/>
          <w:b/>
          <w:bCs w:val="0"/>
          <w:sz w:val="32"/>
          <w:szCs w:val="32"/>
        </w:rPr>
        <w:t>主要内容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default" w:ascii="仿宋_GB2312" w:hAnsi="仿宋_GB2312" w:eastAsia="仿宋_GB2312" w:cs="仿宋_GB2312"/>
          <w:bCs/>
          <w:kern w:val="44"/>
          <w:sz w:val="32"/>
          <w:szCs w:val="32"/>
          <w:highlight w:val="none"/>
          <w:lang w:val="en-US"/>
        </w:rPr>
      </w:pPr>
      <w:r>
        <w:rPr>
          <w:rFonts w:hint="eastAsia" w:ascii="仿宋_GB2312" w:hAnsi="仿宋_GB2312" w:eastAsia="仿宋_GB2312" w:cs="仿宋_GB2312"/>
          <w:bCs/>
          <w:kern w:val="44"/>
          <w:sz w:val="32"/>
          <w:szCs w:val="32"/>
          <w:highlight w:val="none"/>
          <w:lang w:val="en-US" w:eastAsia="zh-CN"/>
        </w:rPr>
        <w:t>此次预审计，依据</w:t>
      </w:r>
      <w:r>
        <w:rPr>
          <w:rFonts w:hint="eastAsia" w:ascii="仿宋_GB2312" w:hAnsi="仿宋_GB2312" w:eastAsia="仿宋_GB2312" w:cs="仿宋_GB2312"/>
          <w:bCs/>
          <w:kern w:val="44"/>
          <w:sz w:val="32"/>
          <w:szCs w:val="32"/>
          <w:highlight w:val="none"/>
        </w:rPr>
        <w:t>《北京城市副中心工程建设管理办公室建设工程结算预审计办法》的通知</w:t>
      </w:r>
      <w:r>
        <w:rPr>
          <w:rFonts w:hint="eastAsia" w:ascii="仿宋_GB2312" w:hAnsi="仿宋_GB2312" w:eastAsia="仿宋_GB2312" w:cs="仿宋_GB2312"/>
          <w:bCs/>
          <w:kern w:val="44"/>
          <w:sz w:val="32"/>
          <w:szCs w:val="32"/>
          <w:highlight w:val="none"/>
          <w:lang w:eastAsia="zh-CN"/>
        </w:rPr>
        <w:t>（</w:t>
      </w:r>
      <w:r>
        <w:rPr>
          <w:rFonts w:hint="eastAsia" w:ascii="仿宋_GB2312" w:eastAsia="仿宋_GB2312" w:cs="楷体_GB2312"/>
          <w:sz w:val="32"/>
          <w:szCs w:val="32"/>
          <w:highlight w:val="none"/>
          <w:lang w:val="zh-CN"/>
        </w:rPr>
        <w:t>副中心工程办内〔2022〕3号</w:t>
      </w:r>
      <w:r>
        <w:rPr>
          <w:rFonts w:hint="eastAsia" w:ascii="仿宋_GB2312" w:hAnsi="仿宋_GB2312" w:eastAsia="仿宋_GB2312" w:cs="仿宋_GB2312"/>
          <w:bCs/>
          <w:kern w:val="44"/>
          <w:sz w:val="32"/>
          <w:szCs w:val="32"/>
          <w:highlight w:val="none"/>
          <w:lang w:eastAsia="zh-CN"/>
        </w:rPr>
        <w:t>）</w:t>
      </w:r>
      <w:r>
        <w:rPr>
          <w:rFonts w:hint="eastAsia" w:ascii="仿宋_GB2312" w:hAnsi="仿宋_GB2312" w:eastAsia="仿宋_GB2312" w:cs="仿宋_GB2312"/>
          <w:bCs/>
          <w:kern w:val="44"/>
          <w:sz w:val="32"/>
          <w:szCs w:val="32"/>
          <w:highlight w:val="none"/>
          <w:lang w:val="en-US" w:eastAsia="zh-CN"/>
        </w:rPr>
        <w:t>精神，由副中心工程办</w:t>
      </w:r>
      <w:r>
        <w:rPr>
          <w:rFonts w:hint="default" w:ascii="仿宋_GB2312" w:hAnsi="仿宋_GB2312" w:eastAsia="仿宋_GB2312" w:cs="仿宋_GB2312"/>
          <w:bCs/>
          <w:kern w:val="44"/>
          <w:sz w:val="32"/>
          <w:szCs w:val="32"/>
          <w:highlight w:val="none"/>
        </w:rPr>
        <w:t>财务审计部牵头组织</w:t>
      </w:r>
      <w:r>
        <w:rPr>
          <w:rFonts w:hint="eastAsia" w:ascii="仿宋_GB2312" w:hAnsi="仿宋_GB2312" w:eastAsia="仿宋_GB2312" w:cs="仿宋_GB2312"/>
          <w:bCs/>
          <w:kern w:val="44"/>
          <w:sz w:val="32"/>
          <w:szCs w:val="32"/>
          <w:highlight w:val="none"/>
          <w:lang w:eastAsia="zh-CN"/>
        </w:rPr>
        <w:t>，</w:t>
      </w:r>
      <w:r>
        <w:rPr>
          <w:rFonts w:hint="default" w:ascii="仿宋_GB2312" w:hAnsi="仿宋_GB2312" w:eastAsia="仿宋_GB2312" w:cs="仿宋_GB2312"/>
          <w:bCs/>
          <w:kern w:val="44"/>
          <w:sz w:val="32"/>
          <w:szCs w:val="32"/>
          <w:highlight w:val="none"/>
        </w:rPr>
        <w:t>第三方审计中介机构</w:t>
      </w:r>
      <w:r>
        <w:rPr>
          <w:rFonts w:hint="eastAsia" w:ascii="仿宋_GB2312" w:hAnsi="仿宋_GB2312" w:eastAsia="仿宋_GB2312" w:cs="仿宋_GB2312"/>
          <w:bCs/>
          <w:kern w:val="44"/>
          <w:sz w:val="32"/>
          <w:szCs w:val="32"/>
          <w:highlight w:val="none"/>
          <w:lang w:val="en-US" w:eastAsia="zh-CN"/>
        </w:rPr>
        <w:t>参与，</w:t>
      </w:r>
      <w:r>
        <w:rPr>
          <w:rFonts w:hint="default" w:ascii="仿宋_GB2312" w:hAnsi="仿宋_GB2312" w:eastAsia="仿宋_GB2312" w:cs="仿宋_GB2312"/>
          <w:bCs/>
          <w:kern w:val="44"/>
          <w:sz w:val="32"/>
          <w:szCs w:val="32"/>
          <w:highlight w:val="none"/>
          <w:lang w:val="en-US" w:eastAsia="zh-CN"/>
        </w:rPr>
        <w:t>结合</w:t>
      </w:r>
      <w:r>
        <w:rPr>
          <w:rFonts w:hint="eastAsia" w:ascii="仿宋_GB2312" w:hAnsi="仿宋_GB2312" w:eastAsia="仿宋_GB2312" w:cs="仿宋_GB2312"/>
          <w:bCs/>
          <w:kern w:val="44"/>
          <w:sz w:val="32"/>
          <w:szCs w:val="32"/>
          <w:highlight w:val="none"/>
          <w:lang w:val="en-US" w:eastAsia="zh-CN"/>
        </w:rPr>
        <w:t>副中心工程办</w:t>
      </w:r>
      <w:r>
        <w:rPr>
          <w:rFonts w:hint="default" w:ascii="仿宋_GB2312" w:hAnsi="仿宋_GB2312" w:eastAsia="仿宋_GB2312" w:cs="仿宋_GB2312"/>
          <w:bCs/>
          <w:kern w:val="44"/>
          <w:sz w:val="32"/>
          <w:szCs w:val="32"/>
          <w:highlight w:val="none"/>
          <w:lang w:val="en-US" w:eastAsia="zh-CN"/>
        </w:rPr>
        <w:t>一期工程结算工作推进情况分步实施</w:t>
      </w:r>
      <w:r>
        <w:rPr>
          <w:rFonts w:hint="eastAsia" w:ascii="仿宋_GB2312" w:hAnsi="仿宋_GB2312" w:eastAsia="仿宋_GB2312" w:cs="仿宋_GB2312"/>
          <w:bCs/>
          <w:kern w:val="44"/>
          <w:sz w:val="32"/>
          <w:szCs w:val="32"/>
          <w:highlight w:val="none"/>
          <w:lang w:val="en-US" w:eastAsia="zh-CN"/>
        </w:rPr>
        <w:t>，</w:t>
      </w:r>
      <w:r>
        <w:rPr>
          <w:rFonts w:hint="default" w:ascii="仿宋_GB2312" w:hAnsi="仿宋_GB2312" w:eastAsia="仿宋_GB2312" w:cs="仿宋_GB2312"/>
          <w:bCs/>
          <w:kern w:val="44"/>
          <w:sz w:val="32"/>
          <w:szCs w:val="32"/>
          <w:highlight w:val="none"/>
          <w:lang w:val="en-US" w:eastAsia="zh-CN"/>
        </w:rPr>
        <w:t>对一期房建及信息化项目涉密结算推进完成项目，</w:t>
      </w:r>
      <w:r>
        <w:rPr>
          <w:rFonts w:hint="eastAsia" w:ascii="仿宋_GB2312" w:hAnsi="仿宋_GB2312" w:eastAsia="仿宋_GB2312" w:cs="仿宋_GB2312"/>
          <w:bCs/>
          <w:kern w:val="44"/>
          <w:sz w:val="32"/>
          <w:szCs w:val="32"/>
          <w:highlight w:val="none"/>
          <w:lang w:val="en-US" w:eastAsia="zh-CN"/>
        </w:rPr>
        <w:t>包括</w:t>
      </w:r>
      <w:r>
        <w:rPr>
          <w:rFonts w:hint="default" w:ascii="仿宋_GB2312" w:hAnsi="仿宋_GB2312" w:eastAsia="仿宋_GB2312" w:cs="仿宋_GB2312"/>
          <w:bCs/>
          <w:kern w:val="44"/>
          <w:sz w:val="32"/>
          <w:szCs w:val="32"/>
          <w:highlight w:val="none"/>
          <w:lang w:val="en-US" w:eastAsia="zh-CN"/>
        </w:rPr>
        <w:t>A1-A4、B1-B4、C2、C7、159等涉密项目，抽取部分开展预审计，</w:t>
      </w:r>
      <w:r>
        <w:rPr>
          <w:rFonts w:hint="eastAsia" w:ascii="仿宋_GB2312" w:hAnsi="仿宋_GB2312" w:eastAsia="仿宋_GB2312" w:cs="仿宋_GB2312"/>
          <w:bCs/>
          <w:kern w:val="44"/>
          <w:sz w:val="32"/>
          <w:szCs w:val="32"/>
          <w:highlight w:val="none"/>
          <w:lang w:val="en-US" w:eastAsia="zh-CN"/>
        </w:rPr>
        <w:t>对</w:t>
      </w:r>
      <w:r>
        <w:rPr>
          <w:rFonts w:hint="default" w:ascii="仿宋_GB2312" w:hAnsi="仿宋_GB2312" w:eastAsia="仿宋_GB2312" w:cs="仿宋_GB2312"/>
          <w:bCs/>
          <w:kern w:val="44"/>
          <w:sz w:val="32"/>
          <w:szCs w:val="32"/>
          <w:highlight w:val="none"/>
          <w:lang w:val="en-US" w:eastAsia="zh-CN"/>
        </w:rPr>
        <w:t>涉密信息化工程中的部分建设内容开展预审计</w:t>
      </w:r>
      <w:r>
        <w:rPr>
          <w:rFonts w:hint="eastAsia" w:ascii="仿宋_GB2312" w:hAnsi="仿宋_GB2312" w:eastAsia="仿宋_GB2312" w:cs="仿宋_GB2312"/>
          <w:bCs/>
          <w:kern w:val="44"/>
          <w:sz w:val="32"/>
          <w:szCs w:val="32"/>
          <w:highlight w:val="none"/>
          <w:lang w:val="en-US" w:eastAsia="zh-CN"/>
        </w:rPr>
        <w:t>，出具审计报告，并督促问题整改</w:t>
      </w:r>
      <w:r>
        <w:rPr>
          <w:rFonts w:hint="default" w:ascii="仿宋_GB2312" w:hAnsi="仿宋_GB2312" w:eastAsia="仿宋_GB2312" w:cs="仿宋_GB2312"/>
          <w:bCs/>
          <w:kern w:val="44"/>
          <w:sz w:val="32"/>
          <w:szCs w:val="32"/>
          <w:highlight w:val="none"/>
        </w:rPr>
        <w:t>。</w:t>
      </w:r>
      <w:r>
        <w:rPr>
          <w:rFonts w:hint="eastAsia" w:ascii="仿宋_GB2312" w:hAnsi="仿宋_GB2312" w:eastAsia="仿宋_GB2312" w:cs="仿宋_GB2312"/>
          <w:bCs/>
          <w:kern w:val="44"/>
          <w:sz w:val="32"/>
          <w:szCs w:val="32"/>
          <w:highlight w:val="none"/>
          <w:lang w:val="en-US" w:eastAsia="zh-CN"/>
        </w:rPr>
        <w:t>预审计的主要内容：</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lang w:val="en-US" w:eastAsia="zh-CN"/>
        </w:rPr>
      </w:pPr>
      <w:r>
        <w:rPr>
          <w:rFonts w:hint="eastAsia" w:ascii="仿宋_GB2312" w:hAnsi="仿宋_GB2312" w:eastAsia="仿宋_GB2312" w:cs="仿宋_GB2312"/>
          <w:bCs/>
          <w:kern w:val="44"/>
          <w:sz w:val="32"/>
          <w:szCs w:val="32"/>
          <w:highlight w:val="none"/>
          <w:lang w:val="en-US" w:eastAsia="zh-CN"/>
        </w:rPr>
        <w:t>（1）对项目立项、规划批准等基本建设程序履行情况，建设项目勘察、设计、施工、监理、代理、供货等单位或者个人取得建设项目资金的真实性、合法性情况进行预审计。</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lang w:val="en-US" w:eastAsia="zh-CN"/>
        </w:rPr>
      </w:pPr>
      <w:r>
        <w:rPr>
          <w:rFonts w:hint="eastAsia" w:ascii="仿宋_GB2312" w:hAnsi="仿宋_GB2312" w:eastAsia="仿宋_GB2312" w:cs="仿宋_GB2312"/>
          <w:bCs/>
          <w:kern w:val="44"/>
          <w:sz w:val="32"/>
          <w:szCs w:val="32"/>
          <w:highlight w:val="none"/>
          <w:lang w:val="en-US" w:eastAsia="zh-CN"/>
        </w:rPr>
        <w:t>（2）依据国家相关法律法规、计价标准、施工合同、招标投标文件、施工图纸、施工过程变更洽商等相关资料，对施工承包商、设备材料供应商等单位申报的工程结算，经工程办相关部门审核后、办理定案程序前进行预审计，评价建设项目相关合同的主体、权利义务、责任及合同要素是否齐备等，审查变更洽商的有关内容，包括变更程序是否符合规定，变更手续是否合法、完备，设计变更处理办法是否符合施工合同规定，洽商变更增减内容的真实性、合法性、合理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lang w:val="en-US" w:eastAsia="zh-CN"/>
        </w:rPr>
      </w:pPr>
      <w:r>
        <w:rPr>
          <w:rFonts w:hint="eastAsia" w:ascii="仿宋_GB2312" w:hAnsi="仿宋_GB2312" w:eastAsia="仿宋_GB2312" w:cs="仿宋_GB2312"/>
          <w:bCs/>
          <w:kern w:val="44"/>
          <w:sz w:val="32"/>
          <w:szCs w:val="32"/>
          <w:highlight w:val="none"/>
          <w:lang w:val="en-US" w:eastAsia="zh-CN"/>
        </w:rPr>
        <w:t>（3）按项目抽查（抽查率不少于20%）工程结算的工程量是否真实、准确，定额套用及材料价格是否合理，各项费用及执行文件、选用定额版本是否准确、合规，检查实际施工是否与图纸、招标文件及答疑、图集、施工规范的要求相符，是否合理、准确确定工程造价。</w:t>
      </w:r>
    </w:p>
    <w:bookmarkEnd w:id="37"/>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4.资金投入和使用情况</w:t>
      </w:r>
      <w:bookmarkStart w:id="38" w:name="_Toc1095901538"/>
      <w:bookmarkStart w:id="39" w:name="_Toc25117"/>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lang w:val="en-US" w:eastAsia="zh-CN"/>
        </w:rPr>
      </w:pPr>
      <w:r>
        <w:rPr>
          <w:rFonts w:hint="eastAsia" w:ascii="仿宋_GB2312" w:hAnsi="仿宋_GB2312" w:eastAsia="仿宋_GB2312" w:cs="仿宋_GB2312"/>
          <w:bCs/>
          <w:kern w:val="44"/>
          <w:sz w:val="32"/>
          <w:szCs w:val="32"/>
          <w:highlight w:val="none"/>
          <w:lang w:val="en-US" w:eastAsia="zh-CN"/>
        </w:rPr>
        <w:t>该项目</w:t>
      </w:r>
      <w:r>
        <w:rPr>
          <w:rFonts w:hint="default" w:ascii="仿宋_GB2312" w:hAnsi="仿宋_GB2312" w:eastAsia="仿宋_GB2312" w:cs="仿宋_GB2312"/>
          <w:bCs/>
          <w:kern w:val="44"/>
          <w:sz w:val="32"/>
          <w:szCs w:val="32"/>
          <w:highlight w:val="none"/>
          <w:lang w:val="en-US" w:eastAsia="zh-CN"/>
        </w:rPr>
        <w:t>批复资金</w:t>
      </w:r>
      <w:r>
        <w:rPr>
          <w:rFonts w:hint="eastAsia" w:ascii="仿宋_GB2312" w:hAnsi="仿宋_GB2312" w:eastAsia="仿宋_GB2312" w:cs="仿宋_GB2312"/>
          <w:bCs/>
          <w:kern w:val="44"/>
          <w:sz w:val="32"/>
          <w:szCs w:val="32"/>
          <w:highlight w:val="none"/>
          <w:lang w:val="en-US" w:eastAsia="zh-CN"/>
        </w:rPr>
        <w:t>373.39</w:t>
      </w:r>
      <w:r>
        <w:rPr>
          <w:rFonts w:hint="default" w:ascii="仿宋_GB2312" w:hAnsi="仿宋_GB2312" w:eastAsia="仿宋_GB2312" w:cs="仿宋_GB2312"/>
          <w:bCs/>
          <w:kern w:val="44"/>
          <w:sz w:val="32"/>
          <w:szCs w:val="32"/>
          <w:highlight w:val="none"/>
          <w:lang w:val="en-US" w:eastAsia="zh-CN"/>
        </w:rPr>
        <w:t>万元，支出</w:t>
      </w:r>
      <w:r>
        <w:rPr>
          <w:rFonts w:hint="eastAsia" w:ascii="仿宋_GB2312" w:hAnsi="仿宋_GB2312" w:eastAsia="仿宋_GB2312" w:cs="仿宋_GB2312"/>
          <w:bCs/>
          <w:kern w:val="44"/>
          <w:sz w:val="32"/>
          <w:szCs w:val="32"/>
          <w:highlight w:val="none"/>
          <w:lang w:val="en-US" w:eastAsia="zh-CN"/>
        </w:rPr>
        <w:t>资金</w:t>
      </w:r>
      <w:bookmarkStart w:id="40" w:name="_Hlk72402315"/>
      <w:r>
        <w:rPr>
          <w:rFonts w:hint="default" w:ascii="仿宋_GB2312" w:hAnsi="仿宋_GB2312" w:eastAsia="仿宋_GB2312" w:cs="仿宋_GB2312"/>
          <w:bCs/>
          <w:kern w:val="44"/>
          <w:sz w:val="32"/>
          <w:szCs w:val="32"/>
          <w:highlight w:val="none"/>
          <w:lang w:val="en-US" w:eastAsia="zh-CN"/>
        </w:rPr>
        <w:t>371.80</w:t>
      </w:r>
      <w:bookmarkEnd w:id="40"/>
      <w:r>
        <w:rPr>
          <w:rFonts w:hint="eastAsia" w:ascii="仿宋_GB2312" w:hAnsi="仿宋_GB2312" w:eastAsia="仿宋_GB2312" w:cs="仿宋_GB2312"/>
          <w:bCs/>
          <w:kern w:val="44"/>
          <w:sz w:val="32"/>
          <w:szCs w:val="32"/>
          <w:highlight w:val="none"/>
          <w:lang w:val="en-US" w:eastAsia="zh-CN"/>
        </w:rPr>
        <w:t>万元，</w:t>
      </w:r>
      <w:bookmarkStart w:id="41" w:name="_Hlk72402346"/>
      <w:r>
        <w:rPr>
          <w:rFonts w:hint="default" w:ascii="仿宋_GB2312" w:hAnsi="仿宋_GB2312" w:eastAsia="仿宋_GB2312" w:cs="仿宋_GB2312"/>
          <w:bCs/>
          <w:kern w:val="44"/>
          <w:sz w:val="32"/>
          <w:szCs w:val="32"/>
          <w:highlight w:val="none"/>
          <w:lang w:val="en-US" w:eastAsia="zh-CN"/>
        </w:rPr>
        <w:t>节约资金1.59</w:t>
      </w:r>
      <w:bookmarkEnd w:id="41"/>
      <w:r>
        <w:rPr>
          <w:rFonts w:hint="default" w:ascii="仿宋_GB2312" w:hAnsi="仿宋_GB2312" w:eastAsia="仿宋_GB2312" w:cs="仿宋_GB2312"/>
          <w:bCs/>
          <w:kern w:val="44"/>
          <w:sz w:val="32"/>
          <w:szCs w:val="32"/>
          <w:highlight w:val="none"/>
          <w:lang w:val="en-US" w:eastAsia="zh-CN"/>
        </w:rPr>
        <w:t>万元。</w:t>
      </w:r>
      <w:bookmarkEnd w:id="38"/>
      <w:r>
        <w:rPr>
          <w:rFonts w:hint="eastAsia" w:ascii="仿宋_GB2312" w:hAnsi="仿宋_GB2312" w:eastAsia="仿宋_GB2312" w:cs="仿宋_GB2312"/>
          <w:bCs/>
          <w:kern w:val="44"/>
          <w:sz w:val="32"/>
          <w:szCs w:val="32"/>
          <w:highlight w:val="none"/>
          <w:lang w:val="en-US" w:eastAsia="zh-CN"/>
        </w:rPr>
        <w:t>合同金额为：Ⅰ包89.397万元（补充协议调整为97.76万元），Ⅱ包62万元（补充协议调整为68.2万元），Ⅲ包47.4万元（补充协议调整为51.67万元），Ⅳ包68万元（补充协议调整为74.8万元），Ⅴ包72.62万元（补充协议调整为79.29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outlineLvl w:val="1"/>
        <w:rPr>
          <w:rFonts w:ascii="Times New Roman" w:hAnsi="Times New Roman" w:eastAsia="楷体_GB2312" w:cs="Times New Roman"/>
          <w:b/>
          <w:sz w:val="32"/>
        </w:rPr>
      </w:pPr>
      <w:bookmarkStart w:id="42" w:name="_Toc5594"/>
      <w:bookmarkStart w:id="43" w:name="_Toc1997392494"/>
      <w:bookmarkStart w:id="44" w:name="_Toc16120"/>
      <w:bookmarkStart w:id="45" w:name="_Toc16103"/>
      <w:bookmarkStart w:id="46" w:name="_Toc342854310_WPSOffice_Level2"/>
      <w:bookmarkStart w:id="47" w:name="_Toc9060"/>
      <w:bookmarkStart w:id="48" w:name="_Toc18958"/>
      <w:r>
        <w:rPr>
          <w:rFonts w:ascii="Times New Roman" w:hAnsi="Times New Roman" w:eastAsia="楷体_GB2312" w:cs="Times New Roman"/>
          <w:b/>
          <w:sz w:val="32"/>
        </w:rPr>
        <w:t>（二）项目绩效目标</w:t>
      </w:r>
      <w:bookmarkEnd w:id="39"/>
      <w:bookmarkEnd w:id="42"/>
      <w:bookmarkEnd w:id="43"/>
      <w:bookmarkEnd w:id="44"/>
      <w:bookmarkEnd w:id="45"/>
      <w:bookmarkEnd w:id="46"/>
      <w:bookmarkEnd w:id="47"/>
      <w:bookmarkEnd w:id="48"/>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default" w:ascii="仿宋_GB2312" w:hAnsi="仿宋_GB2312" w:eastAsia="仿宋_GB2312" w:cs="仿宋_GB2312"/>
          <w:b/>
          <w:bCs w:val="0"/>
          <w:sz w:val="32"/>
          <w:szCs w:val="32"/>
        </w:rPr>
      </w:pPr>
      <w:bookmarkStart w:id="49" w:name="_Toc26489"/>
      <w:bookmarkStart w:id="50" w:name="_Toc7351"/>
      <w:r>
        <w:rPr>
          <w:rFonts w:hint="eastAsia" w:ascii="仿宋_GB2312" w:hAnsi="仿宋_GB2312" w:eastAsia="仿宋_GB2312" w:cs="仿宋_GB2312"/>
          <w:b/>
          <w:bCs w:val="0"/>
          <w:sz w:val="32"/>
          <w:szCs w:val="32"/>
        </w:rPr>
        <w:t>1.总体目标</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default"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lang w:eastAsia="zh-CN"/>
        </w:rPr>
        <w:t>北京城市副中心工程建设管理办公室</w:t>
      </w:r>
      <w:r>
        <w:rPr>
          <w:rFonts w:hint="eastAsia" w:ascii="仿宋_GB2312" w:hAnsi="仿宋_GB2312" w:eastAsia="仿宋_GB2312" w:cs="仿宋_GB2312"/>
          <w:bCs/>
          <w:kern w:val="44"/>
          <w:sz w:val="32"/>
          <w:szCs w:val="32"/>
          <w:highlight w:val="none"/>
          <w:lang w:val="en-US" w:eastAsia="zh-CN"/>
        </w:rPr>
        <w:t>2021年度</w:t>
      </w:r>
      <w:r>
        <w:rPr>
          <w:rFonts w:hint="eastAsia" w:ascii="仿宋_GB2312" w:hAnsi="仿宋_GB2312" w:eastAsia="仿宋_GB2312" w:cs="仿宋_GB2312"/>
          <w:bCs/>
          <w:kern w:val="44"/>
          <w:sz w:val="32"/>
          <w:szCs w:val="32"/>
          <w:highlight w:val="none"/>
        </w:rPr>
        <w:t>预审计</w:t>
      </w:r>
      <w:r>
        <w:rPr>
          <w:rFonts w:hint="eastAsia" w:ascii="仿宋_GB2312" w:hAnsi="仿宋_GB2312" w:eastAsia="仿宋_GB2312" w:cs="仿宋_GB2312"/>
          <w:bCs/>
          <w:kern w:val="44"/>
          <w:sz w:val="32"/>
          <w:szCs w:val="32"/>
          <w:highlight w:val="none"/>
          <w:lang w:val="en-US" w:eastAsia="zh-CN"/>
        </w:rPr>
        <w:t>项目绩效目标：</w:t>
      </w:r>
      <w:r>
        <w:rPr>
          <w:rFonts w:hint="default" w:ascii="仿宋_GB2312" w:hAnsi="仿宋_GB2312" w:eastAsia="仿宋_GB2312" w:cs="仿宋_GB2312"/>
          <w:bCs/>
          <w:kern w:val="44"/>
          <w:sz w:val="32"/>
          <w:szCs w:val="32"/>
          <w:highlight w:val="none"/>
        </w:rPr>
        <w:t>为进一步加强建设工程结算工作管理，提高结算编审工作质量，</w:t>
      </w:r>
      <w:r>
        <w:rPr>
          <w:rFonts w:hint="eastAsia" w:ascii="仿宋_GB2312" w:hAnsi="仿宋_GB2312" w:eastAsia="仿宋_GB2312" w:cs="仿宋_GB2312"/>
          <w:bCs/>
          <w:kern w:val="44"/>
          <w:sz w:val="32"/>
          <w:szCs w:val="32"/>
          <w:highlight w:val="none"/>
          <w:lang w:val="en-US" w:eastAsia="zh-CN"/>
        </w:rPr>
        <w:t>结合</w:t>
      </w:r>
      <w:r>
        <w:rPr>
          <w:rFonts w:hint="default" w:ascii="仿宋_GB2312" w:hAnsi="仿宋_GB2312" w:eastAsia="仿宋_GB2312" w:cs="仿宋_GB2312"/>
          <w:bCs/>
          <w:kern w:val="44"/>
          <w:sz w:val="32"/>
          <w:szCs w:val="32"/>
          <w:highlight w:val="none"/>
        </w:rPr>
        <w:t>《北京城市副中心行政办公区工程建设办公室建设工程结算预审计暂行办法》，对副中心工程项目开展预审计工作。对项目实施结算中相关资料的合规性、逻辑性、完整性、程序办理规范性、量价的真实性等进行审计，对问题提出整改意见，提高结算效率，有效降低风险，做好一期结算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lang w:val="en-US" w:eastAsia="zh-CN"/>
        </w:rPr>
        <w:t>2.绩效</w:t>
      </w:r>
      <w:r>
        <w:rPr>
          <w:rFonts w:hint="eastAsia" w:ascii="仿宋_GB2312" w:hAnsi="仿宋_GB2312" w:eastAsia="仿宋_GB2312" w:cs="仿宋_GB2312"/>
          <w:b/>
          <w:bCs w:val="0"/>
          <w:sz w:val="32"/>
          <w:szCs w:val="32"/>
        </w:rPr>
        <w:t>指标</w:t>
      </w:r>
    </w:p>
    <w:p>
      <w:pPr>
        <w:pStyle w:val="2"/>
        <w:numPr>
          <w:ilvl w:val="0"/>
          <w:numId w:val="0"/>
        </w:numPr>
        <w:jc w:val="center"/>
        <w:rPr>
          <w:rFonts w:hint="eastAsia" w:ascii="宋体" w:hAnsi="宋体" w:eastAsia="宋体" w:cs="宋体"/>
          <w:b/>
          <w:bCs w:val="0"/>
          <w:sz w:val="28"/>
          <w:szCs w:val="28"/>
          <w:lang w:val="en-US" w:eastAsia="zh-CN"/>
        </w:rPr>
      </w:pPr>
      <w:r>
        <w:rPr>
          <w:rFonts w:hint="eastAsia" w:ascii="宋体" w:hAnsi="宋体" w:eastAsia="宋体" w:cs="宋体"/>
          <w:b/>
          <w:bCs w:val="0"/>
          <w:kern w:val="44"/>
          <w:sz w:val="28"/>
          <w:szCs w:val="28"/>
          <w:highlight w:val="none"/>
          <w:lang w:val="en-US" w:eastAsia="zh-CN"/>
        </w:rPr>
        <w:t>2021年度</w:t>
      </w:r>
      <w:r>
        <w:rPr>
          <w:rFonts w:hint="eastAsia" w:ascii="宋体" w:hAnsi="宋体" w:eastAsia="宋体" w:cs="宋体"/>
          <w:b/>
          <w:bCs w:val="0"/>
          <w:kern w:val="44"/>
          <w:sz w:val="28"/>
          <w:szCs w:val="28"/>
          <w:highlight w:val="none"/>
        </w:rPr>
        <w:t>预审计</w:t>
      </w:r>
      <w:r>
        <w:rPr>
          <w:rFonts w:hint="eastAsia" w:ascii="宋体" w:hAnsi="宋体" w:eastAsia="宋体" w:cs="宋体"/>
          <w:b/>
          <w:bCs w:val="0"/>
          <w:kern w:val="44"/>
          <w:sz w:val="28"/>
          <w:szCs w:val="28"/>
          <w:highlight w:val="none"/>
          <w:lang w:val="en-US" w:eastAsia="zh-CN"/>
        </w:rPr>
        <w:t>项目绩效指标一揽表</w:t>
      </w:r>
    </w:p>
    <w:tbl>
      <w:tblPr>
        <w:tblStyle w:val="19"/>
        <w:tblW w:w="84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45"/>
        <w:gridCol w:w="1950"/>
        <w:gridCol w:w="3450"/>
        <w:gridCol w:w="18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8" w:hRule="atLeast"/>
        </w:trPr>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leftChars="0" w:firstLine="0" w:firstLineChars="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一级指标</w:t>
            </w: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leftChars="0" w:firstLine="0" w:firstLineChars="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二级指标</w:t>
            </w:r>
          </w:p>
        </w:tc>
        <w:tc>
          <w:tcPr>
            <w:tcW w:w="3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leftChars="0" w:firstLine="0" w:firstLineChars="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三级指标</w:t>
            </w:r>
          </w:p>
        </w:tc>
        <w:tc>
          <w:tcPr>
            <w:tcW w:w="1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left="0" w:leftChars="0" w:firstLine="0" w:firstLineChars="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3" w:hRule="atLeast"/>
        </w:trPr>
        <w:tc>
          <w:tcPr>
            <w:tcW w:w="12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产出指标</w:t>
            </w: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3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开展工程结算工作并出具结算报告</w:t>
            </w:r>
          </w:p>
        </w:tc>
        <w:tc>
          <w:tcPr>
            <w:tcW w:w="1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8"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_GB2312" w:hAnsi="仿宋_GB2312" w:eastAsia="仿宋_GB2312" w:cs="仿宋_GB2312"/>
                <w:i w:val="0"/>
                <w:iCs w:val="0"/>
                <w:color w:val="000000"/>
                <w:sz w:val="24"/>
                <w:szCs w:val="24"/>
                <w:u w:val="none"/>
              </w:rPr>
            </w:pP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质量指标</w:t>
            </w:r>
          </w:p>
        </w:tc>
        <w:tc>
          <w:tcPr>
            <w:tcW w:w="3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资料的合规性、完整性</w:t>
            </w:r>
          </w:p>
        </w:tc>
        <w:tc>
          <w:tcPr>
            <w:tcW w:w="1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8"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_GB2312" w:hAnsi="仿宋_GB2312" w:eastAsia="仿宋_GB2312" w:cs="仿宋_GB2312"/>
                <w:i w:val="0"/>
                <w:iCs w:val="0"/>
                <w:color w:val="000000"/>
                <w:sz w:val="24"/>
                <w:szCs w:val="24"/>
                <w:u w:val="none"/>
              </w:rPr>
            </w:pPr>
          </w:p>
        </w:tc>
        <w:tc>
          <w:tcPr>
            <w:tcW w:w="19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3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2020年9月项目立项申报</w:t>
            </w:r>
          </w:p>
        </w:tc>
        <w:tc>
          <w:tcPr>
            <w:tcW w:w="1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按时完成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3"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_GB2312" w:hAnsi="仿宋_GB2312" w:eastAsia="仿宋_GB2312" w:cs="仿宋_GB2312"/>
                <w:i w:val="0"/>
                <w:iCs w:val="0"/>
                <w:color w:val="000000"/>
                <w:sz w:val="24"/>
                <w:szCs w:val="24"/>
                <w:u w:val="none"/>
              </w:rPr>
            </w:pPr>
          </w:p>
        </w:tc>
        <w:tc>
          <w:tcPr>
            <w:tcW w:w="19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_GB2312" w:hAnsi="仿宋_GB2312" w:eastAsia="仿宋_GB2312" w:cs="仿宋_GB2312"/>
                <w:i w:val="0"/>
                <w:iCs w:val="0"/>
                <w:color w:val="000000"/>
                <w:sz w:val="24"/>
                <w:szCs w:val="24"/>
                <w:u w:val="none"/>
              </w:rPr>
            </w:pPr>
          </w:p>
        </w:tc>
        <w:tc>
          <w:tcPr>
            <w:tcW w:w="3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2021年12月底前完成预审计报告撰写</w:t>
            </w:r>
          </w:p>
        </w:tc>
        <w:tc>
          <w:tcPr>
            <w:tcW w:w="1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按时完成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3"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_GB2312" w:hAnsi="仿宋_GB2312" w:eastAsia="仿宋_GB2312" w:cs="仿宋_GB2312"/>
                <w:i w:val="0"/>
                <w:iCs w:val="0"/>
                <w:color w:val="000000"/>
                <w:sz w:val="24"/>
                <w:szCs w:val="24"/>
                <w:u w:val="none"/>
              </w:rPr>
            </w:pP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3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项目经济成本</w:t>
            </w:r>
          </w:p>
        </w:tc>
        <w:tc>
          <w:tcPr>
            <w:tcW w:w="1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仿宋_GB2312" w:eastAsia="仿宋_GB2312" w:cs="仿宋_GB2312"/>
                <w:i w:val="0"/>
                <w:iCs w:val="0"/>
                <w:color w:val="000000"/>
                <w:sz w:val="24"/>
                <w:szCs w:val="24"/>
                <w:u w:val="none"/>
                <w:lang w:val="en-US"/>
              </w:rPr>
            </w:pPr>
            <w:r>
              <w:rPr>
                <w:rFonts w:hint="default" w:ascii="仿宋_GB2312" w:hAnsi="仿宋_GB2312" w:eastAsia="仿宋_GB2312" w:cs="仿宋_GB2312"/>
                <w:i w:val="0"/>
                <w:iCs w:val="0"/>
                <w:color w:val="000000"/>
                <w:sz w:val="24"/>
                <w:szCs w:val="24"/>
                <w:u w:val="none"/>
                <w:lang w:val="en-US" w:eastAsia="zh-CN"/>
              </w:rPr>
              <w:t>≤</w:t>
            </w:r>
            <w:r>
              <w:rPr>
                <w:rFonts w:hint="eastAsia" w:ascii="仿宋_GB2312" w:hAnsi="仿宋_GB2312" w:eastAsia="仿宋_GB2312" w:cs="仿宋_GB2312"/>
                <w:i w:val="0"/>
                <w:iCs w:val="0"/>
                <w:color w:val="000000"/>
                <w:sz w:val="24"/>
                <w:szCs w:val="24"/>
                <w:u w:val="none"/>
                <w:lang w:val="en-US" w:eastAsia="zh-CN"/>
              </w:rPr>
              <w:t>373.39万</w:t>
            </w:r>
            <w:r>
              <w:rPr>
                <w:rFonts w:hint="eastAsia" w:ascii="仿宋_GB2312" w:hAnsi="仿宋_GB2312" w:eastAsia="仿宋_GB2312" w:cs="仿宋_GB2312"/>
                <w:i w:val="0"/>
                <w:iCs w:val="0"/>
                <w:color w:val="000000"/>
                <w:kern w:val="0"/>
                <w:sz w:val="24"/>
                <w:szCs w:val="24"/>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4" w:hRule="atLeast"/>
        </w:trPr>
        <w:tc>
          <w:tcPr>
            <w:tcW w:w="12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效益指标</w:t>
            </w: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社会效益指标</w:t>
            </w:r>
          </w:p>
        </w:tc>
        <w:tc>
          <w:tcPr>
            <w:tcW w:w="3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提高结算编审工作质量和结算效率，有效降低风险</w:t>
            </w:r>
          </w:p>
        </w:tc>
        <w:tc>
          <w:tcPr>
            <w:tcW w:w="1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得到提高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5"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_GB2312" w:hAnsi="仿宋_GB2312" w:eastAsia="仿宋_GB2312" w:cs="仿宋_GB2312"/>
                <w:i w:val="0"/>
                <w:iCs w:val="0"/>
                <w:color w:val="000000"/>
                <w:sz w:val="24"/>
                <w:szCs w:val="24"/>
                <w:u w:val="none"/>
              </w:rPr>
            </w:pP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可持续影响指标</w:t>
            </w:r>
          </w:p>
        </w:tc>
        <w:tc>
          <w:tcPr>
            <w:tcW w:w="3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通过对项目预审计中发现的问题及时整改，保障项目后期更加规范的开展</w:t>
            </w:r>
          </w:p>
        </w:tc>
        <w:tc>
          <w:tcPr>
            <w:tcW w:w="1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trPr>
        <w:tc>
          <w:tcPr>
            <w:tcW w:w="124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default"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满意度指标</w:t>
            </w:r>
          </w:p>
        </w:tc>
        <w:tc>
          <w:tcPr>
            <w:tcW w:w="19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服务对象满意度标</w:t>
            </w:r>
          </w:p>
        </w:tc>
        <w:tc>
          <w:tcPr>
            <w:tcW w:w="3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财务处室人员满意度</w:t>
            </w:r>
          </w:p>
        </w:tc>
        <w:tc>
          <w:tcPr>
            <w:tcW w:w="1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w:t>
            </w:r>
            <w:r>
              <w:rPr>
                <w:rStyle w:val="57"/>
                <w:rFonts w:hint="eastAsia" w:ascii="仿宋_GB2312" w:hAnsi="仿宋_GB2312" w:eastAsia="仿宋_GB2312" w:cs="仿宋_GB2312"/>
                <w:sz w:val="24"/>
                <w:szCs w:val="24"/>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9"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_GB2312" w:hAnsi="仿宋_GB2312" w:eastAsia="仿宋_GB2312" w:cs="仿宋_GB2312"/>
                <w:i w:val="0"/>
                <w:iCs w:val="0"/>
                <w:color w:val="000000"/>
                <w:sz w:val="24"/>
                <w:szCs w:val="24"/>
                <w:u w:val="none"/>
              </w:rPr>
            </w:pPr>
          </w:p>
        </w:tc>
        <w:tc>
          <w:tcPr>
            <w:tcW w:w="19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jc w:val="center"/>
              <w:rPr>
                <w:rFonts w:hint="eastAsia" w:ascii="仿宋_GB2312" w:hAnsi="仿宋_GB2312" w:eastAsia="仿宋_GB2312" w:cs="仿宋_GB2312"/>
                <w:i w:val="0"/>
                <w:iCs w:val="0"/>
                <w:color w:val="000000"/>
                <w:sz w:val="24"/>
                <w:szCs w:val="24"/>
                <w:u w:val="none"/>
              </w:rPr>
            </w:pPr>
          </w:p>
        </w:tc>
        <w:tc>
          <w:tcPr>
            <w:tcW w:w="3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房建项目人员满意度</w:t>
            </w:r>
          </w:p>
        </w:tc>
        <w:tc>
          <w:tcPr>
            <w:tcW w:w="1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line="240" w:lineRule="auto"/>
              <w:ind w:left="0" w:leftChars="0" w:firstLine="0" w:firstLineChars="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w:t>
            </w:r>
            <w:r>
              <w:rPr>
                <w:rStyle w:val="57"/>
                <w:rFonts w:hint="eastAsia" w:ascii="仿宋_GB2312" w:hAnsi="仿宋_GB2312" w:eastAsia="仿宋_GB2312" w:cs="仿宋_GB2312"/>
                <w:sz w:val="24"/>
                <w:szCs w:val="24"/>
                <w:lang w:val="en-US" w:eastAsia="zh-CN" w:bidi="ar"/>
              </w:rPr>
              <w:t>90%</w:t>
            </w:r>
          </w:p>
        </w:tc>
      </w:tr>
    </w:tbl>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p>
    <w:p>
      <w:pPr>
        <w:pStyle w:val="3"/>
        <w:pageBreakBefore w:val="0"/>
        <w:widowControl w:val="0"/>
        <w:kinsoku/>
        <w:wordWrap/>
        <w:overflowPunct/>
        <w:topLinePunct w:val="0"/>
        <w:autoSpaceDE/>
        <w:autoSpaceDN/>
        <w:bidi w:val="0"/>
        <w:adjustRightInd w:val="0"/>
        <w:snapToGrid w:val="0"/>
        <w:spacing w:before="0" w:beforeLines="0" w:after="0" w:afterLines="0" w:line="560" w:lineRule="exact"/>
        <w:ind w:firstLine="640"/>
        <w:textAlignment w:val="auto"/>
        <w:rPr>
          <w:rFonts w:ascii="Times New Roman" w:hAnsi="Times New Roman" w:cs="Times New Roman"/>
          <w:szCs w:val="32"/>
        </w:rPr>
      </w:pPr>
      <w:bookmarkStart w:id="51" w:name="_Toc711276754"/>
      <w:bookmarkStart w:id="52" w:name="_Toc4362"/>
      <w:bookmarkStart w:id="53" w:name="_Toc653763269_WPSOffice_Level1"/>
      <w:bookmarkStart w:id="54" w:name="_Toc15169"/>
      <w:bookmarkStart w:id="55" w:name="_Toc11592"/>
      <w:bookmarkStart w:id="56" w:name="_Toc14179"/>
      <w:bookmarkStart w:id="57" w:name="_Toc26299"/>
      <w:bookmarkStart w:id="58" w:name="_Toc32736"/>
      <w:r>
        <w:rPr>
          <w:rFonts w:ascii="Times New Roman" w:hAnsi="Times New Roman" w:cs="Times New Roman"/>
          <w:szCs w:val="32"/>
        </w:rPr>
        <w:t>二、</w:t>
      </w:r>
      <w:bookmarkEnd w:id="49"/>
      <w:bookmarkEnd w:id="50"/>
      <w:bookmarkStart w:id="59" w:name="_Toc22870"/>
      <w:r>
        <w:rPr>
          <w:rFonts w:ascii="Times New Roman" w:hAnsi="Times New Roman" w:cs="Times New Roman"/>
          <w:szCs w:val="32"/>
        </w:rPr>
        <w:t>绩效评价工作开展情况</w:t>
      </w:r>
      <w:bookmarkEnd w:id="51"/>
      <w:bookmarkEnd w:id="52"/>
      <w:bookmarkEnd w:id="53"/>
      <w:bookmarkEnd w:id="54"/>
      <w:bookmarkEnd w:id="55"/>
      <w:bookmarkEnd w:id="56"/>
      <w:bookmarkEnd w:id="57"/>
      <w:bookmarkEnd w:id="58"/>
    </w:p>
    <w:bookmarkEnd w:id="59"/>
    <w:p>
      <w:pPr>
        <w:pageBreakBefore w:val="0"/>
        <w:widowControl w:val="0"/>
        <w:kinsoku/>
        <w:wordWrap/>
        <w:overflowPunct/>
        <w:topLinePunct w:val="0"/>
        <w:autoSpaceDE/>
        <w:autoSpaceDN/>
        <w:bidi w:val="0"/>
        <w:adjustRightInd w:val="0"/>
        <w:snapToGrid w:val="0"/>
        <w:spacing w:line="560" w:lineRule="exact"/>
        <w:ind w:firstLine="640"/>
        <w:textAlignment w:val="auto"/>
        <w:outlineLvl w:val="1"/>
        <w:rPr>
          <w:rFonts w:ascii="Times New Roman" w:hAnsi="Times New Roman" w:eastAsia="楷体_GB2312" w:cs="Times New Roman"/>
          <w:b/>
          <w:sz w:val="32"/>
        </w:rPr>
      </w:pPr>
      <w:bookmarkStart w:id="60" w:name="_Toc1277"/>
      <w:bookmarkStart w:id="61" w:name="_Toc1272924031_WPSOffice_Level2"/>
      <w:bookmarkStart w:id="62" w:name="_Toc14668"/>
      <w:bookmarkStart w:id="63" w:name="_Toc1534425276"/>
      <w:bookmarkStart w:id="64" w:name="_Toc15667"/>
      <w:bookmarkStart w:id="65" w:name="_Toc28644"/>
      <w:bookmarkStart w:id="66" w:name="_Toc21271"/>
      <w:bookmarkStart w:id="67" w:name="_Toc17033"/>
      <w:bookmarkStart w:id="68" w:name="_Toc16887"/>
      <w:r>
        <w:rPr>
          <w:rFonts w:ascii="Times New Roman" w:hAnsi="Times New Roman" w:eastAsia="楷体_GB2312" w:cs="Times New Roman"/>
          <w:b/>
          <w:sz w:val="32"/>
        </w:rPr>
        <w:t>（一）绩效评价目的、对象和范围</w:t>
      </w:r>
      <w:bookmarkEnd w:id="60"/>
      <w:bookmarkEnd w:id="61"/>
      <w:bookmarkEnd w:id="62"/>
      <w:bookmarkEnd w:id="63"/>
      <w:bookmarkEnd w:id="64"/>
      <w:bookmarkEnd w:id="65"/>
      <w:bookmarkEnd w:id="66"/>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1.评价目的</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一是加强预算绩效管理，强化支出责任，提高财政资金使用效益；二是进一步总结和分析财政资金支出效果，了解、分析、检验资金使用是否达到预期目标，资金管理是否规范，资金使用是否有效，考核财政支出效率和综合效果；三是通过绩效评价，促进项目单位总结经验、发现问题、改进工作，进一步加强项目管理。</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2.评价对象</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bookmarkStart w:id="69" w:name="_Toc2101980556"/>
      <w:bookmarkStart w:id="70" w:name="_Toc27151395"/>
      <w:bookmarkStart w:id="71" w:name="_Toc27151280"/>
      <w:r>
        <w:rPr>
          <w:rFonts w:hint="eastAsia" w:ascii="仿宋_GB2312" w:hAnsi="仿宋_GB2312" w:eastAsia="仿宋_GB2312" w:cs="仿宋_GB2312"/>
          <w:bCs/>
          <w:kern w:val="44"/>
          <w:sz w:val="32"/>
          <w:szCs w:val="32"/>
          <w:highlight w:val="none"/>
          <w:lang w:val="en-US" w:eastAsia="zh-CN"/>
        </w:rPr>
        <w:t>副中心工程办</w:t>
      </w:r>
      <w:r>
        <w:rPr>
          <w:rFonts w:hint="default" w:ascii="仿宋_GB2312" w:hAnsi="仿宋_GB2312" w:eastAsia="仿宋_GB2312" w:cs="仿宋_GB2312"/>
          <w:bCs/>
          <w:kern w:val="44"/>
          <w:sz w:val="32"/>
          <w:szCs w:val="32"/>
          <w:highlight w:val="none"/>
        </w:rPr>
        <w:t>预审计服务</w:t>
      </w:r>
      <w:r>
        <w:rPr>
          <w:rFonts w:hint="eastAsia" w:ascii="仿宋_GB2312" w:hAnsi="仿宋_GB2312" w:eastAsia="仿宋_GB2312" w:cs="仿宋_GB2312"/>
          <w:bCs/>
          <w:kern w:val="44"/>
          <w:sz w:val="32"/>
          <w:szCs w:val="32"/>
          <w:highlight w:val="none"/>
        </w:rPr>
        <w:t>项目。</w:t>
      </w:r>
      <w:bookmarkEnd w:id="69"/>
    </w:p>
    <w:bookmarkEnd w:id="70"/>
    <w:bookmarkEnd w:id="71"/>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3.评价范围</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lang w:eastAsia="zh-CN"/>
        </w:rPr>
        <w:t>副中心工程办</w:t>
      </w:r>
      <w:r>
        <w:rPr>
          <w:rFonts w:hint="default" w:ascii="仿宋_GB2312" w:hAnsi="仿宋_GB2312" w:eastAsia="仿宋_GB2312" w:cs="仿宋_GB2312"/>
          <w:bCs/>
          <w:kern w:val="44"/>
          <w:sz w:val="32"/>
          <w:szCs w:val="32"/>
          <w:highlight w:val="none"/>
        </w:rPr>
        <w:t>财务审计部开展的预审计服务</w:t>
      </w:r>
      <w:r>
        <w:rPr>
          <w:rFonts w:hint="eastAsia" w:ascii="仿宋_GB2312" w:hAnsi="仿宋_GB2312" w:eastAsia="仿宋_GB2312" w:cs="仿宋_GB2312"/>
          <w:bCs/>
          <w:kern w:val="44"/>
          <w:sz w:val="32"/>
          <w:szCs w:val="32"/>
          <w:highlight w:val="none"/>
        </w:rPr>
        <w:t>项目相关的工作。</w:t>
      </w:r>
    </w:p>
    <w:p>
      <w:pPr>
        <w:pageBreakBefore w:val="0"/>
        <w:widowControl w:val="0"/>
        <w:kinsoku/>
        <w:wordWrap/>
        <w:overflowPunct/>
        <w:topLinePunct w:val="0"/>
        <w:autoSpaceDE/>
        <w:autoSpaceDN/>
        <w:bidi w:val="0"/>
        <w:adjustRightInd w:val="0"/>
        <w:snapToGrid w:val="0"/>
        <w:spacing w:line="560" w:lineRule="exact"/>
        <w:ind w:firstLine="640"/>
        <w:textAlignment w:val="auto"/>
        <w:outlineLvl w:val="1"/>
        <w:rPr>
          <w:rFonts w:ascii="Times New Roman" w:hAnsi="Times New Roman" w:eastAsia="楷体_GB2312" w:cs="Times New Roman"/>
          <w:b/>
          <w:sz w:val="32"/>
        </w:rPr>
      </w:pPr>
      <w:bookmarkStart w:id="72" w:name="_Toc26616"/>
      <w:bookmarkStart w:id="73" w:name="_Toc15822"/>
      <w:bookmarkStart w:id="74" w:name="_Toc802097603_WPSOffice_Level2"/>
      <w:bookmarkStart w:id="75" w:name="_Toc1881211542"/>
      <w:bookmarkStart w:id="76" w:name="_Toc17330"/>
      <w:bookmarkStart w:id="77" w:name="_Toc15710"/>
      <w:bookmarkStart w:id="78" w:name="_Toc22201"/>
      <w:r>
        <w:rPr>
          <w:rFonts w:ascii="Times New Roman" w:hAnsi="Times New Roman" w:eastAsia="楷体_GB2312" w:cs="Times New Roman"/>
          <w:b/>
          <w:sz w:val="32"/>
        </w:rPr>
        <w:t>（二）绩效评价原则、评价指标体系、评价方法和评价标准</w:t>
      </w:r>
      <w:bookmarkEnd w:id="72"/>
      <w:bookmarkEnd w:id="73"/>
      <w:bookmarkEnd w:id="74"/>
      <w:bookmarkEnd w:id="75"/>
      <w:bookmarkEnd w:id="76"/>
      <w:bookmarkEnd w:id="77"/>
      <w:bookmarkEnd w:id="78"/>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1.评价原则</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一是客观公正原则。本次绩效评价工作本着实事求是的原则，站在客观、公正的立场发表评价意见。</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二是科学规范原则。本次绩效评价严格遵循</w:t>
      </w:r>
      <w:bookmarkStart w:id="79" w:name="_Hlk69739239"/>
      <w:r>
        <w:rPr>
          <w:rFonts w:hint="eastAsia" w:ascii="仿宋_GB2312" w:hAnsi="仿宋_GB2312" w:eastAsia="仿宋_GB2312" w:cs="仿宋_GB2312"/>
          <w:bCs/>
          <w:kern w:val="44"/>
          <w:sz w:val="32"/>
          <w:szCs w:val="32"/>
          <w:highlight w:val="none"/>
        </w:rPr>
        <w:t>《北京市项目支出绩效评价管理办法》</w:t>
      </w:r>
      <w:bookmarkEnd w:id="79"/>
      <w:r>
        <w:rPr>
          <w:rFonts w:hint="eastAsia" w:ascii="仿宋_GB2312" w:hAnsi="仿宋_GB2312" w:eastAsia="仿宋_GB2312" w:cs="仿宋_GB2312"/>
          <w:bCs/>
          <w:kern w:val="44"/>
          <w:sz w:val="32"/>
          <w:szCs w:val="32"/>
          <w:highlight w:val="none"/>
          <w:lang w:val="en-US" w:eastAsia="zh-CN"/>
        </w:rPr>
        <w:t>等</w:t>
      </w:r>
      <w:r>
        <w:rPr>
          <w:rFonts w:hint="default" w:ascii="仿宋_GB2312" w:hAnsi="仿宋_GB2312" w:eastAsia="仿宋_GB2312" w:cs="仿宋_GB2312"/>
          <w:bCs/>
          <w:kern w:val="44"/>
          <w:sz w:val="32"/>
          <w:szCs w:val="32"/>
          <w:highlight w:val="none"/>
        </w:rPr>
        <w:t>文件</w:t>
      </w:r>
      <w:r>
        <w:rPr>
          <w:rFonts w:hint="eastAsia" w:ascii="仿宋_GB2312" w:hAnsi="仿宋_GB2312" w:eastAsia="仿宋_GB2312" w:cs="仿宋_GB2312"/>
          <w:bCs/>
          <w:kern w:val="44"/>
          <w:sz w:val="32"/>
          <w:szCs w:val="32"/>
          <w:highlight w:val="none"/>
        </w:rPr>
        <w:t>规定</w:t>
      </w:r>
      <w:r>
        <w:rPr>
          <w:rFonts w:hint="eastAsia" w:ascii="仿宋_GB2312" w:hAnsi="仿宋_GB2312" w:eastAsia="仿宋_GB2312" w:cs="仿宋_GB2312"/>
          <w:bCs/>
          <w:kern w:val="44"/>
          <w:sz w:val="32"/>
          <w:szCs w:val="32"/>
          <w:highlight w:val="none"/>
          <w:lang w:eastAsia="zh-CN"/>
        </w:rPr>
        <w:t>，</w:t>
      </w:r>
      <w:r>
        <w:rPr>
          <w:rFonts w:hint="eastAsia" w:ascii="仿宋_GB2312" w:hAnsi="仿宋_GB2312" w:eastAsia="仿宋_GB2312" w:cs="仿宋_GB2312"/>
          <w:bCs/>
          <w:kern w:val="44"/>
          <w:sz w:val="32"/>
          <w:szCs w:val="32"/>
          <w:highlight w:val="none"/>
          <w:lang w:val="en-US" w:eastAsia="zh-CN"/>
        </w:rPr>
        <w:t>按市财政局</w:t>
      </w:r>
      <w:r>
        <w:rPr>
          <w:rFonts w:hint="eastAsia" w:ascii="仿宋_GB2312" w:hAnsi="仿宋_GB2312" w:eastAsia="仿宋_GB2312" w:cs="仿宋_GB2312"/>
          <w:bCs/>
          <w:kern w:val="44"/>
          <w:sz w:val="32"/>
          <w:szCs w:val="32"/>
          <w:highlight w:val="none"/>
        </w:rPr>
        <w:t>要求组织实施。</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三是突出绩效原则。</w:t>
      </w:r>
      <w:r>
        <w:rPr>
          <w:rFonts w:hint="eastAsia" w:ascii="仿宋_GB2312" w:hAnsi="仿宋_GB2312" w:eastAsia="仿宋_GB2312" w:cs="仿宋_GB2312"/>
          <w:bCs/>
          <w:kern w:val="44"/>
          <w:sz w:val="32"/>
          <w:szCs w:val="32"/>
          <w:highlight w:val="none"/>
          <w:lang w:val="en-US" w:eastAsia="zh-CN"/>
        </w:rPr>
        <w:t>坚持以绩效为导向，着眼全面加强绩效管理，</w:t>
      </w:r>
      <w:r>
        <w:rPr>
          <w:rFonts w:hint="eastAsia" w:ascii="仿宋_GB2312" w:hAnsi="仿宋_GB2312" w:eastAsia="仿宋_GB2312" w:cs="仿宋_GB2312"/>
          <w:bCs/>
          <w:kern w:val="44"/>
          <w:sz w:val="32"/>
          <w:szCs w:val="32"/>
          <w:highlight w:val="none"/>
        </w:rPr>
        <w:t>重点关注绩效，兼顾决策和管理。</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2.评价指标体系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44"/>
          <w:sz w:val="32"/>
          <w:szCs w:val="32"/>
          <w:highlight w:val="none"/>
        </w:rPr>
        <w:t>评价工作组结合该项目特点和预期绩效目标，以资金使用结果为</w:t>
      </w:r>
      <w:r>
        <w:rPr>
          <w:rFonts w:hint="eastAsia" w:ascii="仿宋_GB2312" w:hAnsi="仿宋_GB2312" w:eastAsia="仿宋_GB2312" w:cs="仿宋_GB2312"/>
          <w:bCs/>
          <w:kern w:val="44"/>
          <w:sz w:val="32"/>
          <w:szCs w:val="32"/>
          <w:highlight w:val="none"/>
          <w:lang w:val="en-US" w:eastAsia="zh-CN"/>
        </w:rPr>
        <w:t>主线</w:t>
      </w:r>
      <w:r>
        <w:rPr>
          <w:rFonts w:hint="eastAsia" w:ascii="仿宋_GB2312" w:hAnsi="仿宋_GB2312" w:eastAsia="仿宋_GB2312" w:cs="仿宋_GB2312"/>
          <w:bCs/>
          <w:kern w:val="44"/>
          <w:sz w:val="32"/>
          <w:szCs w:val="32"/>
          <w:highlight w:val="none"/>
        </w:rPr>
        <w:t>，按照“相关性、重要性、可比性、系统性”原则，明确评价标准，按照《北京市项目支出绩效评价管理办法》（京财绩效〔2020〕2146号），确定了该项目绩效评价指标体系，其中一级指标4个，二级指标10个，三级指标17个，四级指标</w:t>
      </w:r>
      <w:r>
        <w:rPr>
          <w:rFonts w:hint="eastAsia" w:ascii="仿宋_GB2312" w:hAnsi="仿宋_GB2312" w:eastAsia="仿宋_GB2312" w:cs="仿宋_GB2312"/>
          <w:bCs/>
          <w:kern w:val="44"/>
          <w:sz w:val="32"/>
          <w:szCs w:val="32"/>
          <w:highlight w:val="none"/>
          <w:lang w:val="en-US" w:eastAsia="zh-CN"/>
        </w:rPr>
        <w:t>27个</w:t>
      </w:r>
      <w:r>
        <w:rPr>
          <w:rFonts w:hint="eastAsia" w:ascii="仿宋_GB2312" w:hAnsi="仿宋_GB2312" w:eastAsia="仿宋_GB2312" w:cs="仿宋_GB2312"/>
          <w:bCs/>
          <w:kern w:val="44"/>
          <w:sz w:val="32"/>
          <w:szCs w:val="32"/>
          <w:highlight w:val="none"/>
        </w:rPr>
        <w:t>。</w:t>
      </w:r>
      <w:r>
        <w:rPr>
          <w:rFonts w:hint="eastAsia" w:ascii="仿宋_GB2312" w:hAnsi="仿宋_GB2312" w:eastAsia="仿宋_GB2312" w:cs="仿宋_GB2312"/>
          <w:bCs/>
          <w:kern w:val="0"/>
          <w:sz w:val="32"/>
          <w:szCs w:val="32"/>
        </w:rPr>
        <w:t>评价指标体系详见下表：</w:t>
      </w:r>
    </w:p>
    <w:p>
      <w:pPr>
        <w:keepNext w:val="0"/>
        <w:keepLines w:val="0"/>
        <w:pageBreakBefore w:val="0"/>
        <w:widowControl w:val="0"/>
        <w:kinsoku/>
        <w:wordWrap/>
        <w:overflowPunct/>
        <w:topLinePunct w:val="0"/>
        <w:autoSpaceDE/>
        <w:autoSpaceDN/>
        <w:bidi w:val="0"/>
        <w:adjustRightInd w:val="0"/>
        <w:snapToGrid w:val="0"/>
        <w:spacing w:line="240" w:lineRule="auto"/>
        <w:ind w:firstLine="640"/>
        <w:textAlignment w:val="auto"/>
        <w:rPr>
          <w:rFonts w:hint="eastAsia" w:ascii="仿宋_GB2312" w:hAnsi="仿宋_GB2312" w:eastAsia="仿宋_GB2312" w:cs="仿宋_GB2312"/>
          <w:b/>
          <w:bCs w:val="0"/>
          <w:sz w:val="32"/>
          <w:szCs w:val="32"/>
        </w:rPr>
      </w:pPr>
    </w:p>
    <w:p>
      <w:pPr>
        <w:pStyle w:val="2"/>
        <w:ind w:left="0" w:leftChars="0" w:firstLine="0" w:firstLineChars="0"/>
        <w:jc w:val="center"/>
        <w:rPr>
          <w:rFonts w:hint="eastAsia"/>
          <w:lang w:val="en-US" w:eastAsia="zh-CN"/>
        </w:rPr>
      </w:pPr>
      <w:r>
        <w:rPr>
          <w:rFonts w:hint="eastAsia" w:ascii="仿宋_GB2312" w:hAnsi="仿宋_GB2312" w:eastAsia="仿宋_GB2312" w:cs="仿宋_GB2312"/>
          <w:b/>
          <w:sz w:val="32"/>
        </w:rPr>
        <w:t>“</w:t>
      </w:r>
      <w:r>
        <w:rPr>
          <w:rFonts w:hint="eastAsia" w:ascii="仿宋_GB2312" w:hAnsi="仿宋_GB2312" w:eastAsia="仿宋_GB2312" w:cs="仿宋_GB2312"/>
          <w:b/>
          <w:sz w:val="32"/>
          <w:lang w:val="en-US" w:eastAsia="zh-CN"/>
        </w:rPr>
        <w:t>预审计</w:t>
      </w:r>
      <w:r>
        <w:rPr>
          <w:rFonts w:hint="eastAsia" w:ascii="仿宋_GB2312" w:hAnsi="仿宋_GB2312" w:eastAsia="仿宋_GB2312" w:cs="仿宋_GB2312"/>
          <w:b/>
          <w:sz w:val="32"/>
        </w:rPr>
        <w:t>服务”项目绩效评价</w:t>
      </w:r>
      <w:r>
        <w:rPr>
          <w:rFonts w:hint="eastAsia" w:ascii="仿宋_GB2312" w:hAnsi="仿宋_GB2312" w:eastAsia="仿宋_GB2312" w:cs="仿宋_GB2312"/>
          <w:b/>
          <w:sz w:val="32"/>
          <w:lang w:val="en-US" w:eastAsia="zh-CN"/>
        </w:rPr>
        <w:t>指标体系</w:t>
      </w:r>
    </w:p>
    <w:tbl>
      <w:tblPr>
        <w:tblStyle w:val="19"/>
        <w:tblW w:w="8938" w:type="dxa"/>
        <w:tblInd w:w="0" w:type="dxa"/>
        <w:tblLayout w:type="fixed"/>
        <w:tblCellMar>
          <w:top w:w="0" w:type="dxa"/>
          <w:left w:w="108" w:type="dxa"/>
          <w:bottom w:w="0" w:type="dxa"/>
          <w:right w:w="108" w:type="dxa"/>
        </w:tblCellMar>
      </w:tblPr>
      <w:tblGrid>
        <w:gridCol w:w="1225"/>
        <w:gridCol w:w="1234"/>
        <w:gridCol w:w="1720"/>
        <w:gridCol w:w="4759"/>
      </w:tblGrid>
      <w:tr>
        <w:tblPrEx>
          <w:tblCellMar>
            <w:top w:w="0" w:type="dxa"/>
            <w:left w:w="108" w:type="dxa"/>
            <w:bottom w:w="0" w:type="dxa"/>
            <w:right w:w="108" w:type="dxa"/>
          </w:tblCellMar>
        </w:tblPrEx>
        <w:trPr>
          <w:trHeight w:val="789" w:hRule="atLeast"/>
        </w:trPr>
        <w:tc>
          <w:tcPr>
            <w:tcW w:w="12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ind w:left="0" w:leftChars="0" w:firstLine="0" w:firstLineChars="0"/>
              <w:jc w:val="both"/>
              <w:textAlignment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kern w:val="0"/>
                <w:sz w:val="24"/>
                <w:szCs w:val="24"/>
                <w:lang w:bidi="ar"/>
              </w:rPr>
              <w:t>一级指标</w:t>
            </w:r>
          </w:p>
        </w:tc>
        <w:tc>
          <w:tcPr>
            <w:tcW w:w="123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ind w:left="0" w:leftChars="0" w:firstLine="0" w:firstLineChars="0"/>
              <w:jc w:val="both"/>
              <w:textAlignment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kern w:val="0"/>
                <w:sz w:val="24"/>
                <w:szCs w:val="24"/>
                <w:lang w:bidi="ar"/>
              </w:rPr>
              <w:t>二级指标</w:t>
            </w:r>
          </w:p>
        </w:tc>
        <w:tc>
          <w:tcPr>
            <w:tcW w:w="172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kern w:val="0"/>
                <w:sz w:val="24"/>
                <w:szCs w:val="24"/>
                <w:lang w:bidi="ar"/>
              </w:rPr>
              <w:t>三级指标</w:t>
            </w:r>
          </w:p>
        </w:tc>
        <w:tc>
          <w:tcPr>
            <w:tcW w:w="475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widowControl/>
              <w:jc w:val="center"/>
              <w:textAlignment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kern w:val="0"/>
                <w:sz w:val="24"/>
                <w:szCs w:val="24"/>
                <w:lang w:bidi="ar"/>
              </w:rPr>
              <w:t>四级指标</w:t>
            </w:r>
          </w:p>
        </w:tc>
      </w:tr>
      <w:tr>
        <w:tblPrEx>
          <w:tblCellMar>
            <w:top w:w="0" w:type="dxa"/>
            <w:left w:w="108" w:type="dxa"/>
            <w:bottom w:w="0" w:type="dxa"/>
            <w:right w:w="108" w:type="dxa"/>
          </w:tblCellMar>
        </w:tblPrEx>
        <w:trPr>
          <w:trHeight w:val="849" w:hRule="atLeast"/>
        </w:trPr>
        <w:tc>
          <w:tcPr>
            <w:tcW w:w="1225"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决策</w:t>
            </w:r>
          </w:p>
        </w:tc>
        <w:tc>
          <w:tcPr>
            <w:tcW w:w="123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项目立项</w:t>
            </w: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立项依据充分性</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项目立项与法律法规、相关政策、发展规划以及部门职责的相符性</w:t>
            </w:r>
          </w:p>
        </w:tc>
      </w:tr>
      <w:tr>
        <w:tblPrEx>
          <w:tblCellMar>
            <w:top w:w="0" w:type="dxa"/>
            <w:left w:w="108" w:type="dxa"/>
            <w:bottom w:w="0" w:type="dxa"/>
            <w:right w:w="108" w:type="dxa"/>
          </w:tblCellMar>
        </w:tblPrEx>
        <w:trPr>
          <w:trHeight w:val="549"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立项程序规范性</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项目立项程序的规范性</w:t>
            </w:r>
          </w:p>
        </w:tc>
      </w:tr>
      <w:tr>
        <w:tblPrEx>
          <w:tblCellMar>
            <w:top w:w="0" w:type="dxa"/>
            <w:left w:w="108" w:type="dxa"/>
            <w:bottom w:w="0" w:type="dxa"/>
            <w:right w:w="108" w:type="dxa"/>
          </w:tblCellMar>
        </w:tblPrEx>
        <w:trPr>
          <w:trHeight w:val="708"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仿宋_GB2312" w:hAnsi="仿宋_GB2312" w:eastAsia="仿宋_GB2312" w:cs="仿宋_GB2312"/>
                <w:color w:val="000000"/>
                <w:sz w:val="24"/>
                <w:szCs w:val="24"/>
              </w:rPr>
            </w:pP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项目立项的审批文件、材料与相关要求的相符性</w:t>
            </w:r>
          </w:p>
        </w:tc>
      </w:tr>
      <w:tr>
        <w:tblPrEx>
          <w:tblCellMar>
            <w:top w:w="0" w:type="dxa"/>
            <w:left w:w="108" w:type="dxa"/>
            <w:bottom w:w="0" w:type="dxa"/>
            <w:right w:w="108" w:type="dxa"/>
          </w:tblCellMar>
        </w:tblPrEx>
        <w:trPr>
          <w:trHeight w:val="549"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仿宋_GB2312" w:hAnsi="仿宋_GB2312" w:eastAsia="仿宋_GB2312" w:cs="仿宋_GB2312"/>
                <w:color w:val="000000"/>
                <w:sz w:val="24"/>
                <w:szCs w:val="24"/>
              </w:rPr>
            </w:pP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项目立项决策结果的合理性</w:t>
            </w:r>
          </w:p>
        </w:tc>
      </w:tr>
      <w:tr>
        <w:tblPrEx>
          <w:tblCellMar>
            <w:top w:w="0" w:type="dxa"/>
            <w:left w:w="108" w:type="dxa"/>
            <w:bottom w:w="0" w:type="dxa"/>
            <w:right w:w="108" w:type="dxa"/>
          </w:tblCellMar>
        </w:tblPrEx>
        <w:trPr>
          <w:trHeight w:val="753"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绩效目标</w:t>
            </w: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绩效目标合理性</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绩效目标合理性</w:t>
            </w:r>
          </w:p>
        </w:tc>
      </w:tr>
      <w:tr>
        <w:tblPrEx>
          <w:tblCellMar>
            <w:top w:w="0" w:type="dxa"/>
            <w:left w:w="108" w:type="dxa"/>
            <w:bottom w:w="0" w:type="dxa"/>
            <w:right w:w="108" w:type="dxa"/>
          </w:tblCellMar>
        </w:tblPrEx>
        <w:trPr>
          <w:trHeight w:val="753"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绩效指标明确性</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绩效指标明确性</w:t>
            </w:r>
          </w:p>
        </w:tc>
      </w:tr>
      <w:tr>
        <w:tblPrEx>
          <w:tblCellMar>
            <w:top w:w="0" w:type="dxa"/>
            <w:left w:w="108" w:type="dxa"/>
            <w:bottom w:w="0" w:type="dxa"/>
            <w:right w:w="108" w:type="dxa"/>
          </w:tblCellMar>
        </w:tblPrEx>
        <w:trPr>
          <w:trHeight w:val="798"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资金投入</w:t>
            </w: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预算编制科学性</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预算编制科学性</w:t>
            </w:r>
          </w:p>
        </w:tc>
      </w:tr>
      <w:tr>
        <w:tblPrEx>
          <w:tblCellMar>
            <w:top w:w="0" w:type="dxa"/>
            <w:left w:w="108" w:type="dxa"/>
            <w:bottom w:w="0" w:type="dxa"/>
            <w:right w:w="108" w:type="dxa"/>
          </w:tblCellMar>
        </w:tblPrEx>
        <w:trPr>
          <w:trHeight w:val="801"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资金分配合理性</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资金分配合理性</w:t>
            </w:r>
          </w:p>
        </w:tc>
      </w:tr>
      <w:tr>
        <w:tblPrEx>
          <w:tblCellMar>
            <w:top w:w="0" w:type="dxa"/>
            <w:left w:w="108" w:type="dxa"/>
            <w:bottom w:w="0" w:type="dxa"/>
            <w:right w:w="108" w:type="dxa"/>
          </w:tblCellMar>
        </w:tblPrEx>
        <w:trPr>
          <w:trHeight w:val="549" w:hRule="atLeast"/>
        </w:trPr>
        <w:tc>
          <w:tcPr>
            <w:tcW w:w="1225"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过程</w:t>
            </w:r>
          </w:p>
        </w:tc>
        <w:tc>
          <w:tcPr>
            <w:tcW w:w="123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资金管理</w:t>
            </w: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资金到位率</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资金到位率</w:t>
            </w:r>
          </w:p>
        </w:tc>
      </w:tr>
      <w:tr>
        <w:tblPrEx>
          <w:tblCellMar>
            <w:top w:w="0" w:type="dxa"/>
            <w:left w:w="108" w:type="dxa"/>
            <w:bottom w:w="0" w:type="dxa"/>
            <w:right w:w="108" w:type="dxa"/>
          </w:tblCellMar>
        </w:tblPrEx>
        <w:trPr>
          <w:trHeight w:val="549"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预算执行率</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预算执行率</w:t>
            </w:r>
          </w:p>
        </w:tc>
      </w:tr>
      <w:tr>
        <w:tblPrEx>
          <w:tblCellMar>
            <w:top w:w="0" w:type="dxa"/>
            <w:left w:w="108" w:type="dxa"/>
            <w:bottom w:w="0" w:type="dxa"/>
            <w:right w:w="108" w:type="dxa"/>
          </w:tblCellMar>
        </w:tblPrEx>
        <w:trPr>
          <w:trHeight w:val="804"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资金使用合规性</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与国家财经法规和财务管理制度以及有关专项资金管理办法规定的相符性</w:t>
            </w:r>
          </w:p>
        </w:tc>
      </w:tr>
      <w:tr>
        <w:tblPrEx>
          <w:tblCellMar>
            <w:top w:w="0" w:type="dxa"/>
            <w:left w:w="108" w:type="dxa"/>
            <w:bottom w:w="0" w:type="dxa"/>
            <w:right w:w="108" w:type="dxa"/>
          </w:tblCellMar>
        </w:tblPrEx>
        <w:trPr>
          <w:trHeight w:val="549"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仿宋_GB2312" w:hAnsi="仿宋_GB2312" w:eastAsia="仿宋_GB2312" w:cs="仿宋_GB2312"/>
                <w:color w:val="000000"/>
                <w:sz w:val="24"/>
                <w:szCs w:val="24"/>
              </w:rPr>
            </w:pP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资金拨付审批程序和手续的完整性</w:t>
            </w:r>
          </w:p>
        </w:tc>
      </w:tr>
      <w:tr>
        <w:tblPrEx>
          <w:tblCellMar>
            <w:top w:w="0" w:type="dxa"/>
            <w:left w:w="108" w:type="dxa"/>
            <w:bottom w:w="0" w:type="dxa"/>
            <w:right w:w="108" w:type="dxa"/>
          </w:tblCellMar>
        </w:tblPrEx>
        <w:trPr>
          <w:trHeight w:val="549"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仿宋_GB2312" w:hAnsi="仿宋_GB2312" w:eastAsia="仿宋_GB2312" w:cs="仿宋_GB2312"/>
                <w:color w:val="000000"/>
                <w:sz w:val="24"/>
                <w:szCs w:val="24"/>
              </w:rPr>
            </w:pP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与项目预算批复或合同规定用途的相符性</w:t>
            </w:r>
          </w:p>
        </w:tc>
      </w:tr>
      <w:tr>
        <w:tblPrEx>
          <w:tblCellMar>
            <w:top w:w="0" w:type="dxa"/>
            <w:left w:w="108" w:type="dxa"/>
            <w:bottom w:w="0" w:type="dxa"/>
            <w:right w:w="108" w:type="dxa"/>
          </w:tblCellMar>
        </w:tblPrEx>
        <w:trPr>
          <w:trHeight w:val="549"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仿宋_GB2312" w:hAnsi="仿宋_GB2312" w:eastAsia="仿宋_GB2312" w:cs="仿宋_GB2312"/>
                <w:color w:val="000000"/>
                <w:sz w:val="24"/>
                <w:szCs w:val="24"/>
              </w:rPr>
            </w:pP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资金使用规范性</w:t>
            </w:r>
          </w:p>
        </w:tc>
      </w:tr>
      <w:tr>
        <w:tblPrEx>
          <w:tblCellMar>
            <w:top w:w="0" w:type="dxa"/>
            <w:left w:w="108" w:type="dxa"/>
            <w:bottom w:w="0" w:type="dxa"/>
            <w:right w:w="108" w:type="dxa"/>
          </w:tblCellMar>
        </w:tblPrEx>
        <w:trPr>
          <w:trHeight w:val="549"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组织实施</w:t>
            </w:r>
          </w:p>
        </w:tc>
        <w:tc>
          <w:tcPr>
            <w:tcW w:w="172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管理制度健全性</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 xml:space="preserve">财务和业务管理制度健全性 </w:t>
            </w:r>
          </w:p>
        </w:tc>
      </w:tr>
      <w:tr>
        <w:tblPrEx>
          <w:tblCellMar>
            <w:top w:w="0" w:type="dxa"/>
            <w:left w:w="108" w:type="dxa"/>
            <w:bottom w:w="0" w:type="dxa"/>
            <w:right w:w="108" w:type="dxa"/>
          </w:tblCellMar>
        </w:tblPrEx>
        <w:trPr>
          <w:trHeight w:val="549"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仿宋_GB2312" w:hAnsi="仿宋_GB2312" w:eastAsia="仿宋_GB2312" w:cs="仿宋_GB2312"/>
                <w:color w:val="000000"/>
                <w:sz w:val="24"/>
                <w:szCs w:val="24"/>
              </w:rPr>
            </w:pP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 xml:space="preserve">财务和业务管理制度合法、合规和完整性 </w:t>
            </w:r>
          </w:p>
        </w:tc>
      </w:tr>
      <w:tr>
        <w:tblPrEx>
          <w:tblCellMar>
            <w:top w:w="0" w:type="dxa"/>
            <w:left w:w="108" w:type="dxa"/>
            <w:bottom w:w="0" w:type="dxa"/>
            <w:right w:w="108" w:type="dxa"/>
          </w:tblCellMar>
        </w:tblPrEx>
        <w:trPr>
          <w:trHeight w:val="566"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制度执行有效性</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遵守相关法律法规和相关管理规定情况</w:t>
            </w:r>
          </w:p>
        </w:tc>
      </w:tr>
      <w:tr>
        <w:tblPrEx>
          <w:tblCellMar>
            <w:top w:w="0" w:type="dxa"/>
            <w:left w:w="108" w:type="dxa"/>
            <w:bottom w:w="0" w:type="dxa"/>
            <w:right w:w="108" w:type="dxa"/>
          </w:tblCellMar>
        </w:tblPrEx>
        <w:trPr>
          <w:trHeight w:val="581"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仿宋_GB2312" w:hAnsi="仿宋_GB2312" w:eastAsia="仿宋_GB2312" w:cs="仿宋_GB2312"/>
                <w:color w:val="000000"/>
                <w:sz w:val="24"/>
                <w:szCs w:val="24"/>
              </w:rPr>
            </w:pP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项目调整及支出调整手续完备情况</w:t>
            </w:r>
          </w:p>
        </w:tc>
      </w:tr>
      <w:tr>
        <w:tblPrEx>
          <w:tblCellMar>
            <w:top w:w="0" w:type="dxa"/>
            <w:left w:w="108" w:type="dxa"/>
            <w:bottom w:w="0" w:type="dxa"/>
            <w:right w:w="108" w:type="dxa"/>
          </w:tblCellMar>
        </w:tblPrEx>
        <w:trPr>
          <w:trHeight w:val="849"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仿宋_GB2312" w:hAnsi="仿宋_GB2312" w:eastAsia="仿宋_GB2312" w:cs="仿宋_GB2312"/>
                <w:color w:val="000000"/>
                <w:sz w:val="24"/>
                <w:szCs w:val="24"/>
              </w:rPr>
            </w:pP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项目合同书、验收报告、技术鉴定等资料归档的完整性和及时性</w:t>
            </w:r>
          </w:p>
        </w:tc>
      </w:tr>
      <w:tr>
        <w:tblPrEx>
          <w:tblCellMar>
            <w:top w:w="0" w:type="dxa"/>
            <w:left w:w="108" w:type="dxa"/>
            <w:bottom w:w="0" w:type="dxa"/>
            <w:right w:w="108" w:type="dxa"/>
          </w:tblCellMar>
        </w:tblPrEx>
        <w:trPr>
          <w:trHeight w:val="774"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仿宋_GB2312" w:hAnsi="仿宋_GB2312" w:eastAsia="仿宋_GB2312" w:cs="仿宋_GB2312"/>
                <w:color w:val="000000"/>
                <w:sz w:val="24"/>
                <w:szCs w:val="24"/>
              </w:rPr>
            </w:pP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项目实施的人员条件、场地设备、信息支撑等落实到位情况</w:t>
            </w:r>
          </w:p>
        </w:tc>
      </w:tr>
      <w:tr>
        <w:tblPrEx>
          <w:tblCellMar>
            <w:top w:w="0" w:type="dxa"/>
            <w:left w:w="108" w:type="dxa"/>
            <w:bottom w:w="0" w:type="dxa"/>
            <w:right w:w="108" w:type="dxa"/>
          </w:tblCellMar>
        </w:tblPrEx>
        <w:trPr>
          <w:trHeight w:val="549" w:hRule="atLeast"/>
        </w:trPr>
        <w:tc>
          <w:tcPr>
            <w:tcW w:w="1225"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产出</w:t>
            </w:r>
          </w:p>
        </w:tc>
        <w:tc>
          <w:tcPr>
            <w:tcW w:w="123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产出数量</w:t>
            </w: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实际完成率</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实际完成率</w:t>
            </w:r>
          </w:p>
        </w:tc>
      </w:tr>
      <w:tr>
        <w:tblPrEx>
          <w:tblCellMar>
            <w:top w:w="0" w:type="dxa"/>
            <w:left w:w="108" w:type="dxa"/>
            <w:bottom w:w="0" w:type="dxa"/>
            <w:right w:w="108" w:type="dxa"/>
          </w:tblCellMar>
        </w:tblPrEx>
        <w:trPr>
          <w:trHeight w:val="549"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产出质量</w:t>
            </w: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质量达标率</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质量达标率</w:t>
            </w:r>
          </w:p>
        </w:tc>
      </w:tr>
      <w:tr>
        <w:tblPrEx>
          <w:tblCellMar>
            <w:top w:w="0" w:type="dxa"/>
            <w:left w:w="108" w:type="dxa"/>
            <w:bottom w:w="0" w:type="dxa"/>
            <w:right w:w="108" w:type="dxa"/>
          </w:tblCellMar>
        </w:tblPrEx>
        <w:trPr>
          <w:trHeight w:val="549"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产出时效</w:t>
            </w: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完成及时性</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完成及时性</w:t>
            </w:r>
          </w:p>
        </w:tc>
      </w:tr>
      <w:tr>
        <w:tblPrEx>
          <w:tblCellMar>
            <w:top w:w="0" w:type="dxa"/>
            <w:left w:w="108" w:type="dxa"/>
            <w:bottom w:w="0" w:type="dxa"/>
            <w:right w:w="108" w:type="dxa"/>
          </w:tblCellMar>
        </w:tblPrEx>
        <w:trPr>
          <w:trHeight w:val="549"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产出成本</w:t>
            </w: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成本节约率</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成本节约率</w:t>
            </w:r>
          </w:p>
        </w:tc>
      </w:tr>
      <w:tr>
        <w:tblPrEx>
          <w:tblCellMar>
            <w:top w:w="0" w:type="dxa"/>
            <w:left w:w="108" w:type="dxa"/>
            <w:bottom w:w="0" w:type="dxa"/>
            <w:right w:w="108" w:type="dxa"/>
          </w:tblCellMar>
        </w:tblPrEx>
        <w:trPr>
          <w:trHeight w:val="549" w:hRule="atLeast"/>
        </w:trPr>
        <w:tc>
          <w:tcPr>
            <w:tcW w:w="1225"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效益</w:t>
            </w:r>
          </w:p>
        </w:tc>
        <w:tc>
          <w:tcPr>
            <w:tcW w:w="123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项目效益　</w:t>
            </w:r>
          </w:p>
        </w:tc>
        <w:tc>
          <w:tcPr>
            <w:tcW w:w="172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实施效益</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社会效益</w:t>
            </w:r>
          </w:p>
        </w:tc>
      </w:tr>
      <w:tr>
        <w:tblPrEx>
          <w:tblCellMar>
            <w:top w:w="0" w:type="dxa"/>
            <w:left w:w="108" w:type="dxa"/>
            <w:bottom w:w="0" w:type="dxa"/>
            <w:right w:w="108" w:type="dxa"/>
          </w:tblCellMar>
        </w:tblPrEx>
        <w:trPr>
          <w:trHeight w:val="549"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rPr>
                <w:rFonts w:hint="eastAsia" w:ascii="仿宋_GB2312" w:hAnsi="仿宋_GB2312" w:eastAsia="仿宋_GB2312" w:cs="仿宋_GB2312"/>
                <w:color w:val="000000"/>
                <w:sz w:val="24"/>
                <w:szCs w:val="24"/>
              </w:rPr>
            </w:pP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可持续影响</w:t>
            </w:r>
          </w:p>
        </w:tc>
      </w:tr>
      <w:tr>
        <w:tblPrEx>
          <w:tblCellMar>
            <w:top w:w="0" w:type="dxa"/>
            <w:left w:w="108" w:type="dxa"/>
            <w:bottom w:w="0" w:type="dxa"/>
            <w:right w:w="108" w:type="dxa"/>
          </w:tblCellMar>
        </w:tblPrEx>
        <w:trPr>
          <w:trHeight w:val="621"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234"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000000"/>
                <w:sz w:val="24"/>
                <w:szCs w:val="24"/>
              </w:rPr>
            </w:pP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满意度</w:t>
            </w:r>
          </w:p>
        </w:tc>
        <w:tc>
          <w:tcPr>
            <w:tcW w:w="47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lef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lang w:bidi="ar"/>
              </w:rPr>
              <w:t>服务对象满意度及其程度</w:t>
            </w:r>
          </w:p>
        </w:tc>
      </w:tr>
    </w:tbl>
    <w:p>
      <w:pPr>
        <w:adjustRightInd w:val="0"/>
        <w:snapToGrid w:val="0"/>
        <w:spacing w:line="580" w:lineRule="exact"/>
        <w:ind w:firstLine="480" w:firstLineChars="200"/>
        <w:rPr>
          <w:rFonts w:ascii="Times New Roman" w:hAnsi="Times New Roman" w:eastAsia="仿宋_GB2312"/>
          <w:bCs/>
          <w:sz w:val="32"/>
          <w:szCs w:val="32"/>
        </w:rPr>
      </w:pPr>
      <w:r>
        <w:rPr>
          <w:rFonts w:eastAsia="仿宋_GB2312"/>
          <w:color w:val="000000"/>
          <w:kern w:val="0"/>
          <w:sz w:val="24"/>
          <w:szCs w:val="24"/>
        </w:rPr>
        <w:t>备注：指标说明、分值、评分标准，详见报告附件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3.评价方法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根据《北京市项目支出绩效评价管理办法》（京财绩效〔2020〕2146号）</w:t>
      </w:r>
      <w:r>
        <w:rPr>
          <w:rFonts w:hint="default" w:ascii="仿宋_GB2312" w:hAnsi="仿宋_GB2312" w:eastAsia="仿宋_GB2312" w:cs="仿宋_GB2312"/>
          <w:bCs/>
          <w:kern w:val="44"/>
          <w:sz w:val="32"/>
          <w:szCs w:val="32"/>
          <w:highlight w:val="none"/>
        </w:rPr>
        <w:t>文件</w:t>
      </w:r>
      <w:r>
        <w:rPr>
          <w:rFonts w:hint="eastAsia" w:ascii="仿宋_GB2312" w:hAnsi="仿宋_GB2312" w:eastAsia="仿宋_GB2312" w:cs="仿宋_GB2312"/>
          <w:bCs/>
          <w:kern w:val="44"/>
          <w:sz w:val="32"/>
          <w:szCs w:val="32"/>
          <w:highlight w:val="none"/>
        </w:rPr>
        <w:t>规定的绩效评价方法，结合项目实际情况，本次绩效评价工作按照全面评价与重点评价相结合、现场评价与非现场评价相结合的方式组织实施。</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4.评价标准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根据《北京市项目支出绩效评价管理办法》（京财绩效〔2020〕2146号）</w:t>
      </w:r>
      <w:r>
        <w:rPr>
          <w:rFonts w:hint="default" w:ascii="仿宋_GB2312" w:hAnsi="仿宋_GB2312" w:eastAsia="仿宋_GB2312" w:cs="仿宋_GB2312"/>
          <w:bCs/>
          <w:kern w:val="44"/>
          <w:sz w:val="32"/>
          <w:szCs w:val="32"/>
          <w:highlight w:val="none"/>
        </w:rPr>
        <w:t>文件</w:t>
      </w:r>
      <w:r>
        <w:rPr>
          <w:rFonts w:hint="eastAsia" w:ascii="仿宋_GB2312" w:hAnsi="仿宋_GB2312" w:eastAsia="仿宋_GB2312" w:cs="仿宋_GB2312"/>
          <w:bCs/>
          <w:kern w:val="44"/>
          <w:sz w:val="32"/>
          <w:szCs w:val="32"/>
          <w:highlight w:val="none"/>
        </w:rPr>
        <w:t>规定的绩效评价标准，结合项目实际情况，本次绩效评价工作采用计划标准，以预先制定的目标、计划、预算、定额作为本次绩效评价的标准。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outlineLvl w:val="1"/>
        <w:rPr>
          <w:rFonts w:ascii="Times New Roman" w:hAnsi="Times New Roman" w:eastAsia="楷体_GB2312" w:cs="Times New Roman"/>
          <w:b/>
          <w:sz w:val="32"/>
        </w:rPr>
      </w:pPr>
      <w:bookmarkStart w:id="80" w:name="_Toc25057"/>
      <w:bookmarkStart w:id="81" w:name="_Toc7156"/>
      <w:bookmarkStart w:id="82" w:name="_Toc1099561402_WPSOffice_Level2"/>
      <w:bookmarkStart w:id="83" w:name="_Toc29109"/>
      <w:bookmarkStart w:id="84" w:name="_Toc17159"/>
      <w:bookmarkStart w:id="85" w:name="_Toc159"/>
      <w:bookmarkStart w:id="86" w:name="_Toc15729"/>
      <w:bookmarkStart w:id="87" w:name="_Toc120651613"/>
      <w:r>
        <w:rPr>
          <w:rFonts w:ascii="Times New Roman" w:hAnsi="Times New Roman" w:eastAsia="楷体_GB2312" w:cs="Times New Roman"/>
          <w:b/>
          <w:sz w:val="32"/>
        </w:rPr>
        <w:t>（三）</w:t>
      </w:r>
      <w:bookmarkEnd w:id="80"/>
      <w:r>
        <w:rPr>
          <w:rFonts w:ascii="Times New Roman" w:hAnsi="Times New Roman" w:eastAsia="楷体_GB2312" w:cs="Times New Roman"/>
          <w:b/>
          <w:sz w:val="32"/>
        </w:rPr>
        <w:t>绩效评价工作过程</w:t>
      </w:r>
      <w:bookmarkEnd w:id="81"/>
      <w:bookmarkEnd w:id="82"/>
      <w:bookmarkEnd w:id="83"/>
      <w:bookmarkEnd w:id="84"/>
      <w:bookmarkEnd w:id="85"/>
      <w:bookmarkEnd w:id="86"/>
      <w:bookmarkEnd w:id="87"/>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为确保绩效评价工作的客观公正，评价工作组严格按照绩效评价工作程序组织该项目的绩效评价工作。评价工作程序主要分为评价准备、评价实施、评价总结三个阶段。主要程序如下：</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1.评价准备阶段</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（1）组建评价工作组。</w:t>
      </w:r>
      <w:r>
        <w:rPr>
          <w:rFonts w:hint="default" w:ascii="仿宋_GB2312" w:hAnsi="仿宋_GB2312" w:eastAsia="仿宋_GB2312" w:cs="仿宋_GB2312"/>
          <w:bCs/>
          <w:kern w:val="44"/>
          <w:sz w:val="32"/>
          <w:szCs w:val="32"/>
          <w:highlight w:val="none"/>
        </w:rPr>
        <w:t>按照《北京市财政局关于开展2022年全面预算绩效管理工作的通知》（京财绩效〔2022〕669号）文件要求部署全面自评，并按照</w:t>
      </w:r>
      <w:r>
        <w:rPr>
          <w:rFonts w:hint="eastAsia" w:ascii="仿宋_GB2312" w:hAnsi="仿宋_GB2312" w:eastAsia="仿宋_GB2312" w:cs="仿宋_GB2312"/>
          <w:bCs/>
          <w:kern w:val="44"/>
          <w:sz w:val="32"/>
          <w:szCs w:val="32"/>
          <w:highlight w:val="none"/>
          <w:lang w:eastAsia="zh-CN"/>
        </w:rPr>
        <w:t>副中心工程办</w:t>
      </w:r>
      <w:r>
        <w:rPr>
          <w:rFonts w:hint="default" w:ascii="仿宋_GB2312" w:hAnsi="仿宋_GB2312" w:eastAsia="仿宋_GB2312" w:cs="仿宋_GB2312"/>
          <w:bCs/>
          <w:kern w:val="44"/>
          <w:sz w:val="32"/>
          <w:szCs w:val="32"/>
          <w:highlight w:val="none"/>
        </w:rPr>
        <w:t>临时党委会审议确定的项目开展重点评价</w:t>
      </w:r>
      <w:r>
        <w:rPr>
          <w:rFonts w:hint="eastAsia" w:ascii="仿宋_GB2312" w:hAnsi="仿宋_GB2312" w:eastAsia="仿宋_GB2312" w:cs="仿宋_GB2312"/>
          <w:bCs/>
          <w:kern w:val="44"/>
          <w:sz w:val="32"/>
          <w:szCs w:val="32"/>
          <w:highlight w:val="none"/>
        </w:rPr>
        <w:t>，组成评价</w:t>
      </w:r>
      <w:r>
        <w:rPr>
          <w:rFonts w:hint="default" w:ascii="仿宋_GB2312" w:hAnsi="仿宋_GB2312" w:eastAsia="仿宋_GB2312" w:cs="仿宋_GB2312"/>
          <w:bCs/>
          <w:kern w:val="44"/>
          <w:sz w:val="32"/>
          <w:szCs w:val="32"/>
          <w:highlight w:val="none"/>
        </w:rPr>
        <w:t>工作</w:t>
      </w:r>
      <w:r>
        <w:rPr>
          <w:rFonts w:hint="eastAsia" w:ascii="仿宋_GB2312" w:hAnsi="仿宋_GB2312" w:eastAsia="仿宋_GB2312" w:cs="仿宋_GB2312"/>
          <w:bCs/>
          <w:kern w:val="44"/>
          <w:sz w:val="32"/>
          <w:szCs w:val="32"/>
          <w:highlight w:val="none"/>
        </w:rPr>
        <w:t>组，</w:t>
      </w:r>
      <w:r>
        <w:rPr>
          <w:rFonts w:hint="default" w:ascii="仿宋_GB2312" w:hAnsi="仿宋_GB2312" w:eastAsia="仿宋_GB2312" w:cs="仿宋_GB2312"/>
          <w:bCs/>
          <w:kern w:val="44"/>
          <w:sz w:val="32"/>
          <w:szCs w:val="32"/>
          <w:highlight w:val="none"/>
        </w:rPr>
        <w:t>各</w:t>
      </w:r>
      <w:r>
        <w:rPr>
          <w:rFonts w:hint="eastAsia" w:ascii="仿宋_GB2312" w:hAnsi="仿宋_GB2312" w:eastAsia="仿宋_GB2312" w:cs="仿宋_GB2312"/>
          <w:bCs/>
          <w:kern w:val="44"/>
          <w:sz w:val="32"/>
          <w:szCs w:val="32"/>
          <w:highlight w:val="none"/>
        </w:rPr>
        <w:t>项目</w:t>
      </w:r>
      <w:r>
        <w:rPr>
          <w:rFonts w:hint="default" w:ascii="仿宋_GB2312" w:hAnsi="仿宋_GB2312" w:eastAsia="仿宋_GB2312" w:cs="仿宋_GB2312"/>
          <w:bCs/>
          <w:kern w:val="44"/>
          <w:sz w:val="32"/>
          <w:szCs w:val="32"/>
          <w:highlight w:val="none"/>
        </w:rPr>
        <w:t>实施部门经办</w:t>
      </w:r>
      <w:r>
        <w:rPr>
          <w:rFonts w:hint="eastAsia" w:ascii="仿宋_GB2312" w:hAnsi="仿宋_GB2312" w:eastAsia="仿宋_GB2312" w:cs="仿宋_GB2312"/>
          <w:bCs/>
          <w:kern w:val="44"/>
          <w:sz w:val="32"/>
          <w:szCs w:val="32"/>
          <w:highlight w:val="none"/>
        </w:rPr>
        <w:t>人为成员，明确每名成员的职责及分工，并邀请专业机构进行必要的针对性指导和业务培训。</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w:t>
      </w:r>
      <w:r>
        <w:rPr>
          <w:rFonts w:hint="eastAsia" w:ascii="仿宋_GB2312" w:hAnsi="仿宋_GB2312" w:eastAsia="仿宋_GB2312" w:cs="仿宋_GB2312"/>
          <w:bCs/>
          <w:kern w:val="44"/>
          <w:sz w:val="32"/>
          <w:szCs w:val="32"/>
          <w:highlight w:val="none"/>
          <w:lang w:val="en-US" w:eastAsia="zh-CN"/>
        </w:rPr>
        <w:t>2</w:t>
      </w:r>
      <w:r>
        <w:rPr>
          <w:rFonts w:hint="eastAsia" w:ascii="仿宋_GB2312" w:hAnsi="仿宋_GB2312" w:eastAsia="仿宋_GB2312" w:cs="仿宋_GB2312"/>
          <w:bCs/>
          <w:kern w:val="44"/>
          <w:sz w:val="32"/>
          <w:szCs w:val="32"/>
          <w:highlight w:val="none"/>
        </w:rPr>
        <w:t>）制定绩效评价工作方案。确定评价重点、评价方法、评价指标体系框架和评分方法、评价进度等事项。</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2.评价实施阶段</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1）绩效评价资料准备。邀请专业机构进行绩效评价资料准备辅导工作，明确每个项目实施部门的任务及需要的资料，充分沟通评价依据、工作任务、日程安排等事项，向项目实施部门讲解评价原则、程序及具体要求，并辅导</w:t>
      </w:r>
      <w:r>
        <w:rPr>
          <w:rFonts w:hint="default" w:ascii="仿宋_GB2312" w:hAnsi="仿宋_GB2312" w:eastAsia="仿宋_GB2312" w:cs="仿宋_GB2312"/>
          <w:bCs/>
          <w:kern w:val="44"/>
          <w:sz w:val="32"/>
          <w:szCs w:val="32"/>
          <w:highlight w:val="none"/>
        </w:rPr>
        <w:t>各</w:t>
      </w:r>
      <w:r>
        <w:rPr>
          <w:rFonts w:hint="eastAsia" w:ascii="仿宋_GB2312" w:hAnsi="仿宋_GB2312" w:eastAsia="仿宋_GB2312" w:cs="仿宋_GB2312"/>
          <w:bCs/>
          <w:kern w:val="44"/>
          <w:sz w:val="32"/>
          <w:szCs w:val="32"/>
          <w:highlight w:val="none"/>
        </w:rPr>
        <w:t>项目</w:t>
      </w:r>
      <w:r>
        <w:rPr>
          <w:rFonts w:hint="default" w:ascii="仿宋_GB2312" w:hAnsi="仿宋_GB2312" w:eastAsia="仿宋_GB2312" w:cs="仿宋_GB2312"/>
          <w:bCs/>
          <w:kern w:val="44"/>
          <w:sz w:val="32"/>
          <w:szCs w:val="32"/>
          <w:highlight w:val="none"/>
        </w:rPr>
        <w:t>实施部门</w:t>
      </w:r>
      <w:r>
        <w:rPr>
          <w:rFonts w:hint="eastAsia" w:ascii="仿宋_GB2312" w:hAnsi="仿宋_GB2312" w:eastAsia="仿宋_GB2312" w:cs="仿宋_GB2312"/>
          <w:bCs/>
          <w:kern w:val="44"/>
          <w:sz w:val="32"/>
          <w:szCs w:val="32"/>
          <w:highlight w:val="none"/>
        </w:rPr>
        <w:t>负责人准备资料，撰写绩效报告。</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（2）收集、复核资料。评价工作组按照“项目支出绩效评价资料准备清单”，收集与项目支出绩效评价相关的决策、管理、绩效相关资料，复核其完整性、准确性、有效性。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进行汇总分析。</w:t>
      </w:r>
      <w:r>
        <w:rPr>
          <w:rFonts w:hint="eastAsia" w:ascii="仿宋_GB2312" w:hAnsi="仿宋_GB2312" w:eastAsia="仿宋_GB2312" w:cs="仿宋_GB2312"/>
          <w:bCs/>
          <w:sz w:val="32"/>
          <w:szCs w:val="32"/>
        </w:rPr>
        <w:t>评价工作组围绕指标体系内容和评价重点，对</w:t>
      </w:r>
      <w:r>
        <w:rPr>
          <w:rFonts w:hint="eastAsia" w:ascii="仿宋_GB2312" w:hAnsi="仿宋_GB2312" w:eastAsia="仿宋_GB2312" w:cs="仿宋_GB2312"/>
          <w:bCs/>
          <w:sz w:val="32"/>
          <w:szCs w:val="32"/>
          <w:lang w:val="en-US" w:eastAsia="zh-CN"/>
        </w:rPr>
        <w:t>收集的</w:t>
      </w:r>
      <w:r>
        <w:rPr>
          <w:rFonts w:hint="eastAsia" w:ascii="仿宋_GB2312" w:hAnsi="仿宋_GB2312" w:eastAsia="仿宋_GB2312" w:cs="仿宋_GB2312"/>
          <w:bCs/>
          <w:sz w:val="32"/>
          <w:szCs w:val="32"/>
        </w:rPr>
        <w:t>资料进行归集、整理、分析</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依据项目执行情况和绩效评价指标体系，对该项目的决策、管理和绩效等方面进行评价和打分，出具评价意见。</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3.评价总结阶段</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default" w:ascii="仿宋_GB2312" w:hAnsi="仿宋_GB2312" w:eastAsia="仿宋_GB2312" w:cs="仿宋_GB2312"/>
          <w:bCs/>
          <w:kern w:val="44"/>
          <w:sz w:val="32"/>
          <w:szCs w:val="32"/>
          <w:highlight w:val="none"/>
        </w:rPr>
      </w:pPr>
      <w:bookmarkStart w:id="88" w:name="_Toc1231700979_WPSOffice_Level1"/>
      <w:bookmarkStart w:id="89" w:name="_Toc567096923"/>
      <w:r>
        <w:rPr>
          <w:rFonts w:hint="eastAsia" w:ascii="仿宋_GB2312" w:hAnsi="仿宋_GB2312" w:eastAsia="仿宋_GB2312" w:cs="仿宋_GB2312"/>
          <w:bCs/>
          <w:kern w:val="44"/>
          <w:sz w:val="32"/>
          <w:szCs w:val="32"/>
          <w:highlight w:val="none"/>
        </w:rPr>
        <w:t>（1）撰写绩效评价报告</w:t>
      </w:r>
      <w:r>
        <w:rPr>
          <w:rFonts w:hint="default" w:ascii="仿宋_GB2312" w:hAnsi="仿宋_GB2312" w:eastAsia="仿宋_GB2312" w:cs="仿宋_GB2312"/>
          <w:bCs/>
          <w:kern w:val="44"/>
          <w:sz w:val="32"/>
          <w:szCs w:val="32"/>
          <w:highlight w:val="none"/>
        </w:rPr>
        <w:t>。</w:t>
      </w:r>
      <w:r>
        <w:rPr>
          <w:rFonts w:hint="eastAsia" w:ascii="仿宋_GB2312" w:hAnsi="仿宋_GB2312" w:eastAsia="仿宋_GB2312" w:cs="仿宋_GB2312"/>
          <w:bCs/>
          <w:kern w:val="44"/>
          <w:sz w:val="32"/>
          <w:szCs w:val="32"/>
          <w:highlight w:val="none"/>
        </w:rPr>
        <w:t>评价工作组</w:t>
      </w:r>
      <w:r>
        <w:rPr>
          <w:rFonts w:hint="eastAsia" w:ascii="仿宋_GB2312" w:hAnsi="仿宋_GB2312" w:eastAsia="仿宋_GB2312" w:cs="仿宋_GB2312"/>
          <w:bCs/>
          <w:kern w:val="44"/>
          <w:sz w:val="32"/>
          <w:szCs w:val="32"/>
          <w:highlight w:val="none"/>
          <w:lang w:val="en-US" w:eastAsia="zh-CN"/>
        </w:rPr>
        <w:t>审核资料后，</w:t>
      </w:r>
      <w:r>
        <w:rPr>
          <w:rFonts w:hint="eastAsia" w:ascii="仿宋_GB2312" w:hAnsi="仿宋_GB2312" w:eastAsia="仿宋_GB2312" w:cs="仿宋_GB2312"/>
          <w:bCs/>
          <w:kern w:val="44"/>
          <w:sz w:val="32"/>
          <w:szCs w:val="32"/>
          <w:highlight w:val="none"/>
        </w:rPr>
        <w:t>确定绩效评价级别，撰写</w:t>
      </w:r>
      <w:r>
        <w:rPr>
          <w:rFonts w:hint="default" w:ascii="仿宋_GB2312" w:hAnsi="仿宋_GB2312" w:eastAsia="仿宋_GB2312" w:cs="仿宋_GB2312"/>
          <w:bCs/>
          <w:kern w:val="44"/>
          <w:sz w:val="32"/>
          <w:szCs w:val="32"/>
          <w:highlight w:val="none"/>
        </w:rPr>
        <w:t>并</w:t>
      </w:r>
      <w:r>
        <w:rPr>
          <w:rFonts w:hint="eastAsia" w:ascii="仿宋_GB2312" w:hAnsi="仿宋_GB2312" w:eastAsia="仿宋_GB2312" w:cs="仿宋_GB2312"/>
          <w:bCs/>
          <w:kern w:val="44"/>
          <w:sz w:val="32"/>
          <w:szCs w:val="32"/>
          <w:highlight w:val="none"/>
        </w:rPr>
        <w:t>形成正式绩效评价报告</w:t>
      </w:r>
      <w:r>
        <w:rPr>
          <w:rFonts w:hint="default" w:ascii="仿宋_GB2312" w:hAnsi="仿宋_GB2312" w:eastAsia="仿宋_GB2312" w:cs="仿宋_GB2312"/>
          <w:bCs/>
          <w:kern w:val="44"/>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Cs/>
          <w:kern w:val="44"/>
          <w:sz w:val="32"/>
          <w:szCs w:val="32"/>
          <w:highlight w:val="none"/>
        </w:rPr>
      </w:pPr>
      <w:r>
        <w:rPr>
          <w:rFonts w:hint="eastAsia" w:ascii="仿宋_GB2312" w:hAnsi="仿宋_GB2312" w:eastAsia="仿宋_GB2312" w:cs="仿宋_GB2312"/>
          <w:bCs/>
          <w:kern w:val="44"/>
          <w:sz w:val="32"/>
          <w:szCs w:val="32"/>
          <w:highlight w:val="none"/>
        </w:rPr>
        <w:t>（2）绩效评价资料归档。绩效评价工作结束后，及时将资料整理归档</w:t>
      </w:r>
      <w:r>
        <w:rPr>
          <w:rFonts w:hint="default" w:ascii="仿宋_GB2312" w:hAnsi="仿宋_GB2312" w:eastAsia="仿宋_GB2312" w:cs="仿宋_GB2312"/>
          <w:bCs/>
          <w:kern w:val="44"/>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outlineLvl w:val="0"/>
        <w:rPr>
          <w:rFonts w:ascii="Times New Roman" w:hAnsi="Times New Roman" w:eastAsia="黑体" w:cs="Times New Roman"/>
          <w:bCs/>
          <w:sz w:val="32"/>
          <w:szCs w:val="32"/>
        </w:rPr>
      </w:pPr>
      <w:bookmarkStart w:id="90" w:name="_Toc7615"/>
      <w:bookmarkStart w:id="91" w:name="_Toc24418"/>
      <w:bookmarkStart w:id="92" w:name="_Toc30652"/>
      <w:bookmarkStart w:id="93" w:name="_Toc3728"/>
      <w:bookmarkStart w:id="94" w:name="_Toc8893"/>
      <w:r>
        <w:rPr>
          <w:rFonts w:ascii="Times New Roman" w:hAnsi="Times New Roman" w:eastAsia="黑体" w:cs="Times New Roman"/>
          <w:bCs/>
          <w:sz w:val="32"/>
          <w:szCs w:val="32"/>
        </w:rPr>
        <w:t>三、综合评价情况及评价结论</w:t>
      </w:r>
      <w:bookmarkEnd w:id="88"/>
      <w:bookmarkEnd w:id="89"/>
      <w:bookmarkEnd w:id="90"/>
      <w:bookmarkEnd w:id="91"/>
      <w:bookmarkEnd w:id="92"/>
      <w:bookmarkEnd w:id="93"/>
      <w:bookmarkEnd w:id="94"/>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ascii="Times New Roman" w:hAnsi="Times New Roman" w:eastAsia="仿宋_GB2312" w:cs="Times New Roman"/>
          <w:bCs/>
          <w:kern w:val="44"/>
          <w:sz w:val="32"/>
          <w:szCs w:val="32"/>
          <w:highlight w:val="none"/>
        </w:rPr>
      </w:pPr>
      <w:bookmarkStart w:id="95" w:name="_Toc665559475"/>
      <w:r>
        <w:rPr>
          <w:rFonts w:hint="eastAsia" w:ascii="仿宋_GB2312" w:hAnsi="仿宋_GB2312" w:eastAsia="仿宋_GB2312" w:cs="仿宋_GB2312"/>
          <w:bCs/>
          <w:kern w:val="44"/>
          <w:sz w:val="32"/>
          <w:szCs w:val="32"/>
          <w:highlight w:val="none"/>
        </w:rPr>
        <w:t>经评价工作组综合分析评价，202</w:t>
      </w:r>
      <w:r>
        <w:rPr>
          <w:rFonts w:hint="eastAsia" w:ascii="仿宋_GB2312" w:hAnsi="仿宋_GB2312" w:eastAsia="仿宋_GB2312" w:cs="仿宋_GB2312"/>
          <w:bCs/>
          <w:kern w:val="44"/>
          <w:sz w:val="32"/>
          <w:szCs w:val="32"/>
          <w:highlight w:val="none"/>
          <w:lang w:val="en-US" w:eastAsia="zh-CN"/>
        </w:rPr>
        <w:t>1</w:t>
      </w:r>
      <w:r>
        <w:rPr>
          <w:rFonts w:hint="eastAsia" w:ascii="仿宋_GB2312" w:hAnsi="仿宋_GB2312" w:eastAsia="仿宋_GB2312" w:cs="仿宋_GB2312"/>
          <w:bCs/>
          <w:kern w:val="44"/>
          <w:sz w:val="32"/>
          <w:szCs w:val="32"/>
          <w:highlight w:val="none"/>
        </w:rPr>
        <w:t>年北京城市副中心工程建设管理办公室</w:t>
      </w:r>
      <w:r>
        <w:rPr>
          <w:rFonts w:hint="eastAsia" w:ascii="仿宋_GB2312" w:hAnsi="仿宋_GB2312" w:eastAsia="仿宋_GB2312" w:cs="仿宋_GB2312"/>
          <w:bCs/>
          <w:sz w:val="32"/>
          <w:szCs w:val="32"/>
          <w:highlight w:val="none"/>
        </w:rPr>
        <w:t>“预审计服务”</w:t>
      </w:r>
      <w:r>
        <w:rPr>
          <w:rFonts w:hint="eastAsia" w:ascii="仿宋_GB2312" w:hAnsi="仿宋_GB2312" w:eastAsia="仿宋_GB2312" w:cs="仿宋_GB2312"/>
          <w:bCs/>
          <w:kern w:val="44"/>
          <w:sz w:val="32"/>
          <w:szCs w:val="32"/>
          <w:highlight w:val="none"/>
        </w:rPr>
        <w:t>项目得分</w:t>
      </w:r>
      <w:r>
        <w:rPr>
          <w:rFonts w:hint="eastAsia" w:ascii="仿宋_GB2312" w:hAnsi="仿宋_GB2312" w:eastAsia="仿宋_GB2312" w:cs="仿宋_GB2312"/>
          <w:bCs/>
          <w:caps/>
          <w:sz w:val="32"/>
          <w:szCs w:val="32"/>
          <w:highlight w:val="none"/>
        </w:rPr>
        <w:t>9</w:t>
      </w:r>
      <w:r>
        <w:rPr>
          <w:rFonts w:hint="eastAsia" w:ascii="仿宋_GB2312" w:hAnsi="仿宋_GB2312" w:eastAsia="仿宋_GB2312" w:cs="仿宋_GB2312"/>
          <w:bCs/>
          <w:caps/>
          <w:sz w:val="32"/>
          <w:szCs w:val="32"/>
          <w:highlight w:val="none"/>
          <w:lang w:val="en-US" w:eastAsia="zh-CN"/>
        </w:rPr>
        <w:t>7.6</w:t>
      </w:r>
      <w:r>
        <w:rPr>
          <w:rFonts w:hint="eastAsia" w:ascii="仿宋_GB2312" w:hAnsi="仿宋_GB2312" w:eastAsia="仿宋_GB2312" w:cs="仿宋_GB2312"/>
          <w:bCs/>
          <w:kern w:val="44"/>
          <w:sz w:val="32"/>
          <w:szCs w:val="32"/>
          <w:highlight w:val="none"/>
        </w:rPr>
        <w:t>分，其中项目决策得分</w:t>
      </w:r>
      <w:r>
        <w:rPr>
          <w:rFonts w:hint="eastAsia" w:ascii="仿宋_GB2312" w:hAnsi="仿宋_GB2312" w:eastAsia="仿宋_GB2312" w:cs="仿宋_GB2312"/>
          <w:bCs/>
          <w:caps/>
          <w:sz w:val="32"/>
          <w:szCs w:val="32"/>
          <w:highlight w:val="none"/>
        </w:rPr>
        <w:t>9.</w:t>
      </w:r>
      <w:r>
        <w:rPr>
          <w:rFonts w:hint="eastAsia" w:ascii="仿宋_GB2312" w:hAnsi="仿宋_GB2312" w:eastAsia="仿宋_GB2312" w:cs="仿宋_GB2312"/>
          <w:bCs/>
          <w:caps/>
          <w:sz w:val="32"/>
          <w:szCs w:val="32"/>
          <w:highlight w:val="none"/>
          <w:lang w:val="en-US" w:eastAsia="zh-CN"/>
        </w:rPr>
        <w:t>8</w:t>
      </w:r>
      <w:r>
        <w:rPr>
          <w:rFonts w:hint="eastAsia" w:ascii="仿宋_GB2312" w:hAnsi="仿宋_GB2312" w:eastAsia="仿宋_GB2312" w:cs="仿宋_GB2312"/>
          <w:bCs/>
          <w:kern w:val="44"/>
          <w:sz w:val="32"/>
          <w:szCs w:val="32"/>
          <w:highlight w:val="none"/>
        </w:rPr>
        <w:t>分，项目过程得分</w:t>
      </w:r>
      <w:r>
        <w:rPr>
          <w:rFonts w:hint="eastAsia" w:ascii="仿宋_GB2312" w:hAnsi="仿宋_GB2312" w:eastAsia="仿宋_GB2312" w:cs="仿宋_GB2312"/>
          <w:bCs/>
          <w:caps/>
          <w:sz w:val="32"/>
          <w:szCs w:val="32"/>
          <w:highlight w:val="none"/>
        </w:rPr>
        <w:t>1</w:t>
      </w:r>
      <w:r>
        <w:rPr>
          <w:rFonts w:hint="eastAsia" w:ascii="仿宋_GB2312" w:hAnsi="仿宋_GB2312" w:eastAsia="仿宋_GB2312" w:cs="仿宋_GB2312"/>
          <w:bCs/>
          <w:caps/>
          <w:sz w:val="32"/>
          <w:szCs w:val="32"/>
          <w:highlight w:val="none"/>
          <w:lang w:val="en-US" w:eastAsia="zh-CN"/>
        </w:rPr>
        <w:t>9.8</w:t>
      </w:r>
      <w:r>
        <w:rPr>
          <w:rFonts w:hint="eastAsia" w:ascii="仿宋_GB2312" w:hAnsi="仿宋_GB2312" w:eastAsia="仿宋_GB2312" w:cs="仿宋_GB2312"/>
          <w:bCs/>
          <w:kern w:val="44"/>
          <w:sz w:val="32"/>
          <w:szCs w:val="32"/>
          <w:highlight w:val="none"/>
        </w:rPr>
        <w:t>分，项目产出得分</w:t>
      </w:r>
      <w:r>
        <w:rPr>
          <w:rFonts w:hint="eastAsia" w:ascii="仿宋_GB2312" w:hAnsi="仿宋_GB2312" w:eastAsia="仿宋_GB2312" w:cs="仿宋_GB2312"/>
          <w:bCs/>
          <w:caps/>
          <w:sz w:val="32"/>
          <w:szCs w:val="32"/>
          <w:highlight w:val="none"/>
          <w:lang w:val="en-US" w:eastAsia="zh-CN"/>
        </w:rPr>
        <w:t>40</w:t>
      </w:r>
      <w:r>
        <w:rPr>
          <w:rFonts w:hint="eastAsia" w:ascii="仿宋_GB2312" w:hAnsi="仿宋_GB2312" w:eastAsia="仿宋_GB2312" w:cs="仿宋_GB2312"/>
          <w:bCs/>
          <w:kern w:val="44"/>
          <w:sz w:val="32"/>
          <w:szCs w:val="32"/>
          <w:highlight w:val="none"/>
        </w:rPr>
        <w:t>分，项目</w:t>
      </w:r>
      <w:r>
        <w:rPr>
          <w:rFonts w:hint="eastAsia" w:ascii="仿宋_GB2312" w:hAnsi="仿宋_GB2312" w:eastAsia="仿宋_GB2312" w:cs="仿宋_GB2312"/>
          <w:bCs/>
          <w:kern w:val="44"/>
          <w:sz w:val="32"/>
          <w:szCs w:val="32"/>
          <w:highlight w:val="none"/>
          <w:lang w:val="en-US" w:eastAsia="zh-CN"/>
        </w:rPr>
        <w:t>效益</w:t>
      </w:r>
      <w:r>
        <w:rPr>
          <w:rFonts w:hint="eastAsia" w:ascii="仿宋_GB2312" w:hAnsi="仿宋_GB2312" w:eastAsia="仿宋_GB2312" w:cs="仿宋_GB2312"/>
          <w:bCs/>
          <w:kern w:val="44"/>
          <w:sz w:val="32"/>
          <w:szCs w:val="32"/>
          <w:highlight w:val="none"/>
        </w:rPr>
        <w:t>得分</w:t>
      </w:r>
      <w:r>
        <w:rPr>
          <w:rFonts w:hint="eastAsia" w:ascii="仿宋_GB2312" w:hAnsi="仿宋_GB2312" w:eastAsia="仿宋_GB2312" w:cs="仿宋_GB2312"/>
          <w:bCs/>
          <w:caps/>
          <w:sz w:val="32"/>
          <w:szCs w:val="32"/>
          <w:highlight w:val="none"/>
        </w:rPr>
        <w:t>2</w:t>
      </w:r>
      <w:r>
        <w:rPr>
          <w:rFonts w:hint="eastAsia" w:ascii="仿宋_GB2312" w:hAnsi="仿宋_GB2312" w:eastAsia="仿宋_GB2312" w:cs="仿宋_GB2312"/>
          <w:bCs/>
          <w:caps/>
          <w:sz w:val="32"/>
          <w:szCs w:val="32"/>
          <w:highlight w:val="none"/>
          <w:lang w:val="en-US" w:eastAsia="zh-CN"/>
        </w:rPr>
        <w:t>8</w:t>
      </w:r>
      <w:r>
        <w:rPr>
          <w:rFonts w:hint="eastAsia" w:ascii="仿宋_GB2312" w:hAnsi="仿宋_GB2312" w:eastAsia="仿宋_GB2312" w:cs="仿宋_GB2312"/>
          <w:bCs/>
          <w:kern w:val="44"/>
          <w:sz w:val="32"/>
          <w:szCs w:val="32"/>
          <w:highlight w:val="none"/>
        </w:rPr>
        <w:t>分，绩效评定级别为“优”。</w:t>
      </w:r>
      <w:bookmarkEnd w:id="95"/>
    </w:p>
    <w:p>
      <w:pPr>
        <w:pStyle w:val="10"/>
        <w:spacing w:after="0" w:line="360" w:lineRule="auto"/>
        <w:ind w:left="0" w:leftChars="0"/>
        <w:jc w:val="center"/>
        <w:rPr>
          <w:rFonts w:ascii="Times New Roman" w:hAnsi="Times New Roman" w:cs="Times New Roman"/>
          <w:b/>
          <w:sz w:val="28"/>
          <w:szCs w:val="28"/>
          <w:highlight w:val="none"/>
        </w:rPr>
      </w:pPr>
      <w:bookmarkStart w:id="96" w:name="_Toc1603480620_WPSOffice_Level1"/>
      <w:bookmarkStart w:id="97" w:name="_Toc4078"/>
      <w:bookmarkStart w:id="98" w:name="_Toc21605"/>
      <w:bookmarkStart w:id="99" w:name="_Toc14951"/>
      <w:bookmarkStart w:id="100" w:name="_Toc30812"/>
      <w:bookmarkStart w:id="101" w:name="_Toc1161"/>
      <w:bookmarkStart w:id="102" w:name="_Toc1963262749"/>
    </w:p>
    <w:p>
      <w:pPr>
        <w:pStyle w:val="10"/>
        <w:spacing w:after="0" w:line="360" w:lineRule="auto"/>
        <w:ind w:left="0" w:leftChars="0"/>
        <w:jc w:val="center"/>
        <w:rPr>
          <w:rFonts w:ascii="Times New Roman" w:hAnsi="Times New Roman" w:cs="Times New Roman"/>
          <w:b/>
          <w:sz w:val="28"/>
          <w:szCs w:val="28"/>
          <w:highlight w:val="none"/>
        </w:rPr>
      </w:pPr>
      <w:r>
        <w:rPr>
          <w:rFonts w:ascii="Times New Roman" w:hAnsi="Times New Roman" w:cs="Times New Roman"/>
          <w:b/>
          <w:sz w:val="28"/>
          <w:szCs w:val="28"/>
          <w:highlight w:val="none"/>
        </w:rPr>
        <w:t>“</w:t>
      </w:r>
      <w:r>
        <w:rPr>
          <w:rFonts w:hint="default" w:ascii="Times New Roman" w:hAnsi="Times New Roman" w:cs="Times New Roman"/>
          <w:b/>
          <w:sz w:val="28"/>
          <w:szCs w:val="28"/>
          <w:highlight w:val="none"/>
        </w:rPr>
        <w:t>预审计服务</w:t>
      </w:r>
      <w:r>
        <w:rPr>
          <w:rFonts w:ascii="Times New Roman" w:hAnsi="Times New Roman" w:cs="Times New Roman"/>
          <w:b/>
          <w:sz w:val="28"/>
          <w:szCs w:val="28"/>
          <w:highlight w:val="none"/>
        </w:rPr>
        <w:t>”项目绩效评价结论一览表</w:t>
      </w:r>
    </w:p>
    <w:tbl>
      <w:tblPr>
        <w:tblStyle w:val="19"/>
        <w:tblW w:w="8485"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
      <w:tblGrid>
        <w:gridCol w:w="2250"/>
        <w:gridCol w:w="3240"/>
        <w:gridCol w:w="299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680" w:hRule="atLeast"/>
        </w:trPr>
        <w:tc>
          <w:tcPr>
            <w:tcW w:w="2250" w:type="dxa"/>
            <w:tcBorders>
              <w:bottom w:val="single" w:color="FFFFFF" w:sz="6" w:space="0"/>
              <w:right w:val="single" w:color="FFFFFF" w:sz="6" w:space="0"/>
            </w:tcBorders>
            <w:shd w:val="clear" w:color="auto" w:fill="C0C0C0"/>
            <w:noWrap w:val="0"/>
            <w:vAlign w:val="center"/>
          </w:tcPr>
          <w:p>
            <w:pPr>
              <w:adjustRightInd w:val="0"/>
              <w:snapToGrid w:val="0"/>
              <w:spacing w:line="520" w:lineRule="exact"/>
              <w:ind w:firstLine="0" w:firstLineChars="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评价内容</w:t>
            </w:r>
          </w:p>
        </w:tc>
        <w:tc>
          <w:tcPr>
            <w:tcW w:w="3240" w:type="dxa"/>
            <w:tcBorders>
              <w:left w:val="single" w:color="FFFFFF" w:sz="6" w:space="0"/>
              <w:bottom w:val="single" w:color="FFFFFF" w:sz="6" w:space="0"/>
              <w:right w:val="single" w:color="FFFFFF" w:sz="6" w:space="0"/>
            </w:tcBorders>
            <w:shd w:val="clear" w:color="auto" w:fill="C0C0C0"/>
            <w:noWrap w:val="0"/>
            <w:vAlign w:val="center"/>
          </w:tcPr>
          <w:p>
            <w:pPr>
              <w:adjustRightInd w:val="0"/>
              <w:snapToGrid w:val="0"/>
              <w:spacing w:line="520" w:lineRule="exact"/>
              <w:ind w:firstLine="0" w:firstLineChars="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分值</w:t>
            </w:r>
          </w:p>
        </w:tc>
        <w:tc>
          <w:tcPr>
            <w:tcW w:w="2995" w:type="dxa"/>
            <w:tcBorders>
              <w:left w:val="single" w:color="FFFFFF" w:sz="6" w:space="0"/>
              <w:bottom w:val="single" w:color="FFFFFF" w:sz="6" w:space="0"/>
            </w:tcBorders>
            <w:shd w:val="clear" w:color="auto" w:fill="C0C0C0"/>
            <w:noWrap w:val="0"/>
            <w:vAlign w:val="center"/>
          </w:tcPr>
          <w:p>
            <w:pPr>
              <w:adjustRightInd w:val="0"/>
              <w:snapToGrid w:val="0"/>
              <w:spacing w:line="520" w:lineRule="exact"/>
              <w:ind w:firstLine="0" w:firstLineChars="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680" w:hRule="atLeast"/>
        </w:trPr>
        <w:tc>
          <w:tcPr>
            <w:tcW w:w="2250" w:type="dxa"/>
            <w:tcBorders>
              <w:top w:val="single" w:color="FFFFFF" w:sz="6" w:space="0"/>
              <w:bottom w:val="single" w:color="FFFFFF" w:sz="6" w:space="0"/>
              <w:right w:val="single" w:color="FFFFFF" w:sz="6" w:space="0"/>
            </w:tcBorders>
            <w:shd w:val="clear" w:color="auto" w:fill="C0C0C0"/>
            <w:noWrap w:val="0"/>
            <w:vAlign w:val="center"/>
          </w:tcPr>
          <w:p>
            <w:pPr>
              <w:pStyle w:val="5"/>
              <w:adjustRightInd w:val="0"/>
              <w:snapToGrid w:val="0"/>
              <w:spacing w:line="600" w:lineRule="exact"/>
              <w:ind w:firstLine="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项目决策</w:t>
            </w:r>
          </w:p>
        </w:tc>
        <w:tc>
          <w:tcPr>
            <w:tcW w:w="3240" w:type="dxa"/>
            <w:tcBorders>
              <w:top w:val="single" w:color="FFFFFF" w:sz="6" w:space="0"/>
              <w:left w:val="single" w:color="FFFFFF" w:sz="6" w:space="0"/>
              <w:bottom w:val="single" w:color="FFFFFF" w:sz="6" w:space="0"/>
              <w:right w:val="single" w:color="FFFFFF" w:sz="6" w:space="0"/>
            </w:tcBorders>
            <w:shd w:val="clear" w:color="auto" w:fill="C0C0C0"/>
            <w:noWrap w:val="0"/>
            <w:vAlign w:val="center"/>
          </w:tcPr>
          <w:p>
            <w:pPr>
              <w:adjustRightInd w:val="0"/>
              <w:snapToGrid w:val="0"/>
              <w:spacing w:line="600" w:lineRule="exact"/>
              <w:ind w:firstLine="0" w:firstLineChars="0"/>
              <w:jc w:val="center"/>
              <w:rPr>
                <w:rFonts w:hint="default"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rPr>
              <w:t>10</w:t>
            </w:r>
            <w:r>
              <w:rPr>
                <w:rFonts w:hint="eastAsia" w:ascii="仿宋_GB2312" w:hAnsi="仿宋_GB2312" w:eastAsia="仿宋_GB2312" w:cs="仿宋_GB2312"/>
                <w:b/>
                <w:sz w:val="28"/>
                <w:szCs w:val="28"/>
                <w:highlight w:val="none"/>
                <w:lang w:val="en-US" w:eastAsia="zh-CN"/>
              </w:rPr>
              <w:t>.00</w:t>
            </w:r>
          </w:p>
        </w:tc>
        <w:tc>
          <w:tcPr>
            <w:tcW w:w="2995" w:type="dxa"/>
            <w:tcBorders>
              <w:top w:val="single" w:color="FFFFFF" w:sz="6" w:space="0"/>
              <w:left w:val="single" w:color="FFFFFF" w:sz="6" w:space="0"/>
              <w:bottom w:val="single" w:color="FFFFFF" w:sz="6" w:space="0"/>
            </w:tcBorders>
            <w:shd w:val="clear" w:color="auto" w:fill="C0C0C0"/>
            <w:noWrap w:val="0"/>
            <w:vAlign w:val="center"/>
          </w:tcPr>
          <w:p>
            <w:pPr>
              <w:keepNext w:val="0"/>
              <w:keepLines w:val="0"/>
              <w:widowControl/>
              <w:suppressLineNumbers w:val="0"/>
              <w:adjustRightInd w:val="0"/>
              <w:snapToGrid w:val="0"/>
              <w:spacing w:line="600" w:lineRule="exact"/>
              <w:ind w:firstLine="0" w:firstLineChars="0"/>
              <w:jc w:val="center"/>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i w:val="0"/>
                <w:iCs w:val="0"/>
                <w:kern w:val="2"/>
                <w:sz w:val="28"/>
                <w:szCs w:val="28"/>
                <w:highlight w:val="none"/>
                <w:u w:val="none"/>
                <w:lang w:val="en-US" w:eastAsia="zh-CN" w:bidi="ar"/>
              </w:rPr>
              <w:t>9.80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680" w:hRule="atLeast"/>
        </w:trPr>
        <w:tc>
          <w:tcPr>
            <w:tcW w:w="2250" w:type="dxa"/>
            <w:tcBorders>
              <w:top w:val="single" w:color="FFFFFF" w:sz="6" w:space="0"/>
              <w:bottom w:val="single" w:color="FFFFFF" w:sz="6" w:space="0"/>
              <w:right w:val="single" w:color="FFFFFF" w:sz="6" w:space="0"/>
            </w:tcBorders>
            <w:shd w:val="clear" w:color="auto" w:fill="C0C0C0"/>
            <w:noWrap w:val="0"/>
            <w:vAlign w:val="center"/>
          </w:tcPr>
          <w:p>
            <w:pPr>
              <w:adjustRightInd w:val="0"/>
              <w:snapToGrid w:val="0"/>
              <w:spacing w:line="600" w:lineRule="exact"/>
              <w:ind w:firstLine="0" w:firstLineChars="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项目过程</w:t>
            </w:r>
          </w:p>
        </w:tc>
        <w:tc>
          <w:tcPr>
            <w:tcW w:w="3240" w:type="dxa"/>
            <w:tcBorders>
              <w:top w:val="single" w:color="FFFFFF" w:sz="6" w:space="0"/>
              <w:left w:val="single" w:color="FFFFFF" w:sz="6" w:space="0"/>
              <w:bottom w:val="single" w:color="FFFFFF" w:sz="6" w:space="0"/>
              <w:right w:val="single" w:color="FFFFFF" w:sz="6" w:space="0"/>
            </w:tcBorders>
            <w:shd w:val="clear" w:color="auto" w:fill="C0C0C0"/>
            <w:noWrap w:val="0"/>
            <w:vAlign w:val="center"/>
          </w:tcPr>
          <w:p>
            <w:pPr>
              <w:adjustRightInd w:val="0"/>
              <w:snapToGrid w:val="0"/>
              <w:spacing w:line="600" w:lineRule="exact"/>
              <w:ind w:firstLine="0" w:firstLineChars="0"/>
              <w:jc w:val="center"/>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20</w:t>
            </w:r>
            <w:r>
              <w:rPr>
                <w:rFonts w:hint="eastAsia" w:ascii="仿宋_GB2312" w:hAnsi="仿宋_GB2312" w:eastAsia="仿宋_GB2312" w:cs="仿宋_GB2312"/>
                <w:b/>
                <w:sz w:val="28"/>
                <w:szCs w:val="28"/>
                <w:highlight w:val="none"/>
                <w:lang w:val="en-US" w:eastAsia="zh-CN"/>
              </w:rPr>
              <w:t>.00</w:t>
            </w:r>
          </w:p>
        </w:tc>
        <w:tc>
          <w:tcPr>
            <w:tcW w:w="2995" w:type="dxa"/>
            <w:tcBorders>
              <w:top w:val="single" w:color="FFFFFF" w:sz="6" w:space="0"/>
              <w:left w:val="single" w:color="FFFFFF" w:sz="6" w:space="0"/>
              <w:bottom w:val="single" w:color="FFFFFF" w:sz="6" w:space="0"/>
            </w:tcBorders>
            <w:shd w:val="clear" w:color="auto" w:fill="C0C0C0"/>
            <w:noWrap w:val="0"/>
            <w:vAlign w:val="center"/>
          </w:tcPr>
          <w:p>
            <w:pPr>
              <w:keepNext w:val="0"/>
              <w:keepLines w:val="0"/>
              <w:widowControl/>
              <w:suppressLineNumbers w:val="0"/>
              <w:adjustRightInd w:val="0"/>
              <w:snapToGrid w:val="0"/>
              <w:spacing w:line="600" w:lineRule="exact"/>
              <w:ind w:firstLine="0" w:firstLineChars="0"/>
              <w:jc w:val="center"/>
              <w:textAlignment w:val="auto"/>
              <w:rPr>
                <w:rFonts w:hint="default" w:ascii="仿宋_GB2312" w:hAnsi="仿宋_GB2312" w:eastAsia="仿宋_GB2312" w:cs="仿宋_GB2312"/>
                <w:b/>
                <w:sz w:val="28"/>
                <w:szCs w:val="28"/>
                <w:highlight w:val="none"/>
                <w:lang w:val="en-US"/>
              </w:rPr>
            </w:pPr>
            <w:r>
              <w:rPr>
                <w:rFonts w:hint="eastAsia" w:ascii="仿宋_GB2312" w:hAnsi="仿宋_GB2312" w:eastAsia="仿宋_GB2312" w:cs="仿宋_GB2312"/>
                <w:b/>
                <w:i w:val="0"/>
                <w:iCs w:val="0"/>
                <w:kern w:val="2"/>
                <w:sz w:val="28"/>
                <w:szCs w:val="28"/>
                <w:highlight w:val="none"/>
                <w:u w:val="none"/>
                <w:lang w:val="en-US" w:eastAsia="zh-CN" w:bidi="ar"/>
              </w:rPr>
              <w:t>19.80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680" w:hRule="atLeast"/>
        </w:trPr>
        <w:tc>
          <w:tcPr>
            <w:tcW w:w="2250" w:type="dxa"/>
            <w:tcBorders>
              <w:top w:val="single" w:color="FFFFFF" w:sz="6" w:space="0"/>
              <w:bottom w:val="single" w:color="FFFFFF" w:sz="4" w:space="0"/>
              <w:right w:val="single" w:color="FFFFFF" w:sz="6" w:space="0"/>
            </w:tcBorders>
            <w:shd w:val="clear" w:color="auto" w:fill="C0C0C0"/>
            <w:noWrap w:val="0"/>
            <w:vAlign w:val="center"/>
          </w:tcPr>
          <w:p>
            <w:pPr>
              <w:adjustRightInd w:val="0"/>
              <w:snapToGrid w:val="0"/>
              <w:spacing w:line="600" w:lineRule="exact"/>
              <w:ind w:firstLine="0" w:firstLineChars="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项目产出</w:t>
            </w:r>
          </w:p>
        </w:tc>
        <w:tc>
          <w:tcPr>
            <w:tcW w:w="3240" w:type="dxa"/>
            <w:tcBorders>
              <w:top w:val="single" w:color="FFFFFF" w:sz="6" w:space="0"/>
              <w:left w:val="single" w:color="FFFFFF" w:sz="6" w:space="0"/>
              <w:bottom w:val="single" w:color="FFFFFF" w:sz="4" w:space="0"/>
              <w:right w:val="single" w:color="FFFFFF" w:sz="4" w:space="0"/>
            </w:tcBorders>
            <w:shd w:val="clear" w:color="auto" w:fill="C0C0C0"/>
            <w:noWrap w:val="0"/>
            <w:vAlign w:val="center"/>
          </w:tcPr>
          <w:p>
            <w:pPr>
              <w:adjustRightInd w:val="0"/>
              <w:snapToGrid w:val="0"/>
              <w:spacing w:line="600" w:lineRule="exact"/>
              <w:ind w:firstLine="0" w:firstLineChars="0"/>
              <w:jc w:val="center"/>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40</w:t>
            </w:r>
            <w:r>
              <w:rPr>
                <w:rFonts w:hint="eastAsia" w:ascii="仿宋_GB2312" w:hAnsi="仿宋_GB2312" w:eastAsia="仿宋_GB2312" w:cs="仿宋_GB2312"/>
                <w:b/>
                <w:sz w:val="28"/>
                <w:szCs w:val="28"/>
                <w:highlight w:val="none"/>
                <w:lang w:val="en-US" w:eastAsia="zh-CN"/>
              </w:rPr>
              <w:t>.00</w:t>
            </w:r>
          </w:p>
        </w:tc>
        <w:tc>
          <w:tcPr>
            <w:tcW w:w="2995" w:type="dxa"/>
            <w:tcBorders>
              <w:top w:val="single" w:color="FFFFFF" w:sz="6" w:space="0"/>
              <w:left w:val="single" w:color="FFFFFF" w:sz="4" w:space="0"/>
              <w:bottom w:val="single" w:color="FFFFFF" w:sz="4" w:space="0"/>
            </w:tcBorders>
            <w:shd w:val="clear" w:color="auto" w:fill="C0C0C0"/>
            <w:noWrap w:val="0"/>
            <w:vAlign w:val="center"/>
          </w:tcPr>
          <w:p>
            <w:pPr>
              <w:keepNext w:val="0"/>
              <w:keepLines w:val="0"/>
              <w:widowControl/>
              <w:suppressLineNumbers w:val="0"/>
              <w:adjustRightInd w:val="0"/>
              <w:snapToGrid w:val="0"/>
              <w:spacing w:line="600" w:lineRule="exact"/>
              <w:ind w:firstLine="0" w:firstLineChars="0"/>
              <w:jc w:val="center"/>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i w:val="0"/>
                <w:iCs w:val="0"/>
                <w:kern w:val="2"/>
                <w:sz w:val="28"/>
                <w:szCs w:val="28"/>
                <w:highlight w:val="none"/>
                <w:u w:val="none"/>
                <w:lang w:val="en-US" w:eastAsia="zh-CN" w:bidi="ar"/>
              </w:rPr>
              <w:t>40.00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680" w:hRule="atLeast"/>
        </w:trPr>
        <w:tc>
          <w:tcPr>
            <w:tcW w:w="2250" w:type="dxa"/>
            <w:tcBorders>
              <w:top w:val="single" w:color="FFFFFF" w:sz="6" w:space="0"/>
              <w:bottom w:val="single" w:color="FFFFFF" w:sz="4" w:space="0"/>
              <w:right w:val="single" w:color="FFFFFF" w:sz="6" w:space="0"/>
            </w:tcBorders>
            <w:shd w:val="clear" w:color="auto" w:fill="C0C0C0"/>
            <w:noWrap w:val="0"/>
            <w:vAlign w:val="center"/>
          </w:tcPr>
          <w:p>
            <w:pPr>
              <w:adjustRightInd w:val="0"/>
              <w:snapToGrid w:val="0"/>
              <w:spacing w:line="600" w:lineRule="exact"/>
              <w:ind w:firstLine="0" w:firstLineChars="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项目效益</w:t>
            </w:r>
          </w:p>
        </w:tc>
        <w:tc>
          <w:tcPr>
            <w:tcW w:w="3240" w:type="dxa"/>
            <w:tcBorders>
              <w:top w:val="single" w:color="FFFFFF" w:sz="6" w:space="0"/>
              <w:left w:val="single" w:color="FFFFFF" w:sz="6" w:space="0"/>
              <w:bottom w:val="single" w:color="FFFFFF" w:sz="4" w:space="0"/>
              <w:right w:val="single" w:color="FFFFFF" w:sz="4" w:space="0"/>
            </w:tcBorders>
            <w:shd w:val="clear" w:color="auto" w:fill="C0C0C0"/>
            <w:noWrap w:val="0"/>
            <w:vAlign w:val="center"/>
          </w:tcPr>
          <w:p>
            <w:pPr>
              <w:adjustRightInd w:val="0"/>
              <w:snapToGrid w:val="0"/>
              <w:spacing w:line="600" w:lineRule="exact"/>
              <w:ind w:firstLine="0" w:firstLineChars="0"/>
              <w:jc w:val="center"/>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30</w:t>
            </w:r>
            <w:r>
              <w:rPr>
                <w:rFonts w:hint="eastAsia" w:ascii="仿宋_GB2312" w:hAnsi="仿宋_GB2312" w:eastAsia="仿宋_GB2312" w:cs="仿宋_GB2312"/>
                <w:b/>
                <w:sz w:val="28"/>
                <w:szCs w:val="28"/>
                <w:highlight w:val="none"/>
                <w:lang w:val="en-US" w:eastAsia="zh-CN"/>
              </w:rPr>
              <w:t>.00</w:t>
            </w:r>
          </w:p>
        </w:tc>
        <w:tc>
          <w:tcPr>
            <w:tcW w:w="2995" w:type="dxa"/>
            <w:tcBorders>
              <w:top w:val="single" w:color="FFFFFF" w:sz="6" w:space="0"/>
              <w:left w:val="single" w:color="FFFFFF" w:sz="4" w:space="0"/>
              <w:bottom w:val="single" w:color="FFFFFF" w:sz="4" w:space="0"/>
            </w:tcBorders>
            <w:shd w:val="clear" w:color="auto" w:fill="C0C0C0"/>
            <w:noWrap w:val="0"/>
            <w:vAlign w:val="center"/>
          </w:tcPr>
          <w:p>
            <w:pPr>
              <w:keepNext w:val="0"/>
              <w:keepLines w:val="0"/>
              <w:widowControl/>
              <w:suppressLineNumbers w:val="0"/>
              <w:adjustRightInd w:val="0"/>
              <w:snapToGrid w:val="0"/>
              <w:spacing w:line="600" w:lineRule="exact"/>
              <w:ind w:firstLine="0" w:firstLineChars="0"/>
              <w:jc w:val="center"/>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i w:val="0"/>
                <w:iCs w:val="0"/>
                <w:kern w:val="2"/>
                <w:sz w:val="28"/>
                <w:szCs w:val="28"/>
                <w:highlight w:val="none"/>
                <w:u w:val="none"/>
                <w:lang w:val="en-US" w:eastAsia="zh-CN" w:bidi="ar"/>
              </w:rPr>
              <w:t>28.00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850" w:hRule="atLeast"/>
        </w:trPr>
        <w:tc>
          <w:tcPr>
            <w:tcW w:w="2250" w:type="dxa"/>
            <w:tcBorders>
              <w:top w:val="single" w:color="FFFFFF" w:sz="4" w:space="0"/>
              <w:bottom w:val="single" w:color="FFFFFF" w:sz="4" w:space="0"/>
              <w:right w:val="single" w:color="FFFFFF" w:sz="6" w:space="0"/>
            </w:tcBorders>
            <w:shd w:val="clear" w:color="auto" w:fill="C0C0C0"/>
            <w:noWrap w:val="0"/>
            <w:vAlign w:val="center"/>
          </w:tcPr>
          <w:p>
            <w:pPr>
              <w:adjustRightInd w:val="0"/>
              <w:snapToGrid w:val="0"/>
              <w:spacing w:line="600" w:lineRule="exact"/>
              <w:ind w:firstLine="0" w:firstLineChars="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综合得分</w:t>
            </w:r>
          </w:p>
        </w:tc>
        <w:tc>
          <w:tcPr>
            <w:tcW w:w="3240" w:type="dxa"/>
            <w:tcBorders>
              <w:top w:val="single" w:color="FFFFFF" w:sz="4" w:space="0"/>
              <w:left w:val="single" w:color="FFFFFF" w:sz="6" w:space="0"/>
              <w:bottom w:val="single" w:color="FFFFFF" w:sz="4" w:space="0"/>
            </w:tcBorders>
            <w:shd w:val="clear" w:color="auto" w:fill="C0C0C0"/>
            <w:noWrap w:val="0"/>
            <w:vAlign w:val="center"/>
          </w:tcPr>
          <w:p>
            <w:pPr>
              <w:adjustRightInd w:val="0"/>
              <w:snapToGrid w:val="0"/>
              <w:spacing w:line="600" w:lineRule="exact"/>
              <w:ind w:firstLine="0" w:firstLineChars="0"/>
              <w:jc w:val="center"/>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100</w:t>
            </w:r>
            <w:r>
              <w:rPr>
                <w:rFonts w:hint="eastAsia" w:ascii="仿宋_GB2312" w:hAnsi="仿宋_GB2312" w:eastAsia="仿宋_GB2312" w:cs="仿宋_GB2312"/>
                <w:b/>
                <w:sz w:val="28"/>
                <w:szCs w:val="28"/>
                <w:highlight w:val="none"/>
                <w:lang w:val="en-US" w:eastAsia="zh-CN"/>
              </w:rPr>
              <w:t>.00</w:t>
            </w:r>
          </w:p>
        </w:tc>
        <w:tc>
          <w:tcPr>
            <w:tcW w:w="2995" w:type="dxa"/>
            <w:tcBorders>
              <w:top w:val="single" w:color="FFFFFF" w:sz="4" w:space="0"/>
              <w:left w:val="single" w:color="FFFFFF" w:sz="4" w:space="0"/>
              <w:bottom w:val="single" w:color="FFFFFF" w:sz="4" w:space="0"/>
            </w:tcBorders>
            <w:shd w:val="clear" w:color="auto" w:fill="C0C0C0"/>
            <w:noWrap w:val="0"/>
            <w:vAlign w:val="center"/>
          </w:tcPr>
          <w:p>
            <w:pPr>
              <w:adjustRightInd w:val="0"/>
              <w:snapToGrid w:val="0"/>
              <w:spacing w:line="600" w:lineRule="exact"/>
              <w:ind w:firstLine="0" w:firstLineChars="0"/>
              <w:jc w:val="center"/>
              <w:rPr>
                <w:rFonts w:hint="default" w:ascii="仿宋_GB2312" w:hAnsi="仿宋_GB2312" w:eastAsia="仿宋_GB2312" w:cs="仿宋_GB2312"/>
                <w:b/>
                <w:sz w:val="28"/>
                <w:szCs w:val="28"/>
                <w:highlight w:val="none"/>
                <w:lang w:val="en-US"/>
              </w:rPr>
            </w:pPr>
            <w:r>
              <w:rPr>
                <w:rFonts w:hint="eastAsia" w:ascii="仿宋_GB2312" w:hAnsi="仿宋_GB2312" w:eastAsia="仿宋_GB2312" w:cs="仿宋_GB2312"/>
                <w:b/>
                <w:sz w:val="28"/>
                <w:szCs w:val="28"/>
                <w:highlight w:val="none"/>
              </w:rPr>
              <w:t>9</w:t>
            </w:r>
            <w:r>
              <w:rPr>
                <w:rFonts w:hint="eastAsia" w:ascii="仿宋_GB2312" w:hAnsi="仿宋_GB2312" w:eastAsia="仿宋_GB2312" w:cs="仿宋_GB2312"/>
                <w:b/>
                <w:sz w:val="28"/>
                <w:szCs w:val="28"/>
                <w:highlight w:val="none"/>
                <w:lang w:val="en-US" w:eastAsia="zh-CN"/>
              </w:rPr>
              <w:t>7.60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850" w:hRule="atLeast"/>
        </w:trPr>
        <w:tc>
          <w:tcPr>
            <w:tcW w:w="2250" w:type="dxa"/>
            <w:tcBorders>
              <w:top w:val="single" w:color="FFFFFF" w:sz="4" w:space="0"/>
              <w:bottom w:val="single" w:color="FFFFFF" w:sz="4" w:space="0"/>
              <w:right w:val="single" w:color="FFFFFF" w:sz="6" w:space="0"/>
            </w:tcBorders>
            <w:shd w:val="clear" w:color="auto" w:fill="C0C0C0"/>
            <w:noWrap w:val="0"/>
            <w:vAlign w:val="center"/>
          </w:tcPr>
          <w:p>
            <w:pPr>
              <w:adjustRightInd w:val="0"/>
              <w:snapToGrid w:val="0"/>
              <w:spacing w:line="600" w:lineRule="exact"/>
              <w:ind w:firstLine="0" w:firstLineChars="0"/>
              <w:jc w:val="center"/>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绩效评定级别</w:t>
            </w:r>
          </w:p>
        </w:tc>
        <w:tc>
          <w:tcPr>
            <w:tcW w:w="6235" w:type="dxa"/>
            <w:gridSpan w:val="2"/>
            <w:tcBorders>
              <w:top w:val="single" w:color="FFFFFF" w:sz="4" w:space="0"/>
              <w:left w:val="single" w:color="FFFFFF" w:sz="6" w:space="0"/>
              <w:bottom w:val="single" w:color="FFFFFF" w:sz="4" w:space="0"/>
            </w:tcBorders>
            <w:shd w:val="clear" w:color="auto" w:fill="C0C0C0"/>
            <w:noWrap w:val="0"/>
            <w:vAlign w:val="center"/>
          </w:tcPr>
          <w:p>
            <w:pPr>
              <w:adjustRightInd w:val="0"/>
              <w:snapToGrid w:val="0"/>
              <w:spacing w:line="600" w:lineRule="exact"/>
              <w:ind w:firstLine="0" w:firstLineChars="0"/>
              <w:jc w:val="center"/>
              <w:rPr>
                <w:rFonts w:hint="default" w:ascii="Times New Roman" w:hAnsi="Times New Roman" w:eastAsia="仿宋_GB2312" w:cs="Times New Roman"/>
                <w:b/>
                <w:sz w:val="28"/>
                <w:szCs w:val="28"/>
                <w:highlight w:val="none"/>
              </w:rPr>
            </w:pPr>
            <w:r>
              <w:rPr>
                <w:rFonts w:hint="default" w:ascii="Times New Roman" w:hAnsi="Times New Roman" w:eastAsia="仿宋_GB2312" w:cs="Times New Roman"/>
                <w:b/>
                <w:sz w:val="28"/>
                <w:szCs w:val="28"/>
                <w:highlight w:val="none"/>
              </w:rPr>
              <w:t>优</w:t>
            </w:r>
          </w:p>
        </w:tc>
      </w:tr>
    </w:tbl>
    <w:p>
      <w:pPr>
        <w:pStyle w:val="10"/>
        <w:spacing w:after="0" w:line="360" w:lineRule="auto"/>
        <w:ind w:left="0" w:leftChars="0"/>
        <w:jc w:val="center"/>
        <w:rPr>
          <w:rFonts w:ascii="Times New Roman" w:hAnsi="Times New Roman" w:cs="Times New Roman"/>
          <w:b/>
          <w:sz w:val="28"/>
          <w:szCs w:val="28"/>
          <w:highlight w:val="none"/>
        </w:rPr>
      </w:pPr>
    </w:p>
    <w:p>
      <w:pPr>
        <w:pageBreakBefore w:val="0"/>
        <w:widowControl w:val="0"/>
        <w:kinsoku/>
        <w:wordWrap/>
        <w:overflowPunct/>
        <w:topLinePunct w:val="0"/>
        <w:autoSpaceDE/>
        <w:autoSpaceDN/>
        <w:bidi w:val="0"/>
        <w:adjustRightInd w:val="0"/>
        <w:snapToGrid w:val="0"/>
        <w:spacing w:line="560" w:lineRule="exact"/>
        <w:ind w:firstLine="640"/>
        <w:textAlignment w:val="auto"/>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bookmarkEnd w:id="67"/>
      <w:bookmarkEnd w:id="68"/>
      <w:bookmarkEnd w:id="96"/>
      <w:bookmarkEnd w:id="97"/>
      <w:bookmarkEnd w:id="98"/>
      <w:bookmarkEnd w:id="99"/>
      <w:bookmarkEnd w:id="100"/>
      <w:bookmarkEnd w:id="101"/>
      <w:bookmarkEnd w:id="102"/>
    </w:p>
    <w:p>
      <w:pPr>
        <w:pageBreakBefore w:val="0"/>
        <w:widowControl w:val="0"/>
        <w:kinsoku/>
        <w:wordWrap/>
        <w:overflowPunct/>
        <w:topLinePunct w:val="0"/>
        <w:autoSpaceDE/>
        <w:autoSpaceDN/>
        <w:bidi w:val="0"/>
        <w:adjustRightInd w:val="0"/>
        <w:snapToGrid w:val="0"/>
        <w:spacing w:line="560" w:lineRule="exact"/>
        <w:ind w:firstLine="640"/>
        <w:textAlignment w:val="auto"/>
        <w:outlineLvl w:val="1"/>
        <w:rPr>
          <w:rFonts w:ascii="Times New Roman" w:hAnsi="Times New Roman" w:eastAsia="楷体_GB2312" w:cs="Times New Roman"/>
          <w:b/>
          <w:sz w:val="32"/>
        </w:rPr>
      </w:pPr>
      <w:bookmarkStart w:id="103" w:name="_Toc27816"/>
      <w:bookmarkStart w:id="104" w:name="_Toc14671"/>
      <w:bookmarkStart w:id="105" w:name="_Toc926494137_WPSOffice_Level2"/>
      <w:bookmarkStart w:id="106" w:name="_Toc8713"/>
      <w:bookmarkStart w:id="107" w:name="_Toc9996"/>
      <w:bookmarkStart w:id="108" w:name="_Toc470786288"/>
      <w:bookmarkStart w:id="109" w:name="_Toc781"/>
      <w:bookmarkStart w:id="110" w:name="_Toc21955"/>
      <w:r>
        <w:rPr>
          <w:rFonts w:ascii="Times New Roman" w:hAnsi="Times New Roman" w:eastAsia="楷体_GB2312" w:cs="Times New Roman"/>
          <w:b/>
          <w:sz w:val="32"/>
        </w:rPr>
        <w:t>（一）项目决策情况</w:t>
      </w:r>
      <w:bookmarkEnd w:id="103"/>
      <w:bookmarkEnd w:id="104"/>
      <w:bookmarkEnd w:id="105"/>
      <w:bookmarkEnd w:id="106"/>
      <w:bookmarkEnd w:id="107"/>
      <w:bookmarkEnd w:id="108"/>
      <w:bookmarkEnd w:id="109"/>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1.项目立项情况评价分析</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color w:val="000000"/>
          <w:kern w:val="0"/>
          <w:sz w:val="32"/>
          <w:szCs w:val="32"/>
          <w:highlight w:val="none"/>
        </w:rPr>
      </w:pPr>
      <w:r>
        <w:rPr>
          <w:rFonts w:hint="default" w:ascii="仿宋_GB2312" w:hAnsi="仿宋_GB2312" w:eastAsia="仿宋_GB2312" w:cs="仿宋_GB2312"/>
          <w:color w:val="000000"/>
          <w:kern w:val="0"/>
          <w:sz w:val="32"/>
          <w:szCs w:val="32"/>
          <w:highlight w:val="none"/>
        </w:rPr>
        <w:t>根据</w:t>
      </w:r>
      <w:r>
        <w:rPr>
          <w:rFonts w:hint="eastAsia" w:ascii="仿宋_GB2312" w:hAnsi="仿宋_GB2312" w:eastAsia="仿宋_GB2312" w:cs="仿宋_GB2312"/>
          <w:color w:val="000000"/>
          <w:kern w:val="0"/>
          <w:sz w:val="32"/>
          <w:szCs w:val="32"/>
          <w:highlight w:val="none"/>
          <w:lang w:eastAsia="zh-CN"/>
        </w:rPr>
        <w:t>副中心工程办</w:t>
      </w:r>
      <w:r>
        <w:rPr>
          <w:rFonts w:hint="default" w:ascii="仿宋_GB2312" w:hAnsi="仿宋_GB2312" w:eastAsia="仿宋_GB2312" w:cs="仿宋_GB2312"/>
          <w:color w:val="000000"/>
          <w:kern w:val="0"/>
          <w:sz w:val="32"/>
          <w:szCs w:val="32"/>
          <w:highlight w:val="none"/>
        </w:rPr>
        <w:t>发布的《建设工程结算预审计暂行办法》《工程结算管理暂行办法》和《一期工程结算工作方案》等文件</w:t>
      </w:r>
      <w:r>
        <w:rPr>
          <w:rFonts w:hint="eastAsia" w:ascii="仿宋_GB2312" w:hAnsi="仿宋_GB2312" w:eastAsia="仿宋_GB2312" w:cs="仿宋_GB2312"/>
          <w:color w:val="000000"/>
          <w:kern w:val="0"/>
          <w:sz w:val="32"/>
          <w:szCs w:val="32"/>
          <w:highlight w:val="none"/>
          <w:lang w:val="en-US" w:eastAsia="zh-CN"/>
        </w:rPr>
        <w:t>规定</w:t>
      </w:r>
      <w:r>
        <w:rPr>
          <w:rFonts w:hint="default" w:ascii="仿宋_GB2312" w:hAnsi="仿宋_GB2312" w:eastAsia="仿宋_GB2312" w:cs="仿宋_GB2312"/>
          <w:color w:val="000000"/>
          <w:kern w:val="0"/>
          <w:sz w:val="32"/>
          <w:szCs w:val="32"/>
          <w:highlight w:val="none"/>
        </w:rPr>
        <w:t>，按照202</w:t>
      </w:r>
      <w:r>
        <w:rPr>
          <w:rFonts w:hint="default" w:ascii="仿宋_GB2312" w:hAnsi="仿宋_GB2312" w:eastAsia="仿宋_GB2312" w:cs="仿宋_GB2312"/>
          <w:color w:val="000000"/>
          <w:kern w:val="0"/>
          <w:sz w:val="32"/>
          <w:szCs w:val="32"/>
          <w:highlight w:val="none"/>
          <w:lang w:eastAsia="zh-CN"/>
        </w:rPr>
        <w:t>1</w:t>
      </w:r>
      <w:r>
        <w:rPr>
          <w:rFonts w:hint="default" w:ascii="仿宋_GB2312" w:hAnsi="仿宋_GB2312" w:eastAsia="仿宋_GB2312" w:cs="仿宋_GB2312"/>
          <w:color w:val="000000"/>
          <w:kern w:val="0"/>
          <w:sz w:val="32"/>
          <w:szCs w:val="32"/>
          <w:highlight w:val="none"/>
        </w:rPr>
        <w:t>年</w:t>
      </w:r>
      <w:r>
        <w:rPr>
          <w:rFonts w:hint="default" w:ascii="仿宋_GB2312" w:hAnsi="仿宋_GB2312" w:eastAsia="仿宋_GB2312" w:cs="仿宋_GB2312"/>
          <w:color w:val="000000"/>
          <w:kern w:val="0"/>
          <w:sz w:val="32"/>
          <w:szCs w:val="32"/>
          <w:highlight w:val="none"/>
          <w:lang w:eastAsia="zh-CN"/>
        </w:rPr>
        <w:t>2</w:t>
      </w:r>
      <w:r>
        <w:rPr>
          <w:rFonts w:hint="default" w:ascii="仿宋_GB2312" w:hAnsi="仿宋_GB2312" w:eastAsia="仿宋_GB2312" w:cs="仿宋_GB2312"/>
          <w:color w:val="000000"/>
          <w:kern w:val="0"/>
          <w:sz w:val="32"/>
          <w:szCs w:val="32"/>
          <w:highlight w:val="none"/>
        </w:rPr>
        <w:t>月</w:t>
      </w:r>
      <w:r>
        <w:rPr>
          <w:rFonts w:hint="default" w:ascii="仿宋_GB2312" w:hAnsi="仿宋_GB2312" w:eastAsia="仿宋_GB2312" w:cs="仿宋_GB2312"/>
          <w:color w:val="000000"/>
          <w:kern w:val="0"/>
          <w:sz w:val="32"/>
          <w:szCs w:val="32"/>
          <w:highlight w:val="none"/>
          <w:lang w:eastAsia="zh-CN"/>
        </w:rPr>
        <w:t>2</w:t>
      </w:r>
      <w:r>
        <w:rPr>
          <w:rFonts w:hint="default" w:ascii="仿宋_GB2312" w:hAnsi="仿宋_GB2312" w:eastAsia="仿宋_GB2312" w:cs="仿宋_GB2312"/>
          <w:color w:val="000000"/>
          <w:kern w:val="0"/>
          <w:sz w:val="32"/>
          <w:szCs w:val="32"/>
          <w:highlight w:val="none"/>
          <w:lang w:val="en-US" w:eastAsia="zh-CN"/>
        </w:rPr>
        <w:t>0</w:t>
      </w:r>
      <w:r>
        <w:rPr>
          <w:rFonts w:hint="default" w:ascii="仿宋_GB2312" w:hAnsi="仿宋_GB2312" w:eastAsia="仿宋_GB2312" w:cs="仿宋_GB2312"/>
          <w:color w:val="000000"/>
          <w:kern w:val="0"/>
          <w:sz w:val="32"/>
          <w:szCs w:val="32"/>
          <w:highlight w:val="none"/>
        </w:rPr>
        <w:t>日</w:t>
      </w:r>
      <w:r>
        <w:rPr>
          <w:rFonts w:hint="eastAsia" w:ascii="仿宋_GB2312" w:hAnsi="仿宋_GB2312" w:eastAsia="仿宋_GB2312" w:cs="仿宋_GB2312"/>
          <w:color w:val="000000"/>
          <w:kern w:val="0"/>
          <w:sz w:val="32"/>
          <w:szCs w:val="32"/>
          <w:highlight w:val="none"/>
          <w:lang w:eastAsia="zh-CN"/>
        </w:rPr>
        <w:t>副中心工程办</w:t>
      </w:r>
      <w:r>
        <w:rPr>
          <w:rFonts w:hint="default" w:ascii="仿宋_GB2312" w:hAnsi="仿宋_GB2312" w:eastAsia="仿宋_GB2312" w:cs="仿宋_GB2312"/>
          <w:color w:val="000000"/>
          <w:kern w:val="0"/>
          <w:sz w:val="32"/>
          <w:szCs w:val="32"/>
          <w:highlight w:val="none"/>
        </w:rPr>
        <w:t>主任办公会精神，财务审计部</w:t>
      </w:r>
      <w:r>
        <w:rPr>
          <w:rFonts w:hint="eastAsia" w:ascii="仿宋_GB2312" w:hAnsi="仿宋_GB2312" w:eastAsia="仿宋_GB2312" w:cs="仿宋_GB2312"/>
          <w:color w:val="000000"/>
          <w:kern w:val="0"/>
          <w:sz w:val="32"/>
          <w:szCs w:val="32"/>
          <w:highlight w:val="none"/>
          <w:lang w:val="en-US" w:eastAsia="zh-CN"/>
        </w:rPr>
        <w:t>提出项目申请，</w:t>
      </w:r>
      <w:r>
        <w:rPr>
          <w:rFonts w:hint="default" w:ascii="仿宋_GB2312" w:hAnsi="仿宋_GB2312" w:eastAsia="仿宋_GB2312" w:cs="仿宋_GB2312"/>
          <w:color w:val="000000"/>
          <w:kern w:val="0"/>
          <w:sz w:val="32"/>
          <w:szCs w:val="32"/>
          <w:highlight w:val="none"/>
        </w:rPr>
        <w:t>拟结合一期工程结算工作推进情况实施</w:t>
      </w:r>
      <w:r>
        <w:rPr>
          <w:rFonts w:hint="default" w:ascii="仿宋_GB2312" w:hAnsi="仿宋_GB2312" w:eastAsia="仿宋_GB2312" w:cs="仿宋_GB2312"/>
          <w:color w:val="000000"/>
          <w:kern w:val="0"/>
          <w:sz w:val="32"/>
          <w:szCs w:val="32"/>
          <w:highlight w:val="none"/>
          <w:lang w:val="en-US" w:eastAsia="zh-CN"/>
        </w:rPr>
        <w:t>预审计</w:t>
      </w:r>
      <w:r>
        <w:rPr>
          <w:rFonts w:hint="default" w:ascii="仿宋_GB2312" w:hAnsi="仿宋_GB2312" w:eastAsia="仿宋_GB2312" w:cs="仿宋_GB2312"/>
          <w:color w:val="000000"/>
          <w:kern w:val="0"/>
          <w:sz w:val="32"/>
          <w:szCs w:val="32"/>
          <w:highlight w:val="none"/>
        </w:rPr>
        <w:t>。</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评价分析认为：该项目决策依据文件明确，</w:t>
      </w:r>
      <w:r>
        <w:rPr>
          <w:rFonts w:hint="eastAsia" w:ascii="仿宋_GB2312" w:hAnsi="仿宋_GB2312" w:eastAsia="仿宋_GB2312" w:cs="仿宋_GB2312"/>
          <w:color w:val="000000"/>
          <w:kern w:val="0"/>
          <w:sz w:val="32"/>
          <w:szCs w:val="32"/>
          <w:highlight w:val="none"/>
          <w:lang w:val="en-US" w:eastAsia="zh-CN"/>
        </w:rPr>
        <w:t>决策</w:t>
      </w:r>
      <w:r>
        <w:rPr>
          <w:rFonts w:hint="eastAsia" w:ascii="仿宋_GB2312" w:hAnsi="仿宋_GB2312" w:eastAsia="仿宋_GB2312" w:cs="仿宋_GB2312"/>
          <w:color w:val="000000"/>
          <w:kern w:val="0"/>
          <w:sz w:val="32"/>
          <w:szCs w:val="32"/>
          <w:highlight w:val="none"/>
        </w:rPr>
        <w:t>程序规范</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项目立项必要性理由充分，结合工程实际进展实施，</w:t>
      </w:r>
      <w:r>
        <w:rPr>
          <w:rFonts w:hint="eastAsia" w:ascii="仿宋_GB2312" w:hAnsi="仿宋_GB2312" w:eastAsia="仿宋_GB2312" w:cs="仿宋_GB2312"/>
          <w:color w:val="000000"/>
          <w:kern w:val="0"/>
          <w:sz w:val="32"/>
          <w:szCs w:val="32"/>
          <w:highlight w:val="none"/>
          <w:lang w:val="en-US" w:eastAsia="zh-CN"/>
        </w:rPr>
        <w:t>具有较强的可行性和可操作性</w:t>
      </w:r>
      <w:r>
        <w:rPr>
          <w:rFonts w:hint="eastAsia" w:ascii="仿宋_GB2312" w:hAnsi="仿宋_GB2312" w:eastAsia="仿宋_GB2312" w:cs="仿宋_GB2312"/>
          <w:color w:val="000000"/>
          <w:kern w:val="0"/>
          <w:sz w:val="32"/>
          <w:szCs w:val="32"/>
          <w:highlight w:val="none"/>
        </w:rPr>
        <w:t>。</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2.绩效目标评价分析</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该项目绩效目标设定</w:t>
      </w:r>
      <w:r>
        <w:rPr>
          <w:rFonts w:hint="default" w:ascii="仿宋_GB2312" w:hAnsi="仿宋_GB2312" w:eastAsia="仿宋_GB2312" w:cs="仿宋_GB2312"/>
          <w:color w:val="000000"/>
          <w:kern w:val="0"/>
          <w:sz w:val="32"/>
          <w:szCs w:val="32"/>
          <w:highlight w:val="none"/>
        </w:rPr>
        <w:t>为</w:t>
      </w:r>
      <w:r>
        <w:rPr>
          <w:rFonts w:hint="default" w:ascii="仿宋_GB2312" w:hAnsi="仿宋_GB2312" w:eastAsia="仿宋_GB2312" w:cs="仿宋_GB2312"/>
          <w:color w:val="000000"/>
          <w:kern w:val="0"/>
          <w:sz w:val="32"/>
          <w:szCs w:val="32"/>
          <w:highlight w:val="none"/>
          <w:lang w:eastAsia="zh-CN"/>
        </w:rPr>
        <w:t>：</w:t>
      </w:r>
      <w:r>
        <w:rPr>
          <w:rFonts w:hint="default" w:ascii="仿宋_GB2312" w:hAnsi="仿宋_GB2312" w:eastAsia="仿宋_GB2312" w:cs="仿宋_GB2312"/>
          <w:color w:val="000000"/>
          <w:kern w:val="0"/>
          <w:sz w:val="32"/>
          <w:szCs w:val="32"/>
          <w:highlight w:val="none"/>
          <w:lang w:val="en-US" w:eastAsia="zh-CN"/>
        </w:rPr>
        <w:t>为</w:t>
      </w:r>
      <w:r>
        <w:rPr>
          <w:rFonts w:hint="default" w:ascii="仿宋_GB2312" w:hAnsi="仿宋_GB2312" w:eastAsia="仿宋_GB2312" w:cs="仿宋_GB2312"/>
          <w:color w:val="000000"/>
          <w:kern w:val="0"/>
          <w:sz w:val="32"/>
          <w:szCs w:val="32"/>
          <w:highlight w:val="none"/>
        </w:rPr>
        <w:t>进一步加强建设工程结算工作管理，提高结算编审工作质量，</w:t>
      </w:r>
      <w:r>
        <w:rPr>
          <w:rFonts w:hint="eastAsia" w:ascii="仿宋_GB2312" w:hAnsi="仿宋_GB2312" w:eastAsia="仿宋_GB2312" w:cs="仿宋_GB2312"/>
          <w:bCs/>
          <w:kern w:val="44"/>
          <w:sz w:val="32"/>
          <w:szCs w:val="32"/>
          <w:highlight w:val="none"/>
          <w:lang w:val="en-US" w:eastAsia="zh-CN"/>
        </w:rPr>
        <w:t>结合</w:t>
      </w:r>
      <w:r>
        <w:rPr>
          <w:rFonts w:hint="default" w:ascii="仿宋_GB2312" w:hAnsi="仿宋_GB2312" w:eastAsia="仿宋_GB2312" w:cs="仿宋_GB2312"/>
          <w:bCs/>
          <w:kern w:val="44"/>
          <w:sz w:val="32"/>
          <w:szCs w:val="32"/>
          <w:highlight w:val="none"/>
        </w:rPr>
        <w:t>《北京城市副中心行政办公区工程建设办公室建设工程结算预审计暂行办法》，</w:t>
      </w:r>
      <w:r>
        <w:rPr>
          <w:rFonts w:hint="default" w:ascii="仿宋_GB2312" w:hAnsi="仿宋_GB2312" w:eastAsia="仿宋_GB2312" w:cs="仿宋_GB2312"/>
          <w:color w:val="000000"/>
          <w:kern w:val="0"/>
          <w:sz w:val="32"/>
          <w:szCs w:val="32"/>
          <w:highlight w:val="none"/>
        </w:rPr>
        <w:t>对副中心工程项目开展预审计工作。对项目实施结算中相关资料的合规性、逻辑性、完整性、程序办理规范性、量价的真实性等进行审计，对问题提出整改意见，提高结算效率，有效降低风险，做好一期结算工作。</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评价分析认为：该项目总体目标</w:t>
      </w:r>
      <w:r>
        <w:rPr>
          <w:rFonts w:hint="default" w:ascii="仿宋_GB2312" w:hAnsi="仿宋_GB2312" w:eastAsia="仿宋_GB2312" w:cs="仿宋_GB2312"/>
          <w:color w:val="000000"/>
          <w:kern w:val="0"/>
          <w:sz w:val="32"/>
          <w:szCs w:val="32"/>
          <w:highlight w:val="none"/>
        </w:rPr>
        <w:t>较为</w:t>
      </w:r>
      <w:r>
        <w:rPr>
          <w:rFonts w:hint="eastAsia" w:ascii="仿宋_GB2312" w:hAnsi="仿宋_GB2312" w:eastAsia="仿宋_GB2312" w:cs="仿宋_GB2312"/>
          <w:color w:val="000000"/>
          <w:kern w:val="0"/>
          <w:sz w:val="32"/>
          <w:szCs w:val="32"/>
          <w:highlight w:val="none"/>
        </w:rPr>
        <w:t>明确，</w:t>
      </w:r>
      <w:r>
        <w:rPr>
          <w:rFonts w:hint="eastAsia" w:ascii="仿宋_GB2312" w:hAnsi="仿宋_GB2312" w:eastAsia="仿宋_GB2312" w:cs="仿宋_GB2312"/>
          <w:color w:val="000000"/>
          <w:kern w:val="0"/>
          <w:sz w:val="32"/>
          <w:szCs w:val="32"/>
          <w:highlight w:val="none"/>
          <w:lang w:val="en-US" w:eastAsia="zh-CN"/>
        </w:rPr>
        <w:t>围绕部门职能，结合单位实际，依据年度工作任务，设置相应的绩效目标，明确产出任务和预期效果，目标设置较为科学，任务明确具体，预期效果体现比较充分</w:t>
      </w:r>
      <w:r>
        <w:rPr>
          <w:rFonts w:hint="eastAsia" w:ascii="仿宋_GB2312" w:hAnsi="仿宋_GB2312" w:eastAsia="仿宋_GB2312" w:cs="仿宋_GB2312"/>
          <w:color w:val="000000"/>
          <w:kern w:val="0"/>
          <w:sz w:val="32"/>
          <w:szCs w:val="32"/>
          <w:highlight w:val="none"/>
        </w:rPr>
        <w:t>。</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3.资金投入情况评价分析</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该项目年初预算430.31万元，北京市财政局（京财经建指</w:t>
      </w:r>
      <w:r>
        <w:rPr>
          <w:rFonts w:hint="eastAsia" w:ascii="仿宋_GB2312" w:hAnsi="仿宋_GB2312" w:eastAsia="仿宋_GB2312" w:cs="仿宋_GB2312"/>
          <w:bCs/>
          <w:kern w:val="44"/>
          <w:sz w:val="32"/>
          <w:szCs w:val="32"/>
          <w:highlight w:val="none"/>
        </w:rPr>
        <w:t>〔202</w:t>
      </w:r>
      <w:r>
        <w:rPr>
          <w:rFonts w:hint="eastAsia" w:ascii="仿宋_GB2312" w:hAnsi="仿宋_GB2312" w:eastAsia="仿宋_GB2312" w:cs="仿宋_GB2312"/>
          <w:bCs/>
          <w:kern w:val="44"/>
          <w:sz w:val="32"/>
          <w:szCs w:val="32"/>
          <w:highlight w:val="none"/>
          <w:lang w:val="en-US" w:eastAsia="zh-CN"/>
        </w:rPr>
        <w:t>1</w:t>
      </w:r>
      <w:r>
        <w:rPr>
          <w:rFonts w:hint="eastAsia" w:ascii="仿宋_GB2312" w:hAnsi="仿宋_GB2312" w:eastAsia="仿宋_GB2312" w:cs="仿宋_GB2312"/>
          <w:bCs/>
          <w:kern w:val="44"/>
          <w:sz w:val="32"/>
          <w:szCs w:val="32"/>
          <w:highlight w:val="none"/>
        </w:rPr>
        <w:t>〕</w:t>
      </w:r>
      <w:r>
        <w:rPr>
          <w:rFonts w:hint="eastAsia" w:ascii="仿宋_GB2312" w:hAnsi="仿宋_GB2312" w:eastAsia="仿宋_GB2312" w:cs="仿宋_GB2312"/>
          <w:color w:val="000000"/>
          <w:kern w:val="0"/>
          <w:sz w:val="32"/>
          <w:szCs w:val="32"/>
          <w:highlight w:val="none"/>
          <w:lang w:val="en-US" w:eastAsia="zh-CN"/>
        </w:rPr>
        <w:t>1757号）通知核减56.92万元，审核后全年预算</w:t>
      </w:r>
      <w:r>
        <w:rPr>
          <w:rFonts w:hint="eastAsia" w:ascii="仿宋_GB2312" w:hAnsi="仿宋_GB2312" w:eastAsia="仿宋_GB2312" w:cs="仿宋_GB2312"/>
          <w:color w:val="000000"/>
          <w:kern w:val="0"/>
          <w:sz w:val="32"/>
          <w:szCs w:val="32"/>
          <w:highlight w:val="none"/>
        </w:rPr>
        <w:t>373.39万元</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202</w:t>
      </w:r>
      <w:r>
        <w:rPr>
          <w:rFonts w:hint="eastAsia" w:ascii="仿宋_GB2312" w:hAnsi="仿宋_GB2312" w:eastAsia="仿宋_GB2312" w:cs="仿宋_GB2312"/>
          <w:color w:val="000000"/>
          <w:kern w:val="0"/>
          <w:sz w:val="32"/>
          <w:szCs w:val="32"/>
          <w:highlight w:val="none"/>
          <w:lang w:val="en-US" w:eastAsia="zh-CN"/>
        </w:rPr>
        <w:t>1</w:t>
      </w:r>
      <w:r>
        <w:rPr>
          <w:rFonts w:hint="eastAsia" w:ascii="仿宋_GB2312" w:hAnsi="仿宋_GB2312" w:eastAsia="仿宋_GB2312" w:cs="仿宋_GB2312"/>
          <w:color w:val="000000"/>
          <w:kern w:val="0"/>
          <w:sz w:val="32"/>
          <w:szCs w:val="32"/>
          <w:highlight w:val="none"/>
        </w:rPr>
        <w:t>年实际支出371.</w:t>
      </w:r>
      <w:r>
        <w:rPr>
          <w:rFonts w:hint="eastAsia" w:ascii="仿宋_GB2312" w:hAnsi="仿宋_GB2312" w:eastAsia="仿宋_GB2312" w:cs="仿宋_GB2312"/>
          <w:color w:val="000000"/>
          <w:kern w:val="0"/>
          <w:sz w:val="32"/>
          <w:szCs w:val="32"/>
          <w:highlight w:val="none"/>
          <w:lang w:val="en-US" w:eastAsia="zh-CN"/>
        </w:rPr>
        <w:t>80</w:t>
      </w:r>
      <w:r>
        <w:rPr>
          <w:rFonts w:hint="eastAsia" w:ascii="仿宋_GB2312" w:hAnsi="仿宋_GB2312" w:eastAsia="仿宋_GB2312" w:cs="仿宋_GB2312"/>
          <w:color w:val="000000"/>
          <w:kern w:val="0"/>
          <w:sz w:val="32"/>
          <w:szCs w:val="32"/>
          <w:highlight w:val="none"/>
        </w:rPr>
        <w:t>万元。</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default"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评价分析认为：该项目</w:t>
      </w:r>
      <w:r>
        <w:rPr>
          <w:rFonts w:hint="eastAsia" w:ascii="仿宋_GB2312" w:hAnsi="仿宋_GB2312" w:eastAsia="仿宋_GB2312" w:cs="仿宋_GB2312"/>
          <w:color w:val="000000"/>
          <w:kern w:val="0"/>
          <w:sz w:val="32"/>
          <w:szCs w:val="32"/>
          <w:highlight w:val="none"/>
          <w:lang w:val="en-US" w:eastAsia="zh-CN"/>
        </w:rPr>
        <w:t>测算依据充分，</w:t>
      </w:r>
      <w:r>
        <w:rPr>
          <w:rFonts w:hint="eastAsia" w:ascii="仿宋_GB2312" w:hAnsi="仿宋_GB2312" w:eastAsia="仿宋_GB2312" w:cs="仿宋_GB2312"/>
          <w:color w:val="000000"/>
          <w:kern w:val="0"/>
          <w:sz w:val="32"/>
          <w:szCs w:val="32"/>
          <w:highlight w:val="none"/>
        </w:rPr>
        <w:t>资金</w:t>
      </w:r>
      <w:r>
        <w:rPr>
          <w:rFonts w:hint="eastAsia" w:ascii="仿宋_GB2312" w:hAnsi="仿宋_GB2312" w:eastAsia="仿宋_GB2312" w:cs="仿宋_GB2312"/>
          <w:color w:val="000000"/>
          <w:kern w:val="0"/>
          <w:sz w:val="32"/>
          <w:szCs w:val="32"/>
          <w:highlight w:val="none"/>
          <w:lang w:val="en-US" w:eastAsia="zh-CN"/>
        </w:rPr>
        <w:t>保障</w:t>
      </w:r>
      <w:r>
        <w:rPr>
          <w:rFonts w:hint="eastAsia" w:ascii="仿宋_GB2312" w:hAnsi="仿宋_GB2312" w:eastAsia="仿宋_GB2312" w:cs="仿宋_GB2312"/>
          <w:color w:val="000000"/>
          <w:kern w:val="0"/>
          <w:sz w:val="32"/>
          <w:szCs w:val="32"/>
          <w:highlight w:val="none"/>
        </w:rPr>
        <w:t>及时足额到位，</w:t>
      </w:r>
      <w:r>
        <w:rPr>
          <w:rFonts w:hint="eastAsia" w:ascii="仿宋_GB2312" w:hAnsi="仿宋_GB2312" w:eastAsia="仿宋_GB2312" w:cs="仿宋_GB2312"/>
          <w:color w:val="000000"/>
          <w:kern w:val="0"/>
          <w:sz w:val="32"/>
          <w:szCs w:val="32"/>
          <w:highlight w:val="none"/>
          <w:lang w:val="en-US" w:eastAsia="zh-CN"/>
        </w:rPr>
        <w:t>预算执行情况良好，</w:t>
      </w:r>
      <w:r>
        <w:rPr>
          <w:rFonts w:hint="default" w:ascii="仿宋_GB2312" w:hAnsi="仿宋_GB2312" w:eastAsia="仿宋_GB2312" w:cs="仿宋_GB2312"/>
          <w:color w:val="000000"/>
          <w:kern w:val="0"/>
          <w:sz w:val="32"/>
          <w:szCs w:val="32"/>
          <w:highlight w:val="none"/>
        </w:rPr>
        <w:t>预算执行率为99.57%</w:t>
      </w:r>
      <w:r>
        <w:rPr>
          <w:rFonts w:hint="eastAsia" w:ascii="仿宋_GB2312" w:hAnsi="仿宋_GB2312" w:eastAsia="仿宋_GB2312" w:cs="仿宋_GB2312"/>
          <w:color w:val="000000"/>
          <w:kern w:val="0"/>
          <w:sz w:val="32"/>
          <w:szCs w:val="32"/>
          <w:highlight w:val="none"/>
          <w:lang w:eastAsia="zh-CN"/>
        </w:rPr>
        <w:t>。</w:t>
      </w:r>
    </w:p>
    <w:p>
      <w:pPr>
        <w:pStyle w:val="4"/>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ascii="Times New Roman" w:hAnsi="Times New Roman" w:eastAsia="楷体_GB2312" w:cs="Times New Roman"/>
          <w:bCs w:val="0"/>
          <w:sz w:val="32"/>
        </w:rPr>
      </w:pPr>
      <w:bookmarkStart w:id="111" w:name="_Toc7898"/>
      <w:bookmarkStart w:id="112" w:name="_Toc4144"/>
      <w:bookmarkStart w:id="113" w:name="_Toc1175386868"/>
      <w:bookmarkStart w:id="114" w:name="_Toc32029"/>
      <w:bookmarkStart w:id="115" w:name="_Toc183036162_WPSOffice_Level2"/>
      <w:bookmarkStart w:id="116" w:name="_Toc24166"/>
      <w:bookmarkStart w:id="117" w:name="_Toc12093"/>
      <w:bookmarkStart w:id="118" w:name="_Toc8881"/>
      <w:r>
        <w:rPr>
          <w:rFonts w:ascii="Times New Roman" w:hAnsi="Times New Roman" w:eastAsia="楷体_GB2312" w:cs="Times New Roman"/>
          <w:bCs w:val="0"/>
          <w:sz w:val="32"/>
        </w:rPr>
        <w:t>（二）项目过程情况</w:t>
      </w:r>
      <w:bookmarkEnd w:id="111"/>
      <w:bookmarkEnd w:id="112"/>
      <w:bookmarkEnd w:id="113"/>
      <w:bookmarkEnd w:id="114"/>
      <w:bookmarkEnd w:id="115"/>
      <w:bookmarkEnd w:id="116"/>
      <w:bookmarkEnd w:id="117"/>
      <w:bookmarkEnd w:id="118"/>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1.资金使用及管理情况评价分析</w:t>
      </w:r>
    </w:p>
    <w:p>
      <w:pPr>
        <w:pageBreakBefore w:val="0"/>
        <w:widowControl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（1）管理制度健全性</w:t>
      </w:r>
    </w:p>
    <w:p>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为加强制度建设和资金管理，副中心工程办制定了《北京城市副中心工程建设管理办公室内部控制手册》</w:t>
      </w:r>
      <w:r>
        <w:rPr>
          <w:rFonts w:hint="eastAsia" w:ascii="仿宋_GB2312" w:eastAsia="仿宋_GB2312" w:cs="楷体_GB2312"/>
          <w:sz w:val="32"/>
          <w:szCs w:val="32"/>
          <w:lang w:val="en-US" w:eastAsia="zh-CN"/>
        </w:rPr>
        <w:t>，从单位和业务层面，对预算、收支、采购、资产、合同、建筑项目业务的相关控制作出规定。印发了</w:t>
      </w:r>
      <w:r>
        <w:rPr>
          <w:rFonts w:hint="eastAsia" w:ascii="仿宋_GB2312" w:hAnsi="仿宋_GB2312" w:eastAsia="仿宋_GB2312" w:cs="仿宋_GB2312"/>
          <w:color w:val="000000"/>
          <w:kern w:val="0"/>
          <w:sz w:val="32"/>
          <w:szCs w:val="32"/>
          <w:highlight w:val="none"/>
          <w:lang w:val="en-US" w:eastAsia="zh-CN"/>
        </w:rPr>
        <w:t>《北京城市副中心工程建设管理办公室资金审批管理办法》（</w:t>
      </w:r>
      <w:r>
        <w:rPr>
          <w:rFonts w:hint="eastAsia" w:ascii="仿宋_GB2312" w:eastAsia="仿宋_GB2312" w:cs="楷体_GB2312"/>
          <w:sz w:val="32"/>
          <w:szCs w:val="32"/>
          <w:lang w:val="zh-CN"/>
        </w:rPr>
        <w:t>副中心工程办发〔2021〕26号）、</w:t>
      </w:r>
      <w:r>
        <w:rPr>
          <w:rFonts w:hint="eastAsia" w:ascii="仿宋_GB2312" w:hAnsi="仿宋_GB2312" w:eastAsia="仿宋_GB2312" w:cs="仿宋_GB2312"/>
          <w:color w:val="000000"/>
          <w:kern w:val="0"/>
          <w:sz w:val="32"/>
          <w:szCs w:val="32"/>
          <w:highlight w:val="none"/>
          <w:lang w:val="en-US" w:eastAsia="zh-CN"/>
        </w:rPr>
        <w:t>《北京城市副中心工程建设管理办公室资金支出管理办法》（</w:t>
      </w:r>
      <w:r>
        <w:rPr>
          <w:rFonts w:hint="eastAsia" w:ascii="仿宋_GB2312" w:eastAsia="仿宋_GB2312" w:cs="楷体_GB2312"/>
          <w:sz w:val="32"/>
          <w:szCs w:val="32"/>
          <w:lang w:val="zh-CN"/>
        </w:rPr>
        <w:t>副中心工程办发〔2021〕27号）、</w:t>
      </w:r>
      <w:r>
        <w:rPr>
          <w:rFonts w:hint="eastAsia" w:ascii="仿宋_GB2312" w:hAnsi="仿宋_GB2312" w:eastAsia="仿宋_GB2312" w:cs="仿宋_GB2312"/>
          <w:color w:val="000000"/>
          <w:kern w:val="0"/>
          <w:sz w:val="32"/>
          <w:szCs w:val="32"/>
          <w:highlight w:val="none"/>
          <w:lang w:val="en-US" w:eastAsia="zh-CN"/>
        </w:rPr>
        <w:t>《北京城市副中心工程建设管理办公室财务管理办法》（</w:t>
      </w:r>
      <w:r>
        <w:rPr>
          <w:rFonts w:hint="eastAsia" w:ascii="仿宋_GB2312" w:eastAsia="仿宋_GB2312" w:cs="楷体_GB2312"/>
          <w:sz w:val="32"/>
          <w:szCs w:val="32"/>
          <w:lang w:val="zh-CN"/>
        </w:rPr>
        <w:t>副中心工程办发〔2021〕28号）、</w:t>
      </w:r>
      <w:r>
        <w:rPr>
          <w:rFonts w:hint="eastAsia" w:ascii="仿宋_GB2312" w:hAnsi="仿宋_GB2312" w:eastAsia="仿宋_GB2312" w:cs="仿宋_GB2312"/>
          <w:color w:val="000000"/>
          <w:kern w:val="0"/>
          <w:sz w:val="32"/>
          <w:szCs w:val="32"/>
          <w:highlight w:val="none"/>
          <w:lang w:val="en-US" w:eastAsia="zh-CN"/>
        </w:rPr>
        <w:t>《北京城市副中心工程建设管理办公室建设资金管理办法》（</w:t>
      </w:r>
      <w:r>
        <w:rPr>
          <w:rFonts w:hint="eastAsia" w:ascii="仿宋_GB2312" w:eastAsia="仿宋_GB2312" w:cs="楷体_GB2312"/>
          <w:sz w:val="32"/>
          <w:szCs w:val="32"/>
          <w:lang w:val="zh-CN"/>
        </w:rPr>
        <w:t>副中心工程办发</w:t>
      </w:r>
      <w:r>
        <w:rPr>
          <w:rFonts w:hint="eastAsia" w:ascii="仿宋_GB2312" w:hAnsi="仿宋_GB2312" w:eastAsia="仿宋_GB2312" w:cs="仿宋_GB2312"/>
          <w:color w:val="000000"/>
          <w:kern w:val="0"/>
          <w:sz w:val="32"/>
          <w:szCs w:val="32"/>
          <w:highlight w:val="none"/>
          <w:lang w:val="zh-CN" w:eastAsia="zh-CN"/>
        </w:rPr>
        <w:t>〔2021〕29号）</w:t>
      </w:r>
      <w:r>
        <w:rPr>
          <w:rFonts w:hint="eastAsia" w:ascii="仿宋_GB2312" w:hAnsi="仿宋_GB2312" w:eastAsia="仿宋_GB2312" w:cs="仿宋_GB2312"/>
          <w:color w:val="000000"/>
          <w:kern w:val="0"/>
          <w:sz w:val="32"/>
          <w:szCs w:val="32"/>
          <w:highlight w:val="none"/>
          <w:lang w:val="en-US" w:eastAsia="zh-CN"/>
        </w:rPr>
        <w:t>等系列规定，从制度上对财务活动作出明确规范。</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color w:val="000000"/>
          <w:kern w:val="0"/>
          <w:sz w:val="32"/>
          <w:szCs w:val="32"/>
          <w:highlight w:val="none"/>
        </w:rPr>
        <w:t>评价分析认为：</w:t>
      </w:r>
      <w:r>
        <w:rPr>
          <w:rFonts w:hint="eastAsia" w:ascii="仿宋_GB2312" w:hAnsi="仿宋_GB2312" w:eastAsia="仿宋_GB2312" w:cs="仿宋_GB2312"/>
          <w:color w:val="000000"/>
          <w:kern w:val="0"/>
          <w:sz w:val="32"/>
          <w:szCs w:val="32"/>
          <w:highlight w:val="none"/>
          <w:lang w:val="en-US" w:eastAsia="zh-CN"/>
        </w:rPr>
        <w:t>副中心工程办内控制度完备，财务管理和资金管理制度健全，较好地坚持了靠规章约束，靠制度管钱</w:t>
      </w:r>
      <w:r>
        <w:rPr>
          <w:rFonts w:hint="eastAsia" w:ascii="仿宋_GB2312" w:hAnsi="仿宋_GB2312" w:eastAsia="仿宋_GB2312" w:cs="仿宋_GB2312"/>
          <w:color w:val="000000"/>
          <w:kern w:val="0"/>
          <w:sz w:val="32"/>
          <w:szCs w:val="32"/>
          <w:highlight w:val="none"/>
        </w:rPr>
        <w:t>。</w:t>
      </w:r>
    </w:p>
    <w:p>
      <w:pPr>
        <w:pageBreakBefore w:val="0"/>
        <w:widowControl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（2）制度执行有效性</w:t>
      </w:r>
    </w:p>
    <w:p>
      <w:pPr>
        <w:pageBreakBefore w:val="0"/>
        <w:widowControl w:val="0"/>
        <w:kinsoku/>
        <w:wordWrap/>
        <w:overflowPunct/>
        <w:topLinePunct w:val="0"/>
        <w:autoSpaceDE w:val="0"/>
        <w:autoSpaceDN w:val="0"/>
        <w:bidi w:val="0"/>
        <w:adjustRightInd w:val="0"/>
        <w:snapToGrid w:val="0"/>
        <w:spacing w:line="560" w:lineRule="exact"/>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Times New Roman" w:hAnsi="Times New Roman" w:eastAsia="仿宋_GB2312"/>
          <w:bCs/>
          <w:color w:val="000000"/>
          <w:kern w:val="0"/>
          <w:sz w:val="32"/>
          <w:szCs w:val="32"/>
        </w:rPr>
        <w:t>为保障项目的完成质量，</w:t>
      </w:r>
      <w:r>
        <w:rPr>
          <w:rFonts w:hint="eastAsia" w:eastAsia="仿宋_GB2312"/>
          <w:bCs/>
          <w:color w:val="000000"/>
          <w:kern w:val="0"/>
          <w:sz w:val="32"/>
          <w:szCs w:val="32"/>
          <w:lang w:val="en-US" w:eastAsia="zh-CN"/>
        </w:rPr>
        <w:t>副中心</w:t>
      </w:r>
      <w:r>
        <w:rPr>
          <w:rFonts w:hint="eastAsia" w:ascii="Times New Roman" w:hAnsi="Times New Roman" w:eastAsia="仿宋_GB2312"/>
          <w:bCs/>
          <w:color w:val="000000"/>
          <w:kern w:val="0"/>
          <w:sz w:val="32"/>
          <w:szCs w:val="32"/>
        </w:rPr>
        <w:t>工程办</w:t>
      </w:r>
      <w:r>
        <w:rPr>
          <w:rFonts w:hint="eastAsia" w:ascii="Times New Roman" w:hAnsi="Times New Roman" w:eastAsia="仿宋_GB2312"/>
          <w:bCs/>
          <w:color w:val="000000"/>
          <w:kern w:val="0"/>
          <w:sz w:val="32"/>
          <w:szCs w:val="32"/>
          <w:lang w:val="en-US" w:eastAsia="zh-CN"/>
        </w:rPr>
        <w:t>日常工程管理中，按照上述已</w:t>
      </w:r>
      <w:r>
        <w:rPr>
          <w:rFonts w:hint="eastAsia" w:ascii="Times New Roman" w:hAnsi="Times New Roman" w:eastAsia="仿宋_GB2312"/>
          <w:bCs/>
          <w:color w:val="000000"/>
          <w:kern w:val="0"/>
          <w:sz w:val="32"/>
          <w:szCs w:val="32"/>
        </w:rPr>
        <w:t>建</w:t>
      </w:r>
      <w:r>
        <w:rPr>
          <w:rFonts w:hint="eastAsia" w:ascii="Times New Roman" w:hAnsi="Times New Roman" w:eastAsia="仿宋_GB2312"/>
          <w:bCs/>
          <w:color w:val="000000"/>
          <w:kern w:val="0"/>
          <w:sz w:val="32"/>
          <w:szCs w:val="32"/>
          <w:lang w:val="en-US" w:eastAsia="zh-CN"/>
        </w:rPr>
        <w:t>制度</w:t>
      </w:r>
      <w:r>
        <w:rPr>
          <w:rFonts w:hint="eastAsia" w:ascii="仿宋_GB2312" w:eastAsia="仿宋_GB2312" w:cs="楷体_GB2312"/>
          <w:sz w:val="32"/>
          <w:szCs w:val="32"/>
          <w:lang w:val="en-US" w:eastAsia="zh-CN"/>
        </w:rPr>
        <w:t>对预算、收支、采购、资产、合同、</w:t>
      </w:r>
      <w:r>
        <w:rPr>
          <w:rFonts w:hint="eastAsia" w:ascii="Times New Roman" w:hAnsi="Times New Roman" w:eastAsia="仿宋_GB2312"/>
          <w:bCs/>
          <w:color w:val="000000"/>
          <w:kern w:val="0"/>
          <w:sz w:val="32"/>
          <w:szCs w:val="32"/>
          <w:lang w:val="en-US" w:eastAsia="zh-CN"/>
        </w:rPr>
        <w:t>招投标等业务实施控制，建</w:t>
      </w:r>
      <w:r>
        <w:rPr>
          <w:rFonts w:hint="eastAsia" w:ascii="Times New Roman" w:hAnsi="Times New Roman" w:eastAsia="仿宋_GB2312"/>
          <w:bCs/>
          <w:color w:val="000000"/>
          <w:kern w:val="0"/>
          <w:sz w:val="32"/>
          <w:szCs w:val="32"/>
        </w:rPr>
        <w:t>立了由项目负责人及</w:t>
      </w:r>
      <w:r>
        <w:rPr>
          <w:rFonts w:hint="eastAsia" w:ascii="Times New Roman" w:hAnsi="Times New Roman" w:eastAsia="仿宋_GB2312"/>
          <w:bCs/>
          <w:color w:val="000000"/>
          <w:kern w:val="0"/>
          <w:sz w:val="32"/>
          <w:szCs w:val="32"/>
          <w:lang w:val="en-US" w:eastAsia="zh-CN"/>
        </w:rPr>
        <w:t>相关人员</w:t>
      </w:r>
      <w:r>
        <w:rPr>
          <w:rFonts w:hint="eastAsia" w:ascii="Times New Roman" w:hAnsi="Times New Roman" w:eastAsia="仿宋_GB2312"/>
          <w:bCs/>
          <w:color w:val="000000"/>
          <w:kern w:val="0"/>
          <w:sz w:val="32"/>
          <w:szCs w:val="32"/>
        </w:rPr>
        <w:t>组成</w:t>
      </w:r>
      <w:r>
        <w:rPr>
          <w:rFonts w:hint="eastAsia" w:ascii="Times New Roman" w:hAnsi="Times New Roman" w:eastAsia="仿宋_GB2312"/>
          <w:bCs/>
          <w:color w:val="000000"/>
          <w:kern w:val="0"/>
          <w:sz w:val="32"/>
          <w:szCs w:val="32"/>
          <w:lang w:val="en-US" w:eastAsia="zh-CN"/>
        </w:rPr>
        <w:t>的</w:t>
      </w:r>
      <w:r>
        <w:rPr>
          <w:rFonts w:hint="eastAsia" w:ascii="Times New Roman" w:hAnsi="Times New Roman" w:eastAsia="仿宋_GB2312"/>
          <w:bCs/>
          <w:color w:val="000000"/>
          <w:kern w:val="0"/>
          <w:sz w:val="32"/>
          <w:szCs w:val="32"/>
        </w:rPr>
        <w:t>项目工作组，制定</w:t>
      </w:r>
      <w:r>
        <w:rPr>
          <w:rFonts w:hint="eastAsia" w:eastAsia="仿宋_GB2312"/>
          <w:bCs/>
          <w:color w:val="000000"/>
          <w:kern w:val="0"/>
          <w:sz w:val="32"/>
          <w:szCs w:val="32"/>
          <w:lang w:val="en-US" w:eastAsia="zh-CN"/>
        </w:rPr>
        <w:t>了</w:t>
      </w:r>
      <w:r>
        <w:rPr>
          <w:rFonts w:hint="eastAsia" w:ascii="Times New Roman" w:hAnsi="Times New Roman" w:eastAsia="仿宋_GB2312"/>
          <w:bCs/>
          <w:color w:val="000000"/>
          <w:kern w:val="0"/>
          <w:sz w:val="32"/>
          <w:szCs w:val="32"/>
        </w:rPr>
        <w:t>《</w:t>
      </w:r>
      <w:r>
        <w:rPr>
          <w:rFonts w:hint="eastAsia" w:eastAsia="仿宋_GB2312"/>
          <w:bCs/>
          <w:color w:val="000000"/>
          <w:kern w:val="0"/>
          <w:sz w:val="32"/>
          <w:szCs w:val="32"/>
          <w:lang w:val="en-US" w:eastAsia="zh-CN"/>
        </w:rPr>
        <w:t>预审计</w:t>
      </w:r>
      <w:r>
        <w:rPr>
          <w:rFonts w:hint="eastAsia" w:ascii="Times New Roman" w:hAnsi="Times New Roman" w:eastAsia="仿宋_GB2312"/>
          <w:bCs/>
          <w:color w:val="000000"/>
          <w:kern w:val="0"/>
          <w:sz w:val="32"/>
          <w:szCs w:val="32"/>
        </w:rPr>
        <w:t>服务项目实施方案》，从项目实施</w:t>
      </w:r>
      <w:r>
        <w:rPr>
          <w:rFonts w:hint="eastAsia" w:eastAsia="仿宋_GB2312"/>
          <w:bCs/>
          <w:color w:val="000000"/>
          <w:kern w:val="0"/>
          <w:sz w:val="32"/>
          <w:szCs w:val="32"/>
          <w:lang w:val="en-US" w:eastAsia="zh-CN"/>
        </w:rPr>
        <w:t>计划</w:t>
      </w:r>
      <w:r>
        <w:rPr>
          <w:rFonts w:hint="eastAsia" w:ascii="Times New Roman" w:hAnsi="Times New Roman" w:eastAsia="仿宋_GB2312"/>
          <w:bCs/>
          <w:color w:val="000000"/>
          <w:kern w:val="0"/>
          <w:sz w:val="32"/>
          <w:szCs w:val="32"/>
        </w:rPr>
        <w:t>、人员安排、</w:t>
      </w:r>
      <w:r>
        <w:rPr>
          <w:rFonts w:hint="eastAsia" w:eastAsia="仿宋_GB2312"/>
          <w:bCs/>
          <w:color w:val="000000"/>
          <w:kern w:val="0"/>
          <w:sz w:val="32"/>
          <w:szCs w:val="32"/>
          <w:lang w:val="en-US" w:eastAsia="zh-CN"/>
        </w:rPr>
        <w:t>节点控制</w:t>
      </w:r>
      <w:r>
        <w:rPr>
          <w:rFonts w:hint="eastAsia" w:ascii="Times New Roman" w:hAnsi="Times New Roman" w:eastAsia="仿宋_GB2312"/>
          <w:bCs/>
          <w:color w:val="000000"/>
          <w:kern w:val="0"/>
          <w:sz w:val="32"/>
          <w:szCs w:val="32"/>
        </w:rPr>
        <w:t>、</w:t>
      </w:r>
      <w:r>
        <w:rPr>
          <w:rFonts w:hint="eastAsia" w:eastAsia="仿宋_GB2312"/>
          <w:bCs/>
          <w:color w:val="000000"/>
          <w:kern w:val="0"/>
          <w:sz w:val="32"/>
          <w:szCs w:val="32"/>
          <w:lang w:val="en-US" w:eastAsia="zh-CN"/>
        </w:rPr>
        <w:t>质量管控</w:t>
      </w:r>
      <w:r>
        <w:rPr>
          <w:rFonts w:hint="eastAsia" w:ascii="Times New Roman" w:hAnsi="Times New Roman" w:eastAsia="仿宋_GB2312"/>
          <w:bCs/>
          <w:color w:val="000000"/>
          <w:kern w:val="0"/>
          <w:sz w:val="32"/>
          <w:szCs w:val="32"/>
        </w:rPr>
        <w:t>等方面进行明确。</w:t>
      </w:r>
      <w:r>
        <w:rPr>
          <w:rFonts w:hint="eastAsia" w:ascii="仿宋_GB2312" w:hAnsi="仿宋_GB2312" w:eastAsia="仿宋_GB2312" w:cs="仿宋_GB2312"/>
          <w:color w:val="000000"/>
          <w:kern w:val="0"/>
          <w:sz w:val="32"/>
          <w:szCs w:val="32"/>
          <w:highlight w:val="none"/>
          <w:lang w:val="en-US" w:eastAsia="zh-CN"/>
        </w:rPr>
        <w:t>项目资金支出使用严格按照制度规定执行</w:t>
      </w:r>
      <w:r>
        <w:rPr>
          <w:rFonts w:hint="default" w:ascii="仿宋_GB2312" w:hAnsi="仿宋_GB2312" w:eastAsia="仿宋_GB2312" w:cs="仿宋_GB2312"/>
          <w:color w:val="000000"/>
          <w:kern w:val="0"/>
          <w:sz w:val="32"/>
          <w:szCs w:val="32"/>
          <w:highlight w:val="none"/>
          <w:lang w:val="en-US" w:eastAsia="zh-CN"/>
        </w:rPr>
        <w:t>，</w:t>
      </w:r>
      <w:r>
        <w:rPr>
          <w:rFonts w:hint="eastAsia" w:ascii="仿宋_GB2312" w:hAnsi="仿宋_GB2312" w:eastAsia="仿宋_GB2312" w:cs="仿宋_GB2312"/>
          <w:color w:val="000000"/>
          <w:kern w:val="0"/>
          <w:sz w:val="32"/>
          <w:szCs w:val="32"/>
          <w:highlight w:val="none"/>
          <w:lang w:val="en-US" w:eastAsia="zh-CN"/>
        </w:rPr>
        <w:t>专款专用，单独核算，支付过程中按照制度要求办理付款手续，相关资金信息真实、准确、完整、规范，未发现截留或挪用专项资金行为。</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评价分析认为：</w:t>
      </w:r>
      <w:r>
        <w:rPr>
          <w:rFonts w:hint="eastAsia" w:ascii="仿宋_GB2312" w:hAnsi="仿宋_GB2312" w:eastAsia="仿宋_GB2312" w:cs="仿宋_GB2312"/>
          <w:color w:val="000000"/>
          <w:kern w:val="0"/>
          <w:sz w:val="32"/>
          <w:szCs w:val="32"/>
          <w:highlight w:val="none"/>
          <w:lang w:val="en-US" w:eastAsia="zh-CN"/>
        </w:rPr>
        <w:t>副中心工程办执行制度严格，财务管理规范，</w:t>
      </w:r>
      <w:r>
        <w:rPr>
          <w:rFonts w:hint="default" w:ascii="仿宋_GB2312" w:hAnsi="仿宋_GB2312" w:eastAsia="仿宋_GB2312" w:cs="仿宋_GB2312"/>
          <w:color w:val="000000"/>
          <w:kern w:val="0"/>
          <w:sz w:val="32"/>
          <w:szCs w:val="32"/>
          <w:highlight w:val="none"/>
        </w:rPr>
        <w:t>资金支付过程严谨，</w:t>
      </w:r>
      <w:r>
        <w:rPr>
          <w:rFonts w:hint="eastAsia" w:ascii="仿宋_GB2312" w:hAnsi="仿宋_GB2312" w:eastAsia="仿宋_GB2312" w:cs="仿宋_GB2312"/>
          <w:color w:val="000000"/>
          <w:kern w:val="0"/>
          <w:sz w:val="32"/>
          <w:szCs w:val="32"/>
          <w:highlight w:val="none"/>
        </w:rPr>
        <w:t>原始票据齐全，审批手续完备。</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2.项目组织实施情况评价分析</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rPr>
        <w:t>该项目预算批复下达后，</w:t>
      </w:r>
      <w:r>
        <w:rPr>
          <w:rFonts w:hint="default" w:ascii="仿宋_GB2312" w:hAnsi="仿宋_GB2312" w:eastAsia="仿宋_GB2312" w:cs="仿宋_GB2312"/>
          <w:color w:val="000000"/>
          <w:kern w:val="0"/>
          <w:sz w:val="32"/>
          <w:szCs w:val="32"/>
          <w:highlight w:val="none"/>
        </w:rPr>
        <w:t>采</w:t>
      </w:r>
      <w:r>
        <w:rPr>
          <w:rFonts w:hint="eastAsia" w:ascii="仿宋_GB2312" w:hAnsi="仿宋_GB2312" w:eastAsia="仿宋_GB2312" w:cs="仿宋_GB2312"/>
          <w:color w:val="000000"/>
          <w:kern w:val="0"/>
          <w:sz w:val="32"/>
          <w:szCs w:val="32"/>
          <w:highlight w:val="none"/>
          <w:lang w:val="en-US" w:eastAsia="zh-CN"/>
        </w:rPr>
        <w:t>取</w:t>
      </w:r>
      <w:r>
        <w:rPr>
          <w:rFonts w:hint="default" w:ascii="仿宋_GB2312" w:hAnsi="仿宋_GB2312" w:eastAsia="仿宋_GB2312" w:cs="仿宋_GB2312"/>
          <w:color w:val="000000"/>
          <w:kern w:val="0"/>
          <w:sz w:val="32"/>
          <w:szCs w:val="32"/>
          <w:highlight w:val="none"/>
        </w:rPr>
        <w:t>购买服务</w:t>
      </w:r>
      <w:r>
        <w:rPr>
          <w:rFonts w:hint="eastAsia" w:ascii="仿宋_GB2312" w:hAnsi="仿宋_GB2312" w:eastAsia="仿宋_GB2312" w:cs="仿宋_GB2312"/>
          <w:color w:val="000000"/>
          <w:kern w:val="0"/>
          <w:sz w:val="32"/>
          <w:szCs w:val="32"/>
          <w:highlight w:val="none"/>
          <w:lang w:val="en-US" w:eastAsia="zh-CN"/>
        </w:rPr>
        <w:t>的</w:t>
      </w:r>
      <w:r>
        <w:rPr>
          <w:rFonts w:hint="default" w:ascii="仿宋_GB2312" w:hAnsi="仿宋_GB2312" w:eastAsia="仿宋_GB2312" w:cs="仿宋_GB2312"/>
          <w:color w:val="000000"/>
          <w:kern w:val="0"/>
          <w:sz w:val="32"/>
          <w:szCs w:val="32"/>
          <w:highlight w:val="none"/>
        </w:rPr>
        <w:t>方式</w:t>
      </w:r>
      <w:r>
        <w:rPr>
          <w:rFonts w:hint="eastAsia" w:ascii="仿宋_GB2312" w:hAnsi="仿宋_GB2312" w:eastAsia="仿宋_GB2312" w:cs="仿宋_GB2312"/>
          <w:color w:val="000000"/>
          <w:kern w:val="0"/>
          <w:sz w:val="32"/>
          <w:szCs w:val="32"/>
          <w:highlight w:val="none"/>
          <w:lang w:val="en-US" w:eastAsia="zh-CN"/>
        </w:rPr>
        <w:t>招标</w:t>
      </w:r>
      <w:r>
        <w:rPr>
          <w:rFonts w:hint="default" w:ascii="仿宋_GB2312" w:hAnsi="仿宋_GB2312" w:eastAsia="仿宋_GB2312" w:cs="仿宋_GB2312"/>
          <w:color w:val="000000"/>
          <w:kern w:val="0"/>
          <w:sz w:val="32"/>
          <w:szCs w:val="32"/>
          <w:highlight w:val="none"/>
        </w:rPr>
        <w:t>专业机构</w:t>
      </w:r>
      <w:r>
        <w:rPr>
          <w:rFonts w:hint="eastAsia" w:ascii="仿宋_GB2312" w:hAnsi="仿宋_GB2312" w:eastAsia="仿宋_GB2312" w:cs="仿宋_GB2312"/>
          <w:color w:val="000000"/>
          <w:kern w:val="0"/>
          <w:sz w:val="32"/>
          <w:szCs w:val="32"/>
          <w:highlight w:val="none"/>
          <w:lang w:val="en-US" w:eastAsia="zh-CN"/>
        </w:rPr>
        <w:t>承担</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项目分Ⅰ</w:t>
      </w:r>
      <w:r>
        <w:rPr>
          <w:rFonts w:hint="eastAsia" w:ascii="仿宋_GB2312" w:hAnsi="仿宋_GB2312" w:eastAsia="仿宋_GB2312" w:cs="仿宋_GB2312"/>
          <w:color w:val="000000"/>
          <w:kern w:val="0"/>
          <w:sz w:val="32"/>
          <w:szCs w:val="32"/>
          <w:highlight w:val="none"/>
        </w:rPr>
        <w:t>包</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Ⅱ</w:t>
      </w:r>
      <w:r>
        <w:rPr>
          <w:rFonts w:hint="eastAsia" w:ascii="仿宋_GB2312" w:hAnsi="仿宋_GB2312" w:eastAsia="仿宋_GB2312" w:cs="仿宋_GB2312"/>
          <w:color w:val="000000"/>
          <w:kern w:val="0"/>
          <w:sz w:val="32"/>
          <w:szCs w:val="32"/>
          <w:highlight w:val="none"/>
        </w:rPr>
        <w:t>包</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Ⅲ</w:t>
      </w:r>
      <w:r>
        <w:rPr>
          <w:rFonts w:hint="eastAsia" w:ascii="仿宋_GB2312" w:hAnsi="仿宋_GB2312" w:eastAsia="仿宋_GB2312" w:cs="仿宋_GB2312"/>
          <w:color w:val="000000"/>
          <w:kern w:val="0"/>
          <w:sz w:val="32"/>
          <w:szCs w:val="32"/>
          <w:highlight w:val="none"/>
        </w:rPr>
        <w:t>包</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Ⅳ</w:t>
      </w:r>
      <w:r>
        <w:rPr>
          <w:rFonts w:hint="eastAsia" w:ascii="仿宋_GB2312" w:hAnsi="仿宋_GB2312" w:eastAsia="仿宋_GB2312" w:cs="仿宋_GB2312"/>
          <w:color w:val="000000"/>
          <w:kern w:val="0"/>
          <w:sz w:val="32"/>
          <w:szCs w:val="32"/>
          <w:highlight w:val="none"/>
        </w:rPr>
        <w:t>包</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Ⅴ</w:t>
      </w:r>
      <w:r>
        <w:rPr>
          <w:rFonts w:hint="eastAsia" w:ascii="仿宋_GB2312" w:hAnsi="仿宋_GB2312" w:eastAsia="仿宋_GB2312" w:cs="仿宋_GB2312"/>
          <w:color w:val="000000"/>
          <w:kern w:val="0"/>
          <w:sz w:val="32"/>
          <w:szCs w:val="32"/>
          <w:highlight w:val="none"/>
        </w:rPr>
        <w:t>包</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分别</w:t>
      </w:r>
      <w:r>
        <w:rPr>
          <w:rFonts w:hint="eastAsia" w:ascii="仿宋_GB2312" w:hAnsi="仿宋_GB2312" w:eastAsia="仿宋_GB2312" w:cs="仿宋_GB2312"/>
          <w:color w:val="000000"/>
          <w:kern w:val="0"/>
          <w:sz w:val="32"/>
          <w:szCs w:val="32"/>
          <w:highlight w:val="none"/>
        </w:rPr>
        <w:t>与</w:t>
      </w:r>
      <w:r>
        <w:rPr>
          <w:rFonts w:hint="eastAsia" w:ascii="仿宋_GB2312" w:hAnsi="仿宋_GB2312" w:eastAsia="仿宋_GB2312" w:cs="仿宋_GB2312"/>
          <w:color w:val="000000"/>
          <w:kern w:val="0"/>
          <w:sz w:val="32"/>
          <w:szCs w:val="32"/>
          <w:highlight w:val="none"/>
          <w:lang w:val="en-US" w:eastAsia="zh-CN"/>
        </w:rPr>
        <w:t>中竞发工程管理咨询有限公司、</w:t>
      </w:r>
      <w:r>
        <w:rPr>
          <w:rFonts w:hint="eastAsia" w:ascii="仿宋_GB2312" w:hAnsi="仿宋_GB2312" w:eastAsia="仿宋_GB2312" w:cs="仿宋_GB2312"/>
          <w:color w:val="000000"/>
          <w:kern w:val="0"/>
          <w:sz w:val="32"/>
          <w:szCs w:val="32"/>
          <w:highlight w:val="none"/>
        </w:rPr>
        <w:t>中兴铂码工程咨询有限公司</w:t>
      </w:r>
      <w:r>
        <w:rPr>
          <w:rFonts w:hint="eastAsia" w:ascii="仿宋_GB2312" w:hAnsi="仿宋_GB2312" w:eastAsia="仿宋_GB2312" w:cs="仿宋_GB2312"/>
          <w:color w:val="000000"/>
          <w:kern w:val="0"/>
          <w:sz w:val="32"/>
          <w:szCs w:val="32"/>
          <w:highlight w:val="none"/>
          <w:lang w:val="en-US" w:eastAsia="zh-CN"/>
        </w:rPr>
        <w:t>、</w:t>
      </w:r>
      <w:r>
        <w:rPr>
          <w:rFonts w:hint="eastAsia" w:ascii="仿宋_GB2312" w:hAnsi="仿宋_GB2312" w:eastAsia="仿宋_GB2312" w:cs="仿宋_GB2312"/>
          <w:color w:val="000000"/>
          <w:kern w:val="0"/>
          <w:sz w:val="32"/>
          <w:szCs w:val="32"/>
          <w:highlight w:val="none"/>
        </w:rPr>
        <w:t>中咨环球（北京）工程咨询有限公司</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北京永达信工程咨询有限公司</w:t>
      </w:r>
      <w:r>
        <w:rPr>
          <w:rFonts w:hint="eastAsia" w:ascii="仿宋_GB2312" w:hAnsi="仿宋_GB2312" w:eastAsia="仿宋_GB2312" w:cs="仿宋_GB2312"/>
          <w:color w:val="000000"/>
          <w:kern w:val="0"/>
          <w:sz w:val="32"/>
          <w:szCs w:val="32"/>
          <w:highlight w:val="none"/>
          <w:lang w:val="en-US" w:eastAsia="zh-CN"/>
        </w:rPr>
        <w:t>、</w:t>
      </w:r>
      <w:r>
        <w:rPr>
          <w:rFonts w:hint="eastAsia" w:ascii="仿宋_GB2312" w:hAnsi="仿宋_GB2312" w:eastAsia="仿宋_GB2312" w:cs="仿宋_GB2312"/>
          <w:color w:val="000000"/>
          <w:kern w:val="0"/>
          <w:sz w:val="32"/>
          <w:szCs w:val="32"/>
          <w:highlight w:val="none"/>
        </w:rPr>
        <w:t>中证天通（北京）工程管理咨询有限公司</w:t>
      </w:r>
      <w:r>
        <w:rPr>
          <w:rFonts w:hint="eastAsia" w:ascii="仿宋_GB2312" w:hAnsi="仿宋_GB2312" w:eastAsia="仿宋_GB2312" w:cs="仿宋_GB2312"/>
          <w:color w:val="000000"/>
          <w:kern w:val="0"/>
          <w:sz w:val="32"/>
          <w:szCs w:val="32"/>
          <w:highlight w:val="none"/>
          <w:lang w:val="en-US" w:eastAsia="zh-CN"/>
        </w:rPr>
        <w:t>签定了合同。</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在项目实施过程中</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财务审计部周密计划，认真组织，会同有关部门每周定期召开</w:t>
      </w:r>
      <w:r>
        <w:rPr>
          <w:rFonts w:hint="eastAsia" w:ascii="仿宋_GB2312" w:hAnsi="仿宋_GB2312" w:eastAsia="仿宋_GB2312" w:cs="仿宋_GB2312"/>
          <w:color w:val="000000"/>
          <w:kern w:val="0"/>
          <w:sz w:val="32"/>
          <w:szCs w:val="32"/>
          <w:highlight w:val="none"/>
        </w:rPr>
        <w:t>工程结算预审计工作阶段性结果汇报会</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了解项目进展情况，发现和解决问题，督导预审计工作保质保量按期推进。项目实施中，</w:t>
      </w:r>
      <w:r>
        <w:rPr>
          <w:rFonts w:hint="eastAsia" w:ascii="仿宋_GB2312" w:hAnsi="仿宋_GB2312" w:eastAsia="仿宋_GB2312" w:cs="仿宋_GB2312"/>
          <w:color w:val="000000"/>
          <w:kern w:val="0"/>
          <w:sz w:val="32"/>
          <w:szCs w:val="32"/>
          <w:highlight w:val="none"/>
        </w:rPr>
        <w:t>严格执行</w:t>
      </w:r>
      <w:bookmarkStart w:id="119" w:name="_Hlk70486721"/>
      <w:r>
        <w:rPr>
          <w:rFonts w:hint="eastAsia" w:ascii="仿宋_GB2312" w:hAnsi="仿宋_GB2312" w:eastAsia="仿宋_GB2312" w:cs="仿宋_GB2312"/>
          <w:color w:val="000000"/>
          <w:kern w:val="0"/>
          <w:sz w:val="32"/>
          <w:szCs w:val="32"/>
          <w:highlight w:val="none"/>
          <w:lang w:val="en-US" w:eastAsia="zh-CN"/>
        </w:rPr>
        <w:t>各项</w:t>
      </w:r>
      <w:r>
        <w:rPr>
          <w:rFonts w:hint="eastAsia" w:ascii="仿宋_GB2312" w:hAnsi="仿宋_GB2312" w:eastAsia="仿宋_GB2312" w:cs="仿宋_GB2312"/>
          <w:color w:val="000000"/>
          <w:kern w:val="0"/>
          <w:sz w:val="32"/>
          <w:szCs w:val="32"/>
          <w:highlight w:val="none"/>
        </w:rPr>
        <w:t>制度</w:t>
      </w:r>
      <w:bookmarkEnd w:id="119"/>
      <w:r>
        <w:rPr>
          <w:rFonts w:hint="eastAsia" w:ascii="仿宋_GB2312" w:hAnsi="仿宋_GB2312" w:eastAsia="仿宋_GB2312" w:cs="仿宋_GB2312"/>
          <w:color w:val="000000"/>
          <w:kern w:val="0"/>
          <w:sz w:val="32"/>
          <w:szCs w:val="32"/>
          <w:highlight w:val="none"/>
          <w:lang w:val="en-US" w:eastAsia="zh-CN"/>
        </w:rPr>
        <w:t>规定</w:t>
      </w:r>
      <w:r>
        <w:rPr>
          <w:rFonts w:hint="eastAsia" w:ascii="仿宋_GB2312" w:hAnsi="仿宋_GB2312" w:eastAsia="仿宋_GB2312" w:cs="仿宋_GB2312"/>
          <w:color w:val="000000"/>
          <w:kern w:val="0"/>
          <w:sz w:val="32"/>
          <w:szCs w:val="32"/>
          <w:highlight w:val="none"/>
        </w:rPr>
        <w:t>，</w:t>
      </w:r>
      <w:r>
        <w:rPr>
          <w:rFonts w:hint="default" w:ascii="仿宋_GB2312" w:hAnsi="仿宋_GB2312" w:eastAsia="仿宋_GB2312" w:cs="仿宋_GB2312"/>
          <w:color w:val="000000"/>
          <w:kern w:val="0"/>
          <w:sz w:val="32"/>
          <w:szCs w:val="32"/>
          <w:highlight w:val="none"/>
        </w:rPr>
        <w:t>约束第三方审计中介机构的行为</w:t>
      </w:r>
      <w:r>
        <w:rPr>
          <w:rFonts w:hint="eastAsia" w:ascii="仿宋_GB2312" w:hAnsi="仿宋_GB2312" w:eastAsia="仿宋_GB2312" w:cs="仿宋_GB2312"/>
          <w:color w:val="000000"/>
          <w:kern w:val="0"/>
          <w:sz w:val="32"/>
          <w:szCs w:val="32"/>
          <w:highlight w:val="none"/>
          <w:lang w:eastAsia="zh-CN"/>
        </w:rPr>
        <w:t>，</w:t>
      </w:r>
      <w:r>
        <w:rPr>
          <w:rFonts w:hint="default" w:ascii="仿宋_GB2312" w:hAnsi="仿宋_GB2312" w:eastAsia="仿宋_GB2312" w:cs="仿宋_GB2312"/>
          <w:color w:val="000000"/>
          <w:kern w:val="0"/>
          <w:sz w:val="32"/>
          <w:szCs w:val="32"/>
          <w:highlight w:val="none"/>
        </w:rPr>
        <w:t>规范</w:t>
      </w:r>
      <w:r>
        <w:rPr>
          <w:rFonts w:hint="eastAsia" w:ascii="仿宋_GB2312" w:hAnsi="仿宋_GB2312" w:eastAsia="仿宋_GB2312" w:cs="仿宋_GB2312"/>
          <w:color w:val="000000"/>
          <w:kern w:val="0"/>
          <w:sz w:val="32"/>
          <w:szCs w:val="32"/>
          <w:highlight w:val="none"/>
          <w:lang w:val="en-US" w:eastAsia="zh-CN"/>
        </w:rPr>
        <w:t>预审计项目依法依规实施</w:t>
      </w:r>
      <w:r>
        <w:rPr>
          <w:rFonts w:hint="eastAsia" w:ascii="仿宋_GB2312" w:hAnsi="仿宋_GB2312" w:eastAsia="仿宋_GB2312" w:cs="仿宋_GB2312"/>
          <w:color w:val="000000"/>
          <w:kern w:val="0"/>
          <w:sz w:val="32"/>
          <w:szCs w:val="32"/>
          <w:highlight w:val="none"/>
        </w:rPr>
        <w:t>。</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评价分析认为：该项目</w:t>
      </w:r>
      <w:r>
        <w:rPr>
          <w:rFonts w:hint="default" w:ascii="仿宋_GB2312" w:hAnsi="仿宋_GB2312" w:eastAsia="仿宋_GB2312" w:cs="仿宋_GB2312"/>
          <w:color w:val="000000"/>
          <w:kern w:val="0"/>
          <w:sz w:val="32"/>
          <w:szCs w:val="32"/>
          <w:highlight w:val="none"/>
        </w:rPr>
        <w:t>按照</w:t>
      </w:r>
      <w:r>
        <w:rPr>
          <w:rFonts w:hint="eastAsia" w:ascii="仿宋_GB2312" w:hAnsi="仿宋_GB2312" w:eastAsia="仿宋_GB2312" w:cs="仿宋_GB2312"/>
          <w:color w:val="000000"/>
          <w:kern w:val="0"/>
          <w:sz w:val="32"/>
          <w:szCs w:val="32"/>
          <w:highlight w:val="none"/>
          <w:lang w:eastAsia="zh-CN"/>
        </w:rPr>
        <w:t>副中心工程办</w:t>
      </w:r>
      <w:r>
        <w:rPr>
          <w:rFonts w:hint="default" w:ascii="仿宋_GB2312" w:hAnsi="仿宋_GB2312" w:eastAsia="仿宋_GB2312" w:cs="仿宋_GB2312"/>
          <w:color w:val="000000"/>
          <w:kern w:val="0"/>
          <w:sz w:val="32"/>
          <w:szCs w:val="32"/>
          <w:highlight w:val="none"/>
        </w:rPr>
        <w:t>制度要求采用购买服务方式由专业机构完成有关内容</w:t>
      </w:r>
      <w:r>
        <w:rPr>
          <w:rFonts w:hint="eastAsia" w:ascii="仿宋_GB2312" w:hAnsi="仿宋_GB2312" w:eastAsia="仿宋_GB2312" w:cs="仿宋_GB2312"/>
          <w:color w:val="000000"/>
          <w:kern w:val="0"/>
          <w:sz w:val="32"/>
          <w:szCs w:val="32"/>
          <w:highlight w:val="none"/>
        </w:rPr>
        <w:t>。在项目实施过程中，</w:t>
      </w:r>
      <w:r>
        <w:rPr>
          <w:rFonts w:hint="eastAsia" w:ascii="仿宋_GB2312" w:hAnsi="仿宋_GB2312" w:eastAsia="仿宋_GB2312" w:cs="仿宋_GB2312"/>
          <w:color w:val="000000"/>
          <w:kern w:val="0"/>
          <w:sz w:val="32"/>
          <w:szCs w:val="32"/>
          <w:highlight w:val="none"/>
          <w:lang w:eastAsia="zh-CN"/>
        </w:rPr>
        <w:t>副中心工程办</w:t>
      </w:r>
      <w:r>
        <w:rPr>
          <w:rFonts w:hint="eastAsia" w:ascii="仿宋_GB2312" w:hAnsi="仿宋_GB2312" w:eastAsia="仿宋_GB2312" w:cs="仿宋_GB2312"/>
          <w:color w:val="000000"/>
          <w:kern w:val="0"/>
          <w:sz w:val="32"/>
          <w:szCs w:val="32"/>
          <w:highlight w:val="none"/>
          <w:lang w:val="en-US" w:eastAsia="zh-CN"/>
        </w:rPr>
        <w:t>管理</w:t>
      </w:r>
      <w:r>
        <w:rPr>
          <w:rFonts w:hint="default" w:ascii="仿宋_GB2312" w:hAnsi="仿宋_GB2312" w:eastAsia="仿宋_GB2312" w:cs="仿宋_GB2312"/>
          <w:color w:val="000000"/>
          <w:kern w:val="0"/>
          <w:sz w:val="32"/>
          <w:szCs w:val="32"/>
          <w:highlight w:val="none"/>
        </w:rPr>
        <w:t>制度健全，</w:t>
      </w:r>
      <w:r>
        <w:rPr>
          <w:rFonts w:hint="eastAsia" w:ascii="仿宋_GB2312" w:hAnsi="仿宋_GB2312" w:eastAsia="仿宋_GB2312" w:cs="仿宋_GB2312"/>
          <w:color w:val="000000"/>
          <w:kern w:val="0"/>
          <w:sz w:val="32"/>
          <w:szCs w:val="32"/>
          <w:highlight w:val="none"/>
          <w:lang w:val="en-US" w:eastAsia="zh-CN"/>
        </w:rPr>
        <w:t>执行制度严格，周密组织指导，及时跟踪督导，有效</w:t>
      </w:r>
      <w:r>
        <w:rPr>
          <w:rFonts w:hint="eastAsia" w:ascii="仿宋_GB2312" w:hAnsi="仿宋_GB2312" w:eastAsia="仿宋_GB2312" w:cs="仿宋_GB2312"/>
          <w:color w:val="000000"/>
          <w:kern w:val="0"/>
          <w:sz w:val="32"/>
          <w:szCs w:val="32"/>
          <w:highlight w:val="none"/>
        </w:rPr>
        <w:t>保证</w:t>
      </w:r>
      <w:r>
        <w:rPr>
          <w:rFonts w:hint="eastAsia" w:ascii="仿宋_GB2312" w:hAnsi="仿宋_GB2312" w:eastAsia="仿宋_GB2312" w:cs="仿宋_GB2312"/>
          <w:color w:val="000000"/>
          <w:kern w:val="0"/>
          <w:sz w:val="32"/>
          <w:szCs w:val="32"/>
          <w:highlight w:val="none"/>
          <w:lang w:val="en-US" w:eastAsia="zh-CN"/>
        </w:rPr>
        <w:t>了</w:t>
      </w:r>
      <w:r>
        <w:rPr>
          <w:rFonts w:hint="eastAsia" w:ascii="仿宋_GB2312" w:hAnsi="仿宋_GB2312" w:eastAsia="仿宋_GB2312" w:cs="仿宋_GB2312"/>
          <w:color w:val="000000"/>
          <w:kern w:val="0"/>
          <w:sz w:val="32"/>
          <w:szCs w:val="32"/>
          <w:highlight w:val="none"/>
        </w:rPr>
        <w:t>项目</w:t>
      </w:r>
      <w:r>
        <w:rPr>
          <w:rFonts w:hint="eastAsia" w:ascii="仿宋_GB2312" w:hAnsi="仿宋_GB2312" w:eastAsia="仿宋_GB2312" w:cs="仿宋_GB2312"/>
          <w:color w:val="000000"/>
          <w:kern w:val="0"/>
          <w:sz w:val="32"/>
          <w:szCs w:val="32"/>
          <w:highlight w:val="none"/>
          <w:lang w:val="en-US" w:eastAsia="zh-CN"/>
        </w:rPr>
        <w:t>合规实施和规范运行</w:t>
      </w:r>
      <w:r>
        <w:rPr>
          <w:rFonts w:hint="eastAsia" w:ascii="仿宋_GB2312" w:hAnsi="仿宋_GB2312" w:eastAsia="仿宋_GB2312" w:cs="仿宋_GB2312"/>
          <w:color w:val="000000"/>
          <w:kern w:val="0"/>
          <w:sz w:val="32"/>
          <w:szCs w:val="32"/>
          <w:highlight w:val="none"/>
        </w:rPr>
        <w:t xml:space="preserve">。 </w:t>
      </w:r>
    </w:p>
    <w:bookmarkEnd w:id="110"/>
    <w:p>
      <w:pPr>
        <w:pStyle w:val="4"/>
        <w:pageBreakBefore w:val="0"/>
        <w:widowControl w:val="0"/>
        <w:numPr>
          <w:ilvl w:val="0"/>
          <w:numId w:val="0"/>
        </w:numPr>
        <w:kinsoku/>
        <w:wordWrap/>
        <w:overflowPunct/>
        <w:topLinePunct w:val="0"/>
        <w:autoSpaceDE/>
        <w:autoSpaceDN/>
        <w:bidi w:val="0"/>
        <w:adjustRightInd w:val="0"/>
        <w:snapToGrid w:val="0"/>
        <w:spacing w:line="560" w:lineRule="exact"/>
        <w:ind w:firstLine="643" w:firstLineChars="200"/>
        <w:jc w:val="both"/>
        <w:textAlignment w:val="auto"/>
        <w:rPr>
          <w:rFonts w:hint="eastAsia" w:ascii="Times New Roman" w:hAnsi="Times New Roman" w:eastAsia="楷体_GB2312" w:cs="Times New Roman"/>
          <w:bCs w:val="0"/>
          <w:sz w:val="32"/>
          <w:lang w:val="en-US" w:eastAsia="zh-CN"/>
        </w:rPr>
      </w:pPr>
      <w:bookmarkStart w:id="120" w:name="_Toc14621"/>
      <w:bookmarkStart w:id="121" w:name="_Toc1092192230_WPSOffice_Level2"/>
      <w:bookmarkStart w:id="122" w:name="_Toc13763"/>
      <w:bookmarkStart w:id="123" w:name="_Toc26879"/>
      <w:bookmarkStart w:id="124" w:name="_Toc4876"/>
      <w:bookmarkStart w:id="125" w:name="_Toc19157"/>
      <w:bookmarkStart w:id="126" w:name="_Toc14613"/>
      <w:bookmarkStart w:id="127" w:name="_Toc14405"/>
      <w:bookmarkStart w:id="128" w:name="_Toc25021723"/>
      <w:r>
        <w:rPr>
          <w:rFonts w:hint="eastAsia" w:ascii="Times New Roman" w:hAnsi="Times New Roman" w:eastAsia="楷体_GB2312" w:cs="Times New Roman"/>
          <w:bCs w:val="0"/>
          <w:sz w:val="32"/>
          <w:lang w:eastAsia="zh-CN"/>
        </w:rPr>
        <w:t>（</w:t>
      </w:r>
      <w:r>
        <w:rPr>
          <w:rFonts w:hint="eastAsia" w:ascii="Times New Roman" w:hAnsi="Times New Roman" w:eastAsia="楷体_GB2312" w:cs="Times New Roman"/>
          <w:bCs w:val="0"/>
          <w:sz w:val="32"/>
          <w:lang w:val="en-US" w:eastAsia="zh-CN"/>
        </w:rPr>
        <w:t>三</w:t>
      </w:r>
      <w:r>
        <w:rPr>
          <w:rFonts w:hint="eastAsia" w:ascii="Times New Roman" w:hAnsi="Times New Roman" w:eastAsia="楷体_GB2312" w:cs="Times New Roman"/>
          <w:bCs w:val="0"/>
          <w:sz w:val="32"/>
          <w:lang w:eastAsia="zh-CN"/>
        </w:rPr>
        <w:t>）</w:t>
      </w:r>
      <w:r>
        <w:rPr>
          <w:rFonts w:ascii="Times New Roman" w:hAnsi="Times New Roman" w:eastAsia="楷体_GB2312" w:cs="Times New Roman"/>
          <w:bCs w:val="0"/>
          <w:sz w:val="32"/>
        </w:rPr>
        <w:t>项目产出</w:t>
      </w:r>
      <w:r>
        <w:rPr>
          <w:rFonts w:hint="eastAsia" w:ascii="Times New Roman" w:hAnsi="Times New Roman" w:eastAsia="楷体_GB2312" w:cs="Times New Roman"/>
          <w:bCs w:val="0"/>
          <w:sz w:val="32"/>
          <w:lang w:val="en-US" w:eastAsia="zh-CN"/>
        </w:rPr>
        <w:t>情况</w:t>
      </w:r>
      <w:bookmarkEnd w:id="120"/>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color w:val="000000"/>
          <w:kern w:val="0"/>
          <w:sz w:val="32"/>
          <w:szCs w:val="32"/>
          <w:highlight w:val="none"/>
          <w:lang w:val="en-US" w:eastAsia="zh-CN"/>
        </w:rPr>
      </w:pPr>
      <w:r>
        <w:rPr>
          <w:rFonts w:hint="eastAsia" w:ascii="仿宋_GB2312" w:hAnsi="仿宋_GB2312" w:eastAsia="仿宋_GB2312" w:cs="仿宋_GB2312"/>
          <w:b/>
          <w:bCs/>
          <w:color w:val="000000"/>
          <w:kern w:val="0"/>
          <w:sz w:val="32"/>
          <w:szCs w:val="32"/>
          <w:highlight w:val="none"/>
          <w:lang w:val="en-US" w:eastAsia="zh-CN"/>
        </w:rPr>
        <w:t>1.产出指标完成情况</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该项目设置了数量、质量、时效、成本等4个产出指标，“开展工程结算工作并出具结算报告”“资料的合规性、完整性”“2020年9月项目立项申报”“2021年12月底前完成预审计报告撰写”“项目经济成本</w:t>
      </w:r>
      <w:r>
        <w:rPr>
          <w:rFonts w:hint="default" w:ascii="仿宋_GB2312" w:hAnsi="仿宋_GB2312" w:eastAsia="仿宋_GB2312" w:cs="仿宋_GB2312"/>
          <w:color w:val="000000"/>
          <w:kern w:val="0"/>
          <w:sz w:val="32"/>
          <w:szCs w:val="32"/>
          <w:highlight w:val="none"/>
          <w:lang w:val="en-US" w:eastAsia="zh-CN"/>
        </w:rPr>
        <w:t>≤</w:t>
      </w:r>
      <w:r>
        <w:rPr>
          <w:rFonts w:hint="eastAsia" w:ascii="仿宋_GB2312" w:hAnsi="仿宋_GB2312" w:eastAsia="仿宋_GB2312" w:cs="仿宋_GB2312"/>
          <w:color w:val="000000"/>
          <w:kern w:val="0"/>
          <w:sz w:val="32"/>
          <w:szCs w:val="32"/>
          <w:highlight w:val="none"/>
          <w:lang w:val="en-US" w:eastAsia="zh-CN"/>
        </w:rPr>
        <w:t>373.39万元”等指标全部完成。</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lang w:val="en-US" w:eastAsia="zh-CN"/>
        </w:rPr>
        <w:t>2</w:t>
      </w:r>
      <w:r>
        <w:rPr>
          <w:rFonts w:hint="eastAsia" w:ascii="仿宋_GB2312" w:hAnsi="仿宋_GB2312" w:eastAsia="仿宋_GB2312" w:cs="仿宋_GB2312"/>
          <w:b/>
          <w:bCs w:val="0"/>
          <w:sz w:val="32"/>
          <w:szCs w:val="32"/>
        </w:rPr>
        <w:t>.项目经济性分析</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rPr>
        <w:t>该项目Ⅰ</w:t>
      </w:r>
      <w:r>
        <w:rPr>
          <w:rFonts w:hint="eastAsia" w:ascii="仿宋_GB2312" w:hAnsi="仿宋_GB2312" w:eastAsia="仿宋_GB2312" w:cs="仿宋_GB2312"/>
          <w:color w:val="000000"/>
          <w:kern w:val="0"/>
          <w:sz w:val="32"/>
          <w:szCs w:val="32"/>
          <w:highlight w:val="none"/>
          <w:lang w:val="en-US" w:eastAsia="zh-CN"/>
        </w:rPr>
        <w:t>包送审</w:t>
      </w:r>
      <w:r>
        <w:rPr>
          <w:rFonts w:hint="eastAsia" w:ascii="仿宋_GB2312" w:hAnsi="仿宋_GB2312" w:eastAsia="仿宋_GB2312" w:cs="仿宋_GB2312"/>
          <w:color w:val="000000"/>
          <w:kern w:val="0"/>
          <w:sz w:val="32"/>
          <w:szCs w:val="32"/>
          <w:highlight w:val="none"/>
        </w:rPr>
        <w:t>金额为154216.61万元，</w:t>
      </w:r>
      <w:r>
        <w:rPr>
          <w:rFonts w:hint="eastAsia" w:ascii="仿宋_GB2312" w:hAnsi="仿宋_GB2312" w:eastAsia="仿宋_GB2312" w:cs="仿宋_GB2312"/>
          <w:color w:val="000000"/>
          <w:kern w:val="0"/>
          <w:sz w:val="32"/>
          <w:szCs w:val="32"/>
          <w:highlight w:val="none"/>
          <w:lang w:val="en-US" w:eastAsia="zh-CN"/>
        </w:rPr>
        <w:t>审核金额</w:t>
      </w:r>
      <w:r>
        <w:rPr>
          <w:rFonts w:hint="eastAsia" w:ascii="仿宋_GB2312" w:hAnsi="仿宋_GB2312" w:eastAsia="仿宋_GB2312" w:cs="仿宋_GB2312"/>
          <w:color w:val="000000"/>
          <w:kern w:val="0"/>
          <w:sz w:val="32"/>
          <w:szCs w:val="32"/>
          <w:highlight w:val="none"/>
        </w:rPr>
        <w:t>为152909.91万元，</w:t>
      </w:r>
      <w:r>
        <w:rPr>
          <w:rFonts w:hint="eastAsia" w:ascii="仿宋_GB2312" w:hAnsi="仿宋_GB2312" w:eastAsia="仿宋_GB2312" w:cs="仿宋_GB2312"/>
          <w:color w:val="000000"/>
          <w:kern w:val="0"/>
          <w:sz w:val="32"/>
          <w:szCs w:val="32"/>
          <w:highlight w:val="none"/>
          <w:lang w:val="en-US" w:eastAsia="zh-CN"/>
        </w:rPr>
        <w:t>核减</w:t>
      </w:r>
      <w:r>
        <w:rPr>
          <w:rFonts w:hint="eastAsia" w:ascii="仿宋_GB2312" w:hAnsi="仿宋_GB2312" w:eastAsia="仿宋_GB2312" w:cs="仿宋_GB2312"/>
          <w:color w:val="000000"/>
          <w:kern w:val="0"/>
          <w:sz w:val="32"/>
          <w:szCs w:val="32"/>
          <w:highlight w:val="none"/>
        </w:rPr>
        <w:t>1306.70万元</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Ⅱ</w:t>
      </w:r>
      <w:r>
        <w:rPr>
          <w:rFonts w:hint="eastAsia" w:ascii="仿宋_GB2312" w:hAnsi="仿宋_GB2312" w:eastAsia="仿宋_GB2312" w:cs="仿宋_GB2312"/>
          <w:color w:val="000000"/>
          <w:kern w:val="0"/>
          <w:sz w:val="32"/>
          <w:szCs w:val="32"/>
          <w:highlight w:val="none"/>
          <w:lang w:val="en-US" w:eastAsia="zh-CN"/>
        </w:rPr>
        <w:t>包送审</w:t>
      </w:r>
      <w:r>
        <w:rPr>
          <w:rFonts w:hint="eastAsia" w:ascii="仿宋_GB2312" w:hAnsi="仿宋_GB2312" w:eastAsia="仿宋_GB2312" w:cs="仿宋_GB2312"/>
          <w:color w:val="000000"/>
          <w:kern w:val="0"/>
          <w:sz w:val="32"/>
          <w:szCs w:val="32"/>
          <w:highlight w:val="none"/>
        </w:rPr>
        <w:t>金额</w:t>
      </w:r>
      <w:r>
        <w:rPr>
          <w:rFonts w:hint="eastAsia" w:ascii="仿宋_GB2312" w:hAnsi="仿宋_GB2312" w:eastAsia="仿宋_GB2312" w:cs="仿宋_GB2312"/>
          <w:color w:val="000000"/>
          <w:kern w:val="0"/>
          <w:sz w:val="32"/>
          <w:szCs w:val="32"/>
          <w:highlight w:val="none"/>
          <w:lang w:val="en-US" w:eastAsia="zh-CN"/>
        </w:rPr>
        <w:t>为</w:t>
      </w:r>
      <w:r>
        <w:rPr>
          <w:rFonts w:hint="eastAsia" w:ascii="仿宋_GB2312" w:hAnsi="仿宋_GB2312" w:eastAsia="仿宋_GB2312" w:cs="仿宋_GB2312"/>
          <w:color w:val="000000"/>
          <w:kern w:val="0"/>
          <w:sz w:val="32"/>
          <w:szCs w:val="32"/>
          <w:highlight w:val="none"/>
        </w:rPr>
        <w:t>134133.84万元，审核金额</w:t>
      </w:r>
      <w:r>
        <w:rPr>
          <w:rFonts w:hint="eastAsia" w:ascii="仿宋_GB2312" w:hAnsi="仿宋_GB2312" w:eastAsia="仿宋_GB2312" w:cs="仿宋_GB2312"/>
          <w:color w:val="000000"/>
          <w:kern w:val="0"/>
          <w:sz w:val="32"/>
          <w:szCs w:val="32"/>
          <w:highlight w:val="none"/>
          <w:lang w:val="en-US" w:eastAsia="zh-CN"/>
        </w:rPr>
        <w:t>为</w:t>
      </w:r>
      <w:r>
        <w:rPr>
          <w:rFonts w:hint="eastAsia" w:ascii="仿宋_GB2312" w:hAnsi="仿宋_GB2312" w:eastAsia="仿宋_GB2312" w:cs="仿宋_GB2312"/>
          <w:color w:val="000000"/>
          <w:kern w:val="0"/>
          <w:sz w:val="32"/>
          <w:szCs w:val="32"/>
          <w:highlight w:val="none"/>
        </w:rPr>
        <w:t>133049.58</w:t>
      </w:r>
      <w:r>
        <w:rPr>
          <w:rFonts w:hint="eastAsia" w:ascii="仿宋_GB2312" w:hAnsi="仿宋_GB2312" w:eastAsia="仿宋_GB2312" w:cs="仿宋_GB2312"/>
          <w:color w:val="000000"/>
          <w:kern w:val="0"/>
          <w:sz w:val="32"/>
          <w:szCs w:val="32"/>
          <w:highlight w:val="none"/>
          <w:lang w:val="en-US" w:eastAsia="zh-CN"/>
        </w:rPr>
        <w:t>万元</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核减</w:t>
      </w:r>
      <w:r>
        <w:rPr>
          <w:rFonts w:hint="eastAsia" w:ascii="仿宋_GB2312" w:hAnsi="仿宋_GB2312" w:eastAsia="仿宋_GB2312" w:cs="仿宋_GB2312"/>
          <w:color w:val="000000"/>
          <w:kern w:val="0"/>
          <w:sz w:val="32"/>
          <w:szCs w:val="32"/>
          <w:highlight w:val="none"/>
        </w:rPr>
        <w:t>1084.26万元</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Ⅲ</w:t>
      </w:r>
      <w:r>
        <w:rPr>
          <w:rFonts w:hint="eastAsia" w:ascii="仿宋_GB2312" w:hAnsi="仿宋_GB2312" w:eastAsia="仿宋_GB2312" w:cs="仿宋_GB2312"/>
          <w:color w:val="000000"/>
          <w:kern w:val="0"/>
          <w:sz w:val="32"/>
          <w:szCs w:val="32"/>
          <w:highlight w:val="none"/>
          <w:lang w:val="en-US" w:eastAsia="zh-CN"/>
        </w:rPr>
        <w:t>包</w:t>
      </w:r>
      <w:r>
        <w:rPr>
          <w:rFonts w:hint="eastAsia" w:ascii="仿宋_GB2312" w:hAnsi="仿宋_GB2312" w:eastAsia="仿宋_GB2312" w:cs="仿宋_GB2312"/>
          <w:color w:val="000000"/>
          <w:kern w:val="0"/>
          <w:sz w:val="32"/>
          <w:szCs w:val="32"/>
          <w:highlight w:val="none"/>
        </w:rPr>
        <w:t>送审金额</w:t>
      </w:r>
      <w:r>
        <w:rPr>
          <w:rFonts w:hint="eastAsia" w:ascii="仿宋_GB2312" w:hAnsi="仿宋_GB2312" w:eastAsia="仿宋_GB2312" w:cs="仿宋_GB2312"/>
          <w:color w:val="000000"/>
          <w:kern w:val="0"/>
          <w:sz w:val="32"/>
          <w:szCs w:val="32"/>
          <w:highlight w:val="none"/>
          <w:lang w:val="en-US" w:eastAsia="zh-CN"/>
        </w:rPr>
        <w:t>为109940.16万元，审核金额为109157.19万元，核减</w:t>
      </w:r>
      <w:r>
        <w:rPr>
          <w:rFonts w:hint="eastAsia" w:ascii="仿宋_GB2312" w:hAnsi="仿宋_GB2312" w:eastAsia="仿宋_GB2312" w:cs="仿宋_GB2312"/>
          <w:color w:val="000000"/>
          <w:kern w:val="0"/>
          <w:sz w:val="32"/>
          <w:szCs w:val="32"/>
          <w:highlight w:val="none"/>
        </w:rPr>
        <w:t>782.97</w:t>
      </w:r>
      <w:r>
        <w:rPr>
          <w:rFonts w:hint="eastAsia" w:ascii="仿宋_GB2312" w:hAnsi="仿宋_GB2312" w:eastAsia="仿宋_GB2312" w:cs="仿宋_GB2312"/>
          <w:color w:val="000000"/>
          <w:kern w:val="0"/>
          <w:sz w:val="32"/>
          <w:szCs w:val="32"/>
          <w:highlight w:val="none"/>
          <w:lang w:val="en-US" w:eastAsia="zh-CN"/>
        </w:rPr>
        <w:t>万元；Ⅳ包送</w:t>
      </w:r>
      <w:r>
        <w:rPr>
          <w:rFonts w:hint="eastAsia" w:ascii="仿宋_GB2312" w:hAnsi="仿宋_GB2312" w:eastAsia="仿宋_GB2312" w:cs="仿宋_GB2312"/>
          <w:color w:val="000000"/>
          <w:kern w:val="0"/>
          <w:sz w:val="32"/>
          <w:szCs w:val="32"/>
          <w:highlight w:val="none"/>
        </w:rPr>
        <w:t>审金额为139075.80万元，</w:t>
      </w:r>
      <w:r>
        <w:rPr>
          <w:rFonts w:hint="eastAsia" w:ascii="仿宋_GB2312" w:hAnsi="仿宋_GB2312" w:eastAsia="仿宋_GB2312" w:cs="仿宋_GB2312"/>
          <w:color w:val="000000"/>
          <w:kern w:val="0"/>
          <w:sz w:val="32"/>
          <w:szCs w:val="32"/>
          <w:highlight w:val="none"/>
          <w:lang w:val="en-US" w:eastAsia="zh-CN"/>
        </w:rPr>
        <w:t>审核</w:t>
      </w:r>
      <w:r>
        <w:rPr>
          <w:rFonts w:hint="eastAsia" w:ascii="仿宋_GB2312" w:hAnsi="仿宋_GB2312" w:eastAsia="仿宋_GB2312" w:cs="仿宋_GB2312"/>
          <w:color w:val="000000"/>
          <w:kern w:val="0"/>
          <w:sz w:val="32"/>
          <w:szCs w:val="32"/>
          <w:highlight w:val="none"/>
        </w:rPr>
        <w:t>金额为138074.6</w:t>
      </w:r>
      <w:r>
        <w:rPr>
          <w:rFonts w:hint="eastAsia" w:ascii="仿宋_GB2312" w:hAnsi="仿宋_GB2312" w:eastAsia="仿宋_GB2312" w:cs="仿宋_GB2312"/>
          <w:color w:val="000000"/>
          <w:kern w:val="0"/>
          <w:sz w:val="32"/>
          <w:szCs w:val="32"/>
          <w:highlight w:val="none"/>
          <w:lang w:val="en-US" w:eastAsia="zh-CN"/>
        </w:rPr>
        <w:t>4</w:t>
      </w:r>
      <w:r>
        <w:rPr>
          <w:rFonts w:hint="eastAsia" w:ascii="仿宋_GB2312" w:hAnsi="仿宋_GB2312" w:eastAsia="仿宋_GB2312" w:cs="仿宋_GB2312"/>
          <w:color w:val="000000"/>
          <w:kern w:val="0"/>
          <w:sz w:val="32"/>
          <w:szCs w:val="32"/>
          <w:highlight w:val="none"/>
        </w:rPr>
        <w:t>万元，</w:t>
      </w:r>
      <w:r>
        <w:rPr>
          <w:rFonts w:hint="eastAsia" w:ascii="仿宋_GB2312" w:hAnsi="仿宋_GB2312" w:eastAsia="仿宋_GB2312" w:cs="仿宋_GB2312"/>
          <w:color w:val="000000"/>
          <w:kern w:val="0"/>
          <w:sz w:val="32"/>
          <w:szCs w:val="32"/>
          <w:highlight w:val="none"/>
          <w:lang w:val="en-US" w:eastAsia="zh-CN"/>
        </w:rPr>
        <w:t>核</w:t>
      </w:r>
      <w:r>
        <w:rPr>
          <w:rFonts w:hint="eastAsia" w:ascii="仿宋_GB2312" w:hAnsi="仿宋_GB2312" w:eastAsia="仿宋_GB2312" w:cs="仿宋_GB2312"/>
          <w:color w:val="000000"/>
          <w:kern w:val="0"/>
          <w:sz w:val="32"/>
          <w:szCs w:val="32"/>
          <w:highlight w:val="none"/>
        </w:rPr>
        <w:t>减1001.16万元</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Ⅴ包送审金额为</w:t>
      </w:r>
      <w:r>
        <w:rPr>
          <w:rFonts w:hint="eastAsia" w:ascii="仿宋_GB2312" w:hAnsi="仿宋_GB2312" w:eastAsia="仿宋_GB2312" w:cs="仿宋_GB2312"/>
          <w:color w:val="000000"/>
          <w:kern w:val="0"/>
          <w:sz w:val="32"/>
          <w:szCs w:val="32"/>
          <w:highlight w:val="none"/>
        </w:rPr>
        <w:t>131464.38</w:t>
      </w:r>
      <w:r>
        <w:rPr>
          <w:rFonts w:hint="eastAsia" w:ascii="仿宋_GB2312" w:hAnsi="仿宋_GB2312" w:eastAsia="仿宋_GB2312" w:cs="仿宋_GB2312"/>
          <w:color w:val="000000"/>
          <w:kern w:val="0"/>
          <w:sz w:val="32"/>
          <w:szCs w:val="32"/>
          <w:highlight w:val="none"/>
          <w:lang w:val="en-US" w:eastAsia="zh-CN"/>
        </w:rPr>
        <w:t>万元</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审核金额为</w:t>
      </w:r>
      <w:r>
        <w:rPr>
          <w:rFonts w:hint="eastAsia" w:ascii="仿宋_GB2312" w:hAnsi="仿宋_GB2312" w:eastAsia="仿宋_GB2312" w:cs="仿宋_GB2312"/>
          <w:color w:val="000000"/>
          <w:kern w:val="0"/>
          <w:sz w:val="32"/>
          <w:szCs w:val="32"/>
          <w:highlight w:val="none"/>
        </w:rPr>
        <w:t>130973.70</w:t>
      </w:r>
      <w:r>
        <w:rPr>
          <w:rFonts w:hint="eastAsia" w:ascii="仿宋_GB2312" w:hAnsi="仿宋_GB2312" w:eastAsia="仿宋_GB2312" w:cs="仿宋_GB2312"/>
          <w:color w:val="000000"/>
          <w:kern w:val="0"/>
          <w:sz w:val="32"/>
          <w:szCs w:val="32"/>
          <w:highlight w:val="none"/>
          <w:lang w:val="en-US" w:eastAsia="zh-CN"/>
        </w:rPr>
        <w:t>万元，核减</w:t>
      </w:r>
      <w:r>
        <w:rPr>
          <w:rFonts w:hint="eastAsia" w:ascii="仿宋_GB2312" w:hAnsi="仿宋_GB2312" w:eastAsia="仿宋_GB2312" w:cs="仿宋_GB2312"/>
          <w:color w:val="000000"/>
          <w:kern w:val="0"/>
          <w:sz w:val="32"/>
          <w:szCs w:val="32"/>
          <w:highlight w:val="none"/>
        </w:rPr>
        <w:t>490.67</w:t>
      </w:r>
      <w:r>
        <w:rPr>
          <w:rFonts w:hint="eastAsia" w:ascii="仿宋_GB2312" w:hAnsi="仿宋_GB2312" w:eastAsia="仿宋_GB2312" w:cs="仿宋_GB2312"/>
          <w:color w:val="000000"/>
          <w:kern w:val="0"/>
          <w:sz w:val="32"/>
          <w:szCs w:val="32"/>
          <w:highlight w:val="none"/>
        </w:rPr>
        <w:footnoteReference w:id="0"/>
      </w:r>
      <w:r>
        <w:rPr>
          <w:rFonts w:hint="eastAsia" w:ascii="仿宋_GB2312" w:hAnsi="仿宋_GB2312" w:eastAsia="仿宋_GB2312" w:cs="仿宋_GB2312"/>
          <w:color w:val="000000"/>
          <w:kern w:val="0"/>
          <w:sz w:val="32"/>
          <w:szCs w:val="32"/>
          <w:highlight w:val="none"/>
          <w:lang w:val="en-US" w:eastAsia="zh-CN"/>
        </w:rPr>
        <w:t>万元。</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default"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评价分析认为：</w:t>
      </w:r>
      <w:r>
        <w:rPr>
          <w:rFonts w:hint="default" w:ascii="仿宋_GB2312" w:hAnsi="仿宋_GB2312" w:eastAsia="仿宋_GB2312" w:cs="仿宋_GB2312"/>
          <w:color w:val="000000"/>
          <w:kern w:val="0"/>
          <w:sz w:val="32"/>
          <w:szCs w:val="32"/>
          <w:highlight w:val="none"/>
        </w:rPr>
        <w:t>该项目</w:t>
      </w:r>
      <w:r>
        <w:rPr>
          <w:rFonts w:hint="default" w:ascii="仿宋_GB2312" w:hAnsi="仿宋_GB2312" w:eastAsia="仿宋_GB2312" w:cs="仿宋_GB2312"/>
          <w:color w:val="000000"/>
          <w:kern w:val="0"/>
          <w:sz w:val="32"/>
          <w:szCs w:val="32"/>
          <w:highlight w:val="none"/>
          <w:lang w:val="en-US" w:eastAsia="zh-CN"/>
        </w:rPr>
        <w:t>送审总金额为</w:t>
      </w:r>
      <w:r>
        <w:rPr>
          <w:rFonts w:hint="default" w:ascii="仿宋_GB2312" w:hAnsi="仿宋_GB2312" w:eastAsia="仿宋_GB2312" w:cs="仿宋_GB2312"/>
          <w:color w:val="000000"/>
          <w:kern w:val="0"/>
          <w:sz w:val="32"/>
          <w:szCs w:val="32"/>
          <w:highlight w:val="none"/>
        </w:rPr>
        <w:t>668830.79</w:t>
      </w:r>
      <w:r>
        <w:rPr>
          <w:rFonts w:hint="default" w:ascii="仿宋_GB2312" w:hAnsi="仿宋_GB2312" w:eastAsia="仿宋_GB2312" w:cs="仿宋_GB2312"/>
          <w:color w:val="000000"/>
          <w:kern w:val="0"/>
          <w:sz w:val="32"/>
          <w:szCs w:val="32"/>
          <w:highlight w:val="none"/>
          <w:lang w:val="en-US" w:eastAsia="zh-CN"/>
        </w:rPr>
        <w:t>万元，</w:t>
      </w:r>
      <w:r>
        <w:rPr>
          <w:rFonts w:hint="default" w:ascii="仿宋_GB2312" w:hAnsi="仿宋_GB2312" w:eastAsia="仿宋_GB2312" w:cs="仿宋_GB2312"/>
          <w:color w:val="000000"/>
          <w:kern w:val="0"/>
          <w:sz w:val="32"/>
          <w:szCs w:val="32"/>
          <w:highlight w:val="none"/>
        </w:rPr>
        <w:t>工作成果为审减金额4665.77万元</w:t>
      </w:r>
      <w:r>
        <w:rPr>
          <w:rFonts w:hint="default" w:ascii="仿宋_GB2312" w:hAnsi="仿宋_GB2312" w:eastAsia="仿宋_GB2312" w:cs="仿宋_GB2312"/>
          <w:color w:val="000000"/>
          <w:kern w:val="0"/>
          <w:sz w:val="32"/>
          <w:szCs w:val="32"/>
          <w:highlight w:val="none"/>
          <w:lang w:val="en-US" w:eastAsia="zh-CN"/>
        </w:rPr>
        <w:t>，</w:t>
      </w:r>
      <w:r>
        <w:rPr>
          <w:rFonts w:hint="default" w:ascii="仿宋_GB2312" w:hAnsi="仿宋_GB2312" w:eastAsia="仿宋_GB2312" w:cs="仿宋_GB2312"/>
          <w:color w:val="000000"/>
          <w:kern w:val="0"/>
          <w:sz w:val="32"/>
          <w:szCs w:val="32"/>
          <w:highlight w:val="none"/>
        </w:rPr>
        <w:t>审减率为0.</w:t>
      </w:r>
      <w:r>
        <w:rPr>
          <w:rFonts w:hint="default" w:ascii="仿宋_GB2312" w:hAnsi="仿宋_GB2312" w:eastAsia="仿宋_GB2312" w:cs="仿宋_GB2312"/>
          <w:color w:val="000000"/>
          <w:kern w:val="0"/>
          <w:sz w:val="32"/>
          <w:szCs w:val="32"/>
          <w:highlight w:val="none"/>
          <w:lang w:eastAsia="zh-CN"/>
        </w:rPr>
        <w:t>7</w:t>
      </w:r>
      <w:r>
        <w:rPr>
          <w:rFonts w:hint="default" w:ascii="仿宋_GB2312" w:hAnsi="仿宋_GB2312" w:eastAsia="仿宋_GB2312" w:cs="仿宋_GB2312"/>
          <w:color w:val="000000"/>
          <w:kern w:val="0"/>
          <w:sz w:val="32"/>
          <w:szCs w:val="32"/>
          <w:highlight w:val="none"/>
          <w:lang w:val="en-US" w:eastAsia="zh-CN"/>
        </w:rPr>
        <w:t>0</w:t>
      </w:r>
      <w:r>
        <w:rPr>
          <w:rFonts w:hint="default" w:ascii="仿宋_GB2312" w:hAnsi="仿宋_GB2312" w:eastAsia="仿宋_GB2312" w:cs="仿宋_GB2312"/>
          <w:color w:val="000000"/>
          <w:kern w:val="0"/>
          <w:sz w:val="32"/>
          <w:szCs w:val="32"/>
          <w:highlight w:val="none"/>
        </w:rPr>
        <w:t>%。</w:t>
      </w:r>
      <w:r>
        <w:rPr>
          <w:rFonts w:hint="eastAsia" w:ascii="仿宋_GB2312" w:hAnsi="仿宋_GB2312" w:eastAsia="仿宋_GB2312" w:cs="仿宋_GB2312"/>
          <w:color w:val="000000"/>
          <w:kern w:val="0"/>
          <w:sz w:val="32"/>
          <w:szCs w:val="32"/>
          <w:highlight w:val="none"/>
          <w:lang w:val="en-US" w:eastAsia="zh-CN"/>
        </w:rPr>
        <w:t>虽然</w:t>
      </w:r>
      <w:r>
        <w:rPr>
          <w:rFonts w:hint="default" w:ascii="仿宋_GB2312" w:hAnsi="仿宋_GB2312" w:eastAsia="仿宋_GB2312" w:cs="仿宋_GB2312"/>
          <w:color w:val="000000"/>
          <w:kern w:val="0"/>
          <w:sz w:val="32"/>
          <w:szCs w:val="32"/>
          <w:highlight w:val="none"/>
        </w:rPr>
        <w:t>审减率</w:t>
      </w:r>
      <w:r>
        <w:rPr>
          <w:rFonts w:hint="eastAsia" w:ascii="仿宋_GB2312" w:hAnsi="仿宋_GB2312" w:eastAsia="仿宋_GB2312" w:cs="仿宋_GB2312"/>
          <w:color w:val="000000"/>
          <w:kern w:val="0"/>
          <w:sz w:val="32"/>
          <w:szCs w:val="32"/>
          <w:highlight w:val="none"/>
          <w:lang w:val="en-US" w:eastAsia="zh-CN"/>
        </w:rPr>
        <w:t>不高，但审减数额较大。通过预审计，使用有限的项目资金，并要求举一反三自查，保障相关项目工程建设资金规范使用，项目经济性良好</w:t>
      </w:r>
      <w:r>
        <w:rPr>
          <w:rFonts w:hint="default" w:ascii="仿宋_GB2312" w:hAnsi="仿宋_GB2312" w:eastAsia="仿宋_GB2312" w:cs="仿宋_GB2312"/>
          <w:color w:val="000000"/>
          <w:kern w:val="0"/>
          <w:sz w:val="32"/>
          <w:szCs w:val="32"/>
          <w:highlight w:val="none"/>
        </w:rPr>
        <w:t>。</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lang w:val="en-US" w:eastAsia="zh-CN"/>
        </w:rPr>
        <w:t>3</w:t>
      </w:r>
      <w:r>
        <w:rPr>
          <w:rFonts w:hint="eastAsia" w:ascii="仿宋_GB2312" w:hAnsi="仿宋_GB2312" w:eastAsia="仿宋_GB2312" w:cs="仿宋_GB2312"/>
          <w:b/>
          <w:bCs w:val="0"/>
          <w:sz w:val="32"/>
          <w:szCs w:val="32"/>
        </w:rPr>
        <w:t>.项目效率性分析</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default" w:ascii="仿宋_GB2312" w:hAnsi="仿宋_GB2312" w:eastAsia="仿宋_GB2312" w:cs="仿宋_GB2312"/>
          <w:color w:val="000000"/>
          <w:kern w:val="0"/>
          <w:sz w:val="32"/>
          <w:szCs w:val="32"/>
          <w:highlight w:val="none"/>
        </w:rPr>
      </w:pPr>
      <w:r>
        <w:rPr>
          <w:rFonts w:hint="default" w:ascii="仿宋_GB2312" w:hAnsi="仿宋_GB2312" w:eastAsia="仿宋_GB2312" w:cs="仿宋_GB2312"/>
          <w:color w:val="000000"/>
          <w:kern w:val="0"/>
          <w:sz w:val="32"/>
          <w:szCs w:val="32"/>
          <w:highlight w:val="none"/>
        </w:rPr>
        <w:t>该项目在执行过程中，与第三方进行了多次的资料对接，双方秉承严谨的工作态度</w:t>
      </w:r>
      <w:r>
        <w:rPr>
          <w:rFonts w:hint="default" w:ascii="仿宋_GB2312" w:hAnsi="仿宋_GB2312" w:eastAsia="仿宋_GB2312" w:cs="仿宋_GB2312"/>
          <w:color w:val="000000"/>
          <w:kern w:val="0"/>
          <w:sz w:val="32"/>
          <w:szCs w:val="32"/>
          <w:highlight w:val="none"/>
          <w:lang w:val="en-US" w:eastAsia="zh-CN"/>
        </w:rPr>
        <w:t>积极沟通</w:t>
      </w:r>
      <w:r>
        <w:rPr>
          <w:rFonts w:hint="eastAsia" w:ascii="仿宋_GB2312" w:hAnsi="仿宋_GB2312" w:eastAsia="仿宋_GB2312" w:cs="仿宋_GB2312"/>
          <w:color w:val="000000"/>
          <w:kern w:val="0"/>
          <w:sz w:val="32"/>
          <w:szCs w:val="32"/>
          <w:highlight w:val="none"/>
          <w:lang w:val="en-US" w:eastAsia="zh-CN"/>
        </w:rPr>
        <w:t>，解决工作推进中遇到的各种问题</w:t>
      </w:r>
      <w:r>
        <w:rPr>
          <w:rFonts w:hint="default" w:ascii="仿宋_GB2312" w:hAnsi="仿宋_GB2312" w:eastAsia="仿宋_GB2312" w:cs="仿宋_GB2312"/>
          <w:color w:val="000000"/>
          <w:kern w:val="0"/>
          <w:sz w:val="32"/>
          <w:szCs w:val="32"/>
          <w:highlight w:val="none"/>
          <w:lang w:val="en-US" w:eastAsia="zh-CN"/>
        </w:rPr>
        <w:t>。</w:t>
      </w:r>
      <w:r>
        <w:rPr>
          <w:rFonts w:hint="eastAsia" w:ascii="仿宋_GB2312" w:hAnsi="仿宋_GB2312" w:eastAsia="仿宋_GB2312" w:cs="仿宋_GB2312"/>
          <w:color w:val="000000"/>
          <w:kern w:val="0"/>
          <w:sz w:val="32"/>
          <w:szCs w:val="32"/>
          <w:highlight w:val="none"/>
        </w:rPr>
        <w:t>截至202</w:t>
      </w:r>
      <w:r>
        <w:rPr>
          <w:rFonts w:hint="default" w:ascii="仿宋_GB2312" w:hAnsi="仿宋_GB2312" w:eastAsia="仿宋_GB2312" w:cs="仿宋_GB2312"/>
          <w:color w:val="000000"/>
          <w:kern w:val="0"/>
          <w:sz w:val="32"/>
          <w:szCs w:val="32"/>
          <w:highlight w:val="none"/>
          <w:lang w:eastAsia="zh-CN"/>
        </w:rPr>
        <w:t>1</w:t>
      </w:r>
      <w:r>
        <w:rPr>
          <w:rFonts w:hint="eastAsia" w:ascii="仿宋_GB2312" w:hAnsi="仿宋_GB2312" w:eastAsia="仿宋_GB2312" w:cs="仿宋_GB2312"/>
          <w:color w:val="000000"/>
          <w:kern w:val="0"/>
          <w:sz w:val="32"/>
          <w:szCs w:val="32"/>
          <w:highlight w:val="none"/>
        </w:rPr>
        <w:t>年12月底，</w:t>
      </w:r>
      <w:r>
        <w:rPr>
          <w:rFonts w:hint="default" w:ascii="仿宋_GB2312" w:hAnsi="仿宋_GB2312" w:eastAsia="仿宋_GB2312" w:cs="仿宋_GB2312"/>
          <w:color w:val="000000"/>
          <w:kern w:val="0"/>
          <w:sz w:val="32"/>
          <w:szCs w:val="32"/>
          <w:highlight w:val="none"/>
        </w:rPr>
        <w:t>财务审计部</w:t>
      </w:r>
      <w:r>
        <w:rPr>
          <w:rFonts w:hint="eastAsia" w:ascii="仿宋_GB2312" w:hAnsi="仿宋_GB2312" w:eastAsia="仿宋_GB2312" w:cs="仿宋_GB2312"/>
          <w:color w:val="000000"/>
          <w:kern w:val="0"/>
          <w:sz w:val="32"/>
          <w:szCs w:val="32"/>
          <w:highlight w:val="none"/>
        </w:rPr>
        <w:t>已按计划</w:t>
      </w:r>
      <w:r>
        <w:rPr>
          <w:rFonts w:hint="eastAsia" w:ascii="仿宋_GB2312" w:hAnsi="仿宋_GB2312" w:eastAsia="仿宋_GB2312" w:cs="仿宋_GB2312"/>
          <w:color w:val="000000"/>
          <w:kern w:val="0"/>
          <w:sz w:val="32"/>
          <w:szCs w:val="32"/>
          <w:highlight w:val="none"/>
          <w:lang w:val="en-US" w:eastAsia="zh-CN"/>
        </w:rPr>
        <w:t>完成了预审计任务，</w:t>
      </w:r>
      <w:r>
        <w:rPr>
          <w:rFonts w:hint="default" w:ascii="仿宋_GB2312" w:hAnsi="仿宋_GB2312" w:eastAsia="仿宋_GB2312" w:cs="仿宋_GB2312"/>
          <w:color w:val="000000"/>
          <w:kern w:val="0"/>
          <w:sz w:val="32"/>
          <w:szCs w:val="32"/>
          <w:highlight w:val="none"/>
        </w:rPr>
        <w:t>形成了预审计结果报告。</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default"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评价分析认为：</w:t>
      </w:r>
      <w:r>
        <w:rPr>
          <w:rFonts w:hint="default" w:ascii="仿宋_GB2312" w:hAnsi="仿宋_GB2312" w:eastAsia="仿宋_GB2312" w:cs="仿宋_GB2312"/>
          <w:color w:val="000000"/>
          <w:kern w:val="0"/>
          <w:sz w:val="32"/>
          <w:szCs w:val="32"/>
          <w:highlight w:val="none"/>
        </w:rPr>
        <w:t>该项目</w:t>
      </w:r>
      <w:r>
        <w:rPr>
          <w:rFonts w:hint="eastAsia" w:ascii="仿宋_GB2312" w:hAnsi="仿宋_GB2312" w:eastAsia="仿宋_GB2312" w:cs="仿宋_GB2312"/>
          <w:color w:val="000000"/>
          <w:kern w:val="0"/>
          <w:sz w:val="32"/>
          <w:szCs w:val="32"/>
          <w:highlight w:val="none"/>
          <w:lang w:val="en-US" w:eastAsia="zh-CN"/>
        </w:rPr>
        <w:t>注重把握工作节奏，把控关键节点，协调配合，序时推进，</w:t>
      </w:r>
      <w:r>
        <w:rPr>
          <w:rFonts w:hint="default" w:ascii="仿宋_GB2312" w:hAnsi="仿宋_GB2312" w:eastAsia="仿宋_GB2312" w:cs="仿宋_GB2312"/>
          <w:color w:val="000000"/>
          <w:kern w:val="0"/>
          <w:sz w:val="32"/>
          <w:szCs w:val="32"/>
          <w:highlight w:val="none"/>
        </w:rPr>
        <w:t>按计划及时完成了年初设定的目标任务。</w:t>
      </w:r>
    </w:p>
    <w:p>
      <w:pPr>
        <w:pStyle w:val="4"/>
        <w:pageBreakBefore w:val="0"/>
        <w:widowControl w:val="0"/>
        <w:numPr>
          <w:ilvl w:val="0"/>
          <w:numId w:val="0"/>
        </w:numPr>
        <w:kinsoku/>
        <w:wordWrap/>
        <w:overflowPunct/>
        <w:topLinePunct w:val="0"/>
        <w:autoSpaceDE/>
        <w:autoSpaceDN/>
        <w:bidi w:val="0"/>
        <w:adjustRightInd w:val="0"/>
        <w:snapToGrid w:val="0"/>
        <w:spacing w:line="560" w:lineRule="exact"/>
        <w:ind w:firstLine="643" w:firstLineChars="200"/>
        <w:jc w:val="both"/>
        <w:textAlignment w:val="auto"/>
        <w:rPr>
          <w:rFonts w:ascii="Times New Roman" w:hAnsi="Times New Roman" w:eastAsia="楷体_GB2312" w:cs="Times New Roman"/>
          <w:bCs w:val="0"/>
          <w:sz w:val="32"/>
        </w:rPr>
      </w:pPr>
      <w:bookmarkStart w:id="129" w:name="_Toc21491"/>
      <w:r>
        <w:rPr>
          <w:rFonts w:hint="eastAsia" w:ascii="Times New Roman" w:hAnsi="Times New Roman" w:eastAsia="楷体_GB2312" w:cs="Times New Roman"/>
          <w:bCs w:val="0"/>
          <w:sz w:val="32"/>
          <w:lang w:eastAsia="zh-CN"/>
        </w:rPr>
        <w:t>（</w:t>
      </w:r>
      <w:r>
        <w:rPr>
          <w:rFonts w:hint="eastAsia" w:ascii="Times New Roman" w:hAnsi="Times New Roman" w:eastAsia="楷体_GB2312" w:cs="Times New Roman"/>
          <w:bCs w:val="0"/>
          <w:sz w:val="32"/>
          <w:lang w:val="en-US" w:eastAsia="zh-CN"/>
        </w:rPr>
        <w:t>四</w:t>
      </w:r>
      <w:r>
        <w:rPr>
          <w:rFonts w:hint="eastAsia" w:ascii="Times New Roman" w:hAnsi="Times New Roman" w:eastAsia="楷体_GB2312" w:cs="Times New Roman"/>
          <w:bCs w:val="0"/>
          <w:sz w:val="32"/>
          <w:lang w:eastAsia="zh-CN"/>
        </w:rPr>
        <w:t>）</w:t>
      </w:r>
      <w:r>
        <w:rPr>
          <w:rFonts w:hint="eastAsia" w:ascii="Times New Roman" w:hAnsi="Times New Roman" w:eastAsia="楷体_GB2312" w:cs="Times New Roman"/>
          <w:bCs w:val="0"/>
          <w:sz w:val="32"/>
          <w:lang w:val="en-US" w:eastAsia="zh-CN"/>
        </w:rPr>
        <w:t>项目</w:t>
      </w:r>
      <w:r>
        <w:rPr>
          <w:rFonts w:ascii="Times New Roman" w:hAnsi="Times New Roman" w:eastAsia="楷体_GB2312" w:cs="Times New Roman"/>
          <w:bCs w:val="0"/>
          <w:sz w:val="32"/>
        </w:rPr>
        <w:t>效益情况</w:t>
      </w:r>
      <w:bookmarkEnd w:id="121"/>
      <w:bookmarkEnd w:id="122"/>
      <w:bookmarkEnd w:id="123"/>
      <w:bookmarkEnd w:id="124"/>
      <w:bookmarkEnd w:id="125"/>
      <w:bookmarkEnd w:id="126"/>
      <w:bookmarkEnd w:id="127"/>
      <w:bookmarkEnd w:id="128"/>
      <w:bookmarkEnd w:id="129"/>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color w:val="000000"/>
          <w:kern w:val="0"/>
          <w:sz w:val="32"/>
          <w:szCs w:val="32"/>
          <w:highlight w:val="none"/>
          <w:lang w:val="en-US" w:eastAsia="zh-CN"/>
        </w:rPr>
      </w:pPr>
      <w:bookmarkStart w:id="130" w:name="_Toc15382"/>
      <w:r>
        <w:rPr>
          <w:rFonts w:hint="eastAsia" w:ascii="仿宋_GB2312" w:hAnsi="仿宋_GB2312" w:eastAsia="仿宋_GB2312" w:cs="仿宋_GB2312"/>
          <w:b/>
          <w:bCs/>
          <w:color w:val="000000"/>
          <w:kern w:val="0"/>
          <w:sz w:val="32"/>
          <w:szCs w:val="32"/>
          <w:highlight w:val="none"/>
          <w:lang w:val="en-US" w:eastAsia="zh-CN"/>
        </w:rPr>
        <w:t>1.</w:t>
      </w:r>
      <w:r>
        <w:rPr>
          <w:rFonts w:hint="eastAsia" w:ascii="仿宋_GB2312" w:hAnsi="仿宋_GB2312" w:eastAsia="仿宋_GB2312" w:cs="仿宋_GB2312"/>
          <w:b/>
          <w:bCs/>
          <w:color w:val="000000"/>
          <w:kern w:val="0"/>
          <w:sz w:val="32"/>
          <w:szCs w:val="32"/>
          <w:highlight w:val="none"/>
        </w:rPr>
        <w:t>社会效益和可持续影响</w:t>
      </w:r>
      <w:r>
        <w:rPr>
          <w:rFonts w:hint="eastAsia" w:ascii="仿宋_GB2312" w:hAnsi="仿宋_GB2312" w:eastAsia="仿宋_GB2312" w:cs="仿宋_GB2312"/>
          <w:b/>
          <w:bCs/>
          <w:color w:val="000000"/>
          <w:kern w:val="0"/>
          <w:sz w:val="32"/>
          <w:szCs w:val="32"/>
          <w:highlight w:val="none"/>
          <w:lang w:val="en-US" w:eastAsia="zh-CN"/>
        </w:rPr>
        <w:t>分析</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color w:val="000000"/>
          <w:kern w:val="0"/>
          <w:sz w:val="32"/>
          <w:szCs w:val="32"/>
          <w:highlight w:val="none"/>
        </w:rPr>
        <w:t>该项目</w:t>
      </w:r>
      <w:r>
        <w:rPr>
          <w:rFonts w:hint="eastAsia" w:ascii="仿宋_GB2312" w:hAnsi="仿宋_GB2312" w:eastAsia="仿宋_GB2312" w:cs="仿宋_GB2312"/>
          <w:color w:val="000000"/>
          <w:kern w:val="0"/>
          <w:sz w:val="32"/>
          <w:szCs w:val="32"/>
          <w:highlight w:val="none"/>
          <w:lang w:val="en-US" w:eastAsia="zh-CN"/>
        </w:rPr>
        <w:t>的实施</w:t>
      </w:r>
      <w:r>
        <w:rPr>
          <w:rFonts w:hint="eastAsia" w:ascii="仿宋_GB2312" w:hAnsi="仿宋_GB2312" w:eastAsia="仿宋_GB2312" w:cs="仿宋_GB2312"/>
          <w:color w:val="000000"/>
          <w:kern w:val="0"/>
          <w:sz w:val="32"/>
          <w:szCs w:val="32"/>
          <w:highlight w:val="none"/>
        </w:rPr>
        <w:t>，</w:t>
      </w:r>
      <w:r>
        <w:rPr>
          <w:rFonts w:hint="default" w:ascii="仿宋_GB2312" w:hAnsi="仿宋_GB2312" w:eastAsia="仿宋_GB2312" w:cs="仿宋_GB2312"/>
          <w:color w:val="000000"/>
          <w:kern w:val="0"/>
          <w:sz w:val="32"/>
          <w:szCs w:val="32"/>
          <w:highlight w:val="none"/>
        </w:rPr>
        <w:t>提高了结算编审工作质量，保障了</w:t>
      </w:r>
      <w:r>
        <w:rPr>
          <w:rFonts w:hint="eastAsia" w:ascii="仿宋_GB2312" w:hAnsi="仿宋_GB2312" w:eastAsia="仿宋_GB2312" w:cs="仿宋_GB2312"/>
          <w:color w:val="000000"/>
          <w:kern w:val="0"/>
          <w:sz w:val="32"/>
          <w:szCs w:val="32"/>
          <w:highlight w:val="none"/>
          <w:lang w:val="en-US" w:eastAsia="zh-CN"/>
        </w:rPr>
        <w:t>工程建设资金的合规使用</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对于</w:t>
      </w:r>
      <w:r>
        <w:rPr>
          <w:rFonts w:hint="default" w:ascii="仿宋_GB2312" w:hAnsi="仿宋_GB2312" w:eastAsia="仿宋_GB2312" w:cs="仿宋_GB2312"/>
          <w:color w:val="000000"/>
          <w:kern w:val="0"/>
          <w:sz w:val="32"/>
          <w:szCs w:val="32"/>
          <w:highlight w:val="none"/>
        </w:rPr>
        <w:t>提高结算效率</w:t>
      </w:r>
      <w:r>
        <w:rPr>
          <w:rFonts w:hint="eastAsia" w:ascii="仿宋_GB2312" w:hAnsi="仿宋_GB2312" w:eastAsia="仿宋_GB2312" w:cs="仿宋_GB2312"/>
          <w:color w:val="000000"/>
          <w:kern w:val="0"/>
          <w:sz w:val="32"/>
          <w:szCs w:val="32"/>
          <w:highlight w:val="none"/>
          <w:lang w:eastAsia="zh-CN"/>
        </w:rPr>
        <w:t>、</w:t>
      </w:r>
      <w:r>
        <w:rPr>
          <w:rFonts w:hint="default" w:ascii="仿宋_GB2312" w:hAnsi="仿宋_GB2312" w:eastAsia="仿宋_GB2312" w:cs="仿宋_GB2312"/>
          <w:color w:val="000000"/>
          <w:kern w:val="0"/>
          <w:sz w:val="32"/>
          <w:szCs w:val="32"/>
          <w:highlight w:val="none"/>
        </w:rPr>
        <w:t>有效降低风险</w:t>
      </w:r>
      <w:r>
        <w:rPr>
          <w:rFonts w:hint="eastAsia" w:ascii="仿宋_GB2312" w:hAnsi="仿宋_GB2312" w:eastAsia="仿宋_GB2312" w:cs="仿宋_GB2312"/>
          <w:color w:val="000000"/>
          <w:kern w:val="0"/>
          <w:sz w:val="32"/>
          <w:szCs w:val="32"/>
          <w:highlight w:val="none"/>
          <w:lang w:val="en-US" w:eastAsia="zh-CN"/>
        </w:rPr>
        <w:t>成效明显</w:t>
      </w:r>
      <w:r>
        <w:rPr>
          <w:rFonts w:hint="default" w:ascii="仿宋_GB2312" w:hAnsi="仿宋_GB2312" w:eastAsia="仿宋_GB2312" w:cs="仿宋_GB2312"/>
          <w:color w:val="000000"/>
          <w:kern w:val="0"/>
          <w:sz w:val="32"/>
          <w:szCs w:val="32"/>
          <w:highlight w:val="none"/>
        </w:rPr>
        <w:t>。通过对预审计中发现的问题及时整改，保障项目后期更加规范</w:t>
      </w:r>
      <w:r>
        <w:rPr>
          <w:rFonts w:hint="eastAsia" w:ascii="仿宋_GB2312" w:hAnsi="仿宋_GB2312" w:eastAsia="仿宋_GB2312" w:cs="仿宋_GB2312"/>
          <w:color w:val="000000"/>
          <w:kern w:val="0"/>
          <w:sz w:val="32"/>
          <w:szCs w:val="32"/>
          <w:highlight w:val="none"/>
          <w:lang w:val="en-US" w:eastAsia="zh-CN"/>
        </w:rPr>
        <w:t>地</w:t>
      </w:r>
      <w:r>
        <w:rPr>
          <w:rFonts w:hint="default" w:ascii="仿宋_GB2312" w:hAnsi="仿宋_GB2312" w:eastAsia="仿宋_GB2312" w:cs="仿宋_GB2312"/>
          <w:color w:val="000000"/>
          <w:kern w:val="0"/>
          <w:sz w:val="32"/>
          <w:szCs w:val="32"/>
          <w:highlight w:val="none"/>
        </w:rPr>
        <w:t>开展</w:t>
      </w:r>
      <w:r>
        <w:rPr>
          <w:rFonts w:hint="eastAsia" w:ascii="仿宋_GB2312" w:hAnsi="仿宋_GB2312" w:eastAsia="仿宋_GB2312" w:cs="仿宋_GB2312"/>
          <w:color w:val="000000"/>
          <w:kern w:val="0"/>
          <w:sz w:val="32"/>
          <w:szCs w:val="32"/>
          <w:highlight w:val="none"/>
          <w:lang w:eastAsia="zh-CN"/>
        </w:rPr>
        <w:t>。</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评价分析认为：该项目实施</w:t>
      </w:r>
      <w:r>
        <w:rPr>
          <w:rFonts w:hint="default" w:ascii="Times New Roman" w:hAnsi="Times New Roman" w:eastAsia="仿宋_GB2312" w:cs="Times New Roman"/>
          <w:color w:val="000000"/>
          <w:kern w:val="0"/>
          <w:sz w:val="32"/>
          <w:szCs w:val="32"/>
        </w:rPr>
        <w:t>具有良好的</w:t>
      </w:r>
      <w:r>
        <w:rPr>
          <w:rFonts w:ascii="Times New Roman" w:hAnsi="Times New Roman" w:eastAsia="仿宋_GB2312" w:cs="Times New Roman"/>
          <w:color w:val="000000"/>
          <w:kern w:val="0"/>
          <w:sz w:val="32"/>
          <w:szCs w:val="32"/>
        </w:rPr>
        <w:t>社会效</w:t>
      </w:r>
      <w:r>
        <w:rPr>
          <w:rFonts w:hint="default" w:ascii="Times New Roman" w:hAnsi="Times New Roman" w:eastAsia="仿宋_GB2312" w:cs="Times New Roman"/>
          <w:color w:val="000000"/>
          <w:kern w:val="0"/>
          <w:sz w:val="32"/>
          <w:szCs w:val="32"/>
        </w:rPr>
        <w:t>益</w:t>
      </w:r>
      <w:r>
        <w:rPr>
          <w:rFonts w:ascii="Times New Roman" w:hAnsi="Times New Roman" w:eastAsia="仿宋_GB2312" w:cs="Times New Roman"/>
          <w:color w:val="000000"/>
          <w:kern w:val="0"/>
          <w:sz w:val="32"/>
          <w:szCs w:val="32"/>
        </w:rPr>
        <w:t>，</w:t>
      </w:r>
      <w:r>
        <w:rPr>
          <w:rFonts w:hint="default" w:ascii="Times New Roman" w:hAnsi="Times New Roman" w:eastAsia="仿宋_GB2312" w:cs="Times New Roman"/>
          <w:color w:val="000000"/>
          <w:kern w:val="0"/>
          <w:sz w:val="32"/>
          <w:szCs w:val="32"/>
        </w:rPr>
        <w:t>且对今后扩大预审计结算覆盖面，</w:t>
      </w:r>
      <w:r>
        <w:rPr>
          <w:rFonts w:ascii="Times New Roman" w:hAnsi="Times New Roman" w:eastAsia="仿宋_GB2312" w:cs="Times New Roman"/>
          <w:color w:val="000000"/>
          <w:kern w:val="0"/>
          <w:sz w:val="32"/>
          <w:szCs w:val="32"/>
        </w:rPr>
        <w:t>具有较好的可持续性</w:t>
      </w:r>
      <w:r>
        <w:rPr>
          <w:rFonts w:hint="default" w:ascii="Times New Roman" w:hAnsi="Times New Roman" w:eastAsia="仿宋_GB2312" w:cs="Times New Roman"/>
          <w:color w:val="000000"/>
          <w:kern w:val="0"/>
          <w:sz w:val="32"/>
          <w:szCs w:val="32"/>
        </w:rPr>
        <w:t>影响</w:t>
      </w:r>
      <w:r>
        <w:rPr>
          <w:rFonts w:ascii="Times New Roman" w:hAnsi="Times New Roman" w:eastAsia="仿宋_GB2312" w:cs="Times New Roman"/>
          <w:color w:val="000000"/>
          <w:kern w:val="0"/>
          <w:sz w:val="32"/>
          <w:szCs w:val="32"/>
        </w:rPr>
        <w:t xml:space="preserve">。 </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b/>
          <w:bCs/>
          <w:color w:val="000000"/>
          <w:kern w:val="0"/>
          <w:sz w:val="32"/>
          <w:szCs w:val="32"/>
          <w:highlight w:val="none"/>
          <w:lang w:val="en-US" w:eastAsia="zh-CN"/>
        </w:rPr>
      </w:pPr>
      <w:r>
        <w:rPr>
          <w:rFonts w:hint="eastAsia" w:ascii="仿宋_GB2312" w:hAnsi="仿宋_GB2312" w:eastAsia="仿宋_GB2312" w:cs="仿宋_GB2312"/>
          <w:b/>
          <w:bCs/>
          <w:color w:val="000000"/>
          <w:kern w:val="0"/>
          <w:sz w:val="32"/>
          <w:szCs w:val="32"/>
          <w:highlight w:val="none"/>
          <w:lang w:val="en-US" w:eastAsia="zh-CN"/>
        </w:rPr>
        <w:t>2.服务对象满意度分析</w:t>
      </w:r>
    </w:p>
    <w:bookmarkEnd w:id="130"/>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color w:val="000000"/>
          <w:kern w:val="0"/>
          <w:sz w:val="32"/>
          <w:szCs w:val="32"/>
          <w:highlight w:val="none"/>
        </w:rPr>
      </w:pPr>
      <w:bookmarkStart w:id="131" w:name="_Toc19455"/>
      <w:bookmarkStart w:id="132" w:name="_Toc23399"/>
      <w:r>
        <w:rPr>
          <w:rFonts w:hint="default" w:ascii="仿宋_GB2312" w:hAnsi="仿宋_GB2312" w:eastAsia="仿宋_GB2312" w:cs="仿宋_GB2312"/>
          <w:color w:val="000000"/>
          <w:kern w:val="0"/>
          <w:sz w:val="32"/>
          <w:szCs w:val="32"/>
          <w:highlight w:val="none"/>
        </w:rPr>
        <w:t>该</w:t>
      </w:r>
      <w:r>
        <w:rPr>
          <w:rFonts w:hint="eastAsia" w:ascii="仿宋_GB2312" w:hAnsi="仿宋_GB2312" w:eastAsia="仿宋_GB2312" w:cs="仿宋_GB2312"/>
          <w:color w:val="000000"/>
          <w:kern w:val="0"/>
          <w:sz w:val="32"/>
          <w:szCs w:val="32"/>
          <w:highlight w:val="none"/>
        </w:rPr>
        <w:t>项目</w:t>
      </w:r>
      <w:r>
        <w:rPr>
          <w:rFonts w:hint="default" w:ascii="仿宋_GB2312" w:hAnsi="仿宋_GB2312" w:eastAsia="仿宋_GB2312" w:cs="仿宋_GB2312"/>
          <w:color w:val="000000"/>
          <w:kern w:val="0"/>
          <w:sz w:val="32"/>
          <w:szCs w:val="32"/>
          <w:highlight w:val="none"/>
        </w:rPr>
        <w:t>具有特定的服务对象</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color w:val="000000"/>
          <w:kern w:val="0"/>
          <w:sz w:val="32"/>
          <w:szCs w:val="32"/>
          <w:highlight w:val="none"/>
          <w:lang w:val="en-US" w:eastAsia="zh-CN"/>
        </w:rPr>
        <w:t>主管部门根据项目特点设计调查问卷，</w:t>
      </w:r>
      <w:r>
        <w:rPr>
          <w:rFonts w:hint="default" w:ascii="仿宋_GB2312" w:hAnsi="仿宋_GB2312" w:eastAsia="仿宋_GB2312" w:cs="仿宋_GB2312"/>
          <w:color w:val="000000"/>
          <w:kern w:val="0"/>
          <w:sz w:val="32"/>
          <w:szCs w:val="32"/>
          <w:highlight w:val="none"/>
          <w:lang w:val="en-US" w:eastAsia="zh-CN"/>
        </w:rPr>
        <w:t>进行了满意度调查</w:t>
      </w:r>
      <w:r>
        <w:rPr>
          <w:rFonts w:hint="eastAsia" w:ascii="仿宋_GB2312" w:hAnsi="仿宋_GB2312" w:eastAsia="仿宋_GB2312" w:cs="仿宋_GB2312"/>
          <w:color w:val="000000"/>
          <w:kern w:val="0"/>
          <w:sz w:val="32"/>
          <w:szCs w:val="32"/>
          <w:highlight w:val="none"/>
          <w:lang w:val="en-US" w:eastAsia="zh-CN"/>
        </w:rPr>
        <w:t>。共发放和收回调查问卷25份、涉及内容175项，满意率为100%，其中很满意占68.57%，比较满意占31.43%</w:t>
      </w:r>
      <w:r>
        <w:rPr>
          <w:rFonts w:hint="eastAsia" w:ascii="仿宋_GB2312" w:hAnsi="仿宋_GB2312" w:eastAsia="仿宋_GB2312" w:cs="仿宋_GB2312"/>
          <w:color w:val="000000"/>
          <w:kern w:val="0"/>
          <w:sz w:val="32"/>
          <w:szCs w:val="32"/>
          <w:highlight w:val="none"/>
        </w:rPr>
        <w:t>。</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default"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评价分析认为：</w:t>
      </w:r>
      <w:r>
        <w:rPr>
          <w:rFonts w:hint="default" w:ascii="仿宋_GB2312" w:hAnsi="仿宋_GB2312" w:eastAsia="仿宋_GB2312" w:cs="仿宋_GB2312"/>
          <w:color w:val="000000"/>
          <w:kern w:val="0"/>
          <w:sz w:val="32"/>
          <w:szCs w:val="32"/>
          <w:highlight w:val="none"/>
        </w:rPr>
        <w:t>该项目开展了满意度调查，如实</w:t>
      </w:r>
      <w:r>
        <w:rPr>
          <w:rFonts w:hint="eastAsia" w:ascii="仿宋_GB2312" w:hAnsi="仿宋_GB2312" w:eastAsia="仿宋_GB2312" w:cs="仿宋_GB2312"/>
          <w:color w:val="000000"/>
          <w:kern w:val="0"/>
          <w:sz w:val="32"/>
          <w:szCs w:val="32"/>
          <w:highlight w:val="none"/>
          <w:lang w:eastAsia="zh-CN"/>
        </w:rPr>
        <w:t>反映</w:t>
      </w:r>
      <w:r>
        <w:rPr>
          <w:rFonts w:hint="default" w:ascii="仿宋_GB2312" w:hAnsi="仿宋_GB2312" w:eastAsia="仿宋_GB2312" w:cs="仿宋_GB2312"/>
          <w:color w:val="000000"/>
          <w:kern w:val="0"/>
          <w:sz w:val="32"/>
          <w:szCs w:val="32"/>
          <w:highlight w:val="none"/>
        </w:rPr>
        <w:t>了成果应用效益</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相关人员满意度较高</w:t>
      </w:r>
      <w:r>
        <w:rPr>
          <w:rFonts w:hint="default" w:ascii="仿宋_GB2312" w:hAnsi="仿宋_GB2312" w:eastAsia="仿宋_GB2312" w:cs="仿宋_GB2312"/>
          <w:color w:val="000000"/>
          <w:kern w:val="0"/>
          <w:sz w:val="32"/>
          <w:szCs w:val="32"/>
          <w:highlight w:val="none"/>
        </w:rPr>
        <w:t>。</w:t>
      </w:r>
    </w:p>
    <w:p>
      <w:pPr>
        <w:pageBreakBefore w:val="0"/>
        <w:widowControl w:val="0"/>
        <w:kinsoku/>
        <w:wordWrap/>
        <w:overflowPunct/>
        <w:topLinePunct w:val="0"/>
        <w:autoSpaceDE/>
        <w:autoSpaceDN/>
        <w:bidi w:val="0"/>
        <w:adjustRightInd w:val="0"/>
        <w:snapToGrid w:val="0"/>
        <w:spacing w:line="560" w:lineRule="exact"/>
        <w:ind w:firstLine="640"/>
        <w:textAlignment w:val="auto"/>
        <w:outlineLvl w:val="0"/>
        <w:rPr>
          <w:rFonts w:ascii="Times New Roman" w:hAnsi="Times New Roman" w:eastAsia="仿宋_GB2312" w:cs="Times New Roman"/>
          <w:bCs/>
          <w:sz w:val="32"/>
          <w:szCs w:val="32"/>
        </w:rPr>
      </w:pPr>
      <w:bookmarkStart w:id="133" w:name="_Toc13755"/>
      <w:bookmarkStart w:id="134" w:name="_Toc16722"/>
      <w:bookmarkStart w:id="135" w:name="_Toc1780787296"/>
      <w:bookmarkStart w:id="136" w:name="_Toc22214"/>
      <w:bookmarkStart w:id="137" w:name="_Toc15008"/>
      <w:bookmarkStart w:id="138" w:name="_Toc1932078701_WPSOffice_Level1"/>
      <w:bookmarkStart w:id="139" w:name="_Toc14467"/>
      <w:r>
        <w:rPr>
          <w:rFonts w:ascii="Times New Roman" w:hAnsi="Times New Roman" w:eastAsia="黑体" w:cs="Times New Roman"/>
          <w:bCs/>
          <w:sz w:val="32"/>
          <w:szCs w:val="32"/>
        </w:rPr>
        <w:t>五、主要</w:t>
      </w:r>
      <w:bookmarkEnd w:id="131"/>
      <w:bookmarkEnd w:id="132"/>
      <w:r>
        <w:rPr>
          <w:rFonts w:ascii="Times New Roman" w:hAnsi="Times New Roman" w:eastAsia="黑体" w:cs="Times New Roman"/>
          <w:bCs/>
          <w:sz w:val="32"/>
          <w:szCs w:val="32"/>
        </w:rPr>
        <w:t>经验及做法、存在的问题及原因分析</w:t>
      </w:r>
      <w:bookmarkEnd w:id="133"/>
      <w:bookmarkEnd w:id="134"/>
      <w:bookmarkEnd w:id="135"/>
      <w:bookmarkEnd w:id="136"/>
      <w:bookmarkEnd w:id="137"/>
      <w:bookmarkEnd w:id="138"/>
      <w:bookmarkEnd w:id="139"/>
      <w:bookmarkStart w:id="140" w:name="_Toc12899"/>
    </w:p>
    <w:p>
      <w:pPr>
        <w:pageBreakBefore w:val="0"/>
        <w:widowControl w:val="0"/>
        <w:kinsoku/>
        <w:wordWrap/>
        <w:overflowPunct/>
        <w:topLinePunct w:val="0"/>
        <w:autoSpaceDE/>
        <w:autoSpaceDN/>
        <w:bidi w:val="0"/>
        <w:adjustRightInd w:val="0"/>
        <w:snapToGrid w:val="0"/>
        <w:spacing w:line="560" w:lineRule="exact"/>
        <w:ind w:firstLine="640"/>
        <w:textAlignment w:val="auto"/>
        <w:outlineLvl w:val="1"/>
        <w:rPr>
          <w:rFonts w:ascii="Times New Roman" w:hAnsi="Times New Roman" w:eastAsia="楷体_GB2312" w:cs="Times New Roman"/>
          <w:bCs/>
          <w:sz w:val="32"/>
          <w:szCs w:val="32"/>
        </w:rPr>
      </w:pPr>
      <w:bookmarkStart w:id="141" w:name="_Toc346501420_WPSOffice_Level2"/>
      <w:bookmarkStart w:id="142" w:name="_Toc212495633"/>
      <w:bookmarkStart w:id="143" w:name="_Toc18245"/>
      <w:bookmarkStart w:id="144" w:name="_Toc13817"/>
      <w:bookmarkStart w:id="145" w:name="_Toc22706"/>
      <w:bookmarkStart w:id="146" w:name="_Toc17483"/>
      <w:bookmarkStart w:id="147" w:name="_Toc13924"/>
      <w:r>
        <w:rPr>
          <w:rFonts w:ascii="Times New Roman" w:hAnsi="Times New Roman" w:eastAsia="楷体_GB2312" w:cs="Times New Roman"/>
          <w:b/>
          <w:bCs/>
          <w:kern w:val="0"/>
          <w:sz w:val="32"/>
          <w:szCs w:val="32"/>
        </w:rPr>
        <w:t>（一）主要经验及做法</w:t>
      </w:r>
      <w:bookmarkEnd w:id="141"/>
      <w:bookmarkEnd w:id="142"/>
      <w:bookmarkEnd w:id="143"/>
      <w:bookmarkEnd w:id="144"/>
      <w:bookmarkEnd w:id="145"/>
      <w:bookmarkEnd w:id="146"/>
      <w:bookmarkEnd w:id="147"/>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default" w:ascii="仿宋_GB2312" w:hAnsi="仿宋_GB2312" w:eastAsia="仿宋_GB2312" w:cs="仿宋_GB2312"/>
          <w:color w:val="000000"/>
          <w:kern w:val="0"/>
          <w:sz w:val="32"/>
          <w:szCs w:val="32"/>
          <w:highlight w:val="none"/>
        </w:rPr>
      </w:pPr>
      <w:bookmarkStart w:id="148" w:name="_Toc148798870"/>
      <w:r>
        <w:rPr>
          <w:rFonts w:hint="eastAsia" w:ascii="仿宋_GB2312" w:hAnsi="仿宋_GB2312" w:eastAsia="仿宋_GB2312" w:cs="仿宋_GB2312"/>
          <w:b/>
          <w:bCs/>
          <w:color w:val="000000"/>
          <w:kern w:val="0"/>
          <w:sz w:val="32"/>
          <w:szCs w:val="32"/>
          <w:highlight w:val="none"/>
          <w:lang w:val="en-US" w:eastAsia="zh-CN"/>
        </w:rPr>
        <w:t>1</w:t>
      </w:r>
      <w:r>
        <w:rPr>
          <w:rFonts w:hint="default"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lang w:val="en-US" w:eastAsia="zh-CN"/>
        </w:rPr>
        <w:t>注重预防在先，审计监督关口前移</w:t>
      </w:r>
      <w:r>
        <w:rPr>
          <w:rFonts w:hint="eastAsia" w:ascii="仿宋_GB2312" w:hAnsi="仿宋_GB2312" w:eastAsia="仿宋_GB2312" w:cs="仿宋_GB2312"/>
          <w:color w:val="000000"/>
          <w:kern w:val="0"/>
          <w:sz w:val="32"/>
          <w:szCs w:val="32"/>
          <w:highlight w:val="none"/>
          <w:lang w:val="en-US" w:eastAsia="zh-CN"/>
        </w:rPr>
        <w:t>。</w:t>
      </w:r>
      <w:r>
        <w:rPr>
          <w:rFonts w:hint="default" w:ascii="仿宋_GB2312" w:hAnsi="仿宋_GB2312" w:eastAsia="仿宋_GB2312" w:cs="仿宋_GB2312"/>
          <w:color w:val="000000"/>
          <w:kern w:val="0"/>
          <w:sz w:val="32"/>
          <w:szCs w:val="32"/>
          <w:highlight w:val="none"/>
        </w:rPr>
        <w:t>工程结算预审计是结合</w:t>
      </w:r>
      <w:r>
        <w:rPr>
          <w:rFonts w:hint="eastAsia" w:ascii="仿宋_GB2312" w:hAnsi="仿宋_GB2312" w:eastAsia="仿宋_GB2312" w:cs="仿宋_GB2312"/>
          <w:color w:val="000000"/>
          <w:kern w:val="0"/>
          <w:sz w:val="32"/>
          <w:szCs w:val="32"/>
          <w:highlight w:val="none"/>
          <w:lang w:val="en-US" w:eastAsia="zh-CN"/>
        </w:rPr>
        <w:t>工程建设</w:t>
      </w:r>
      <w:r>
        <w:rPr>
          <w:rFonts w:hint="default" w:ascii="仿宋_GB2312" w:hAnsi="仿宋_GB2312" w:eastAsia="仿宋_GB2312" w:cs="仿宋_GB2312"/>
          <w:color w:val="000000"/>
          <w:kern w:val="0"/>
          <w:sz w:val="32"/>
          <w:szCs w:val="32"/>
          <w:highlight w:val="none"/>
        </w:rPr>
        <w:t>特点，在工程结算环节增加的创新性工作方式</w:t>
      </w:r>
      <w:r>
        <w:rPr>
          <w:rFonts w:hint="eastAsia" w:ascii="仿宋_GB2312" w:hAnsi="仿宋_GB2312" w:eastAsia="仿宋_GB2312" w:cs="仿宋_GB2312"/>
          <w:color w:val="000000"/>
          <w:kern w:val="0"/>
          <w:sz w:val="32"/>
          <w:szCs w:val="32"/>
          <w:highlight w:val="none"/>
          <w:lang w:eastAsia="zh-CN"/>
        </w:rPr>
        <w:t>。</w:t>
      </w:r>
      <w:r>
        <w:rPr>
          <w:rFonts w:hint="default" w:ascii="仿宋_GB2312" w:hAnsi="仿宋_GB2312" w:eastAsia="仿宋_GB2312" w:cs="仿宋_GB2312"/>
          <w:color w:val="000000"/>
          <w:kern w:val="0"/>
          <w:sz w:val="32"/>
          <w:szCs w:val="32"/>
          <w:highlight w:val="none"/>
        </w:rPr>
        <w:t>委托第三方审计单位对工程招标采购、施工管理、进度款支付、变更（洽商）控制等进行监督检查，提前发现并解决问题，提升工程结算质量，提高资金支付质量，降低工程结算风险</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有效</w:t>
      </w:r>
      <w:r>
        <w:rPr>
          <w:rFonts w:hint="default" w:ascii="仿宋_GB2312" w:hAnsi="仿宋_GB2312" w:eastAsia="仿宋_GB2312" w:cs="仿宋_GB2312"/>
          <w:color w:val="000000"/>
          <w:kern w:val="0"/>
          <w:sz w:val="32"/>
          <w:szCs w:val="32"/>
          <w:highlight w:val="none"/>
        </w:rPr>
        <w:t>发挥了“治已病</w:t>
      </w:r>
      <w:r>
        <w:rPr>
          <w:rFonts w:hint="eastAsia" w:ascii="仿宋_GB2312" w:hAnsi="仿宋_GB2312" w:eastAsia="仿宋_GB2312" w:cs="仿宋_GB2312"/>
          <w:color w:val="000000"/>
          <w:kern w:val="0"/>
          <w:sz w:val="32"/>
          <w:szCs w:val="32"/>
          <w:highlight w:val="none"/>
          <w:lang w:eastAsia="zh-CN"/>
        </w:rPr>
        <w:t>、</w:t>
      </w:r>
      <w:r>
        <w:rPr>
          <w:rFonts w:hint="default" w:ascii="仿宋_GB2312" w:hAnsi="仿宋_GB2312" w:eastAsia="仿宋_GB2312" w:cs="仿宋_GB2312"/>
          <w:color w:val="000000"/>
          <w:kern w:val="0"/>
          <w:sz w:val="32"/>
          <w:szCs w:val="32"/>
          <w:highlight w:val="none"/>
        </w:rPr>
        <w:t>防未病”的内部审计监督作用。</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default"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000000"/>
          <w:kern w:val="0"/>
          <w:sz w:val="32"/>
          <w:szCs w:val="32"/>
          <w:highlight w:val="none"/>
          <w:lang w:val="en-US" w:eastAsia="zh-CN"/>
        </w:rPr>
        <w:t>2</w:t>
      </w:r>
      <w:r>
        <w:rPr>
          <w:rFonts w:hint="default" w:ascii="仿宋_GB2312" w:hAnsi="仿宋_GB2312" w:eastAsia="仿宋_GB2312" w:cs="仿宋_GB2312"/>
          <w:b/>
          <w:bCs/>
          <w:color w:val="000000"/>
          <w:kern w:val="0"/>
          <w:sz w:val="32"/>
          <w:szCs w:val="32"/>
          <w:highlight w:val="none"/>
        </w:rPr>
        <w:t>.</w:t>
      </w:r>
      <w:r>
        <w:rPr>
          <w:rFonts w:hint="eastAsia" w:ascii="仿宋_GB2312" w:hAnsi="仿宋_GB2312" w:eastAsia="仿宋_GB2312" w:cs="仿宋_GB2312"/>
          <w:b/>
          <w:bCs/>
          <w:color w:val="000000"/>
          <w:kern w:val="0"/>
          <w:sz w:val="32"/>
          <w:szCs w:val="32"/>
          <w:highlight w:val="none"/>
          <w:lang w:val="en-US" w:eastAsia="zh-CN"/>
        </w:rPr>
        <w:t>加强过程管理，强化成本管控意识</w:t>
      </w:r>
      <w:r>
        <w:rPr>
          <w:rFonts w:hint="eastAsia" w:ascii="仿宋_GB2312" w:hAnsi="仿宋_GB2312" w:eastAsia="仿宋_GB2312" w:cs="仿宋_GB2312"/>
          <w:b w:val="0"/>
          <w:bCs w:val="0"/>
          <w:color w:val="000000"/>
          <w:kern w:val="0"/>
          <w:sz w:val="32"/>
          <w:szCs w:val="32"/>
          <w:highlight w:val="none"/>
          <w:lang w:val="en-US" w:eastAsia="zh-CN"/>
        </w:rPr>
        <w:t>。</w:t>
      </w:r>
      <w:r>
        <w:rPr>
          <w:rFonts w:hint="default" w:ascii="仿宋_GB2312" w:hAnsi="仿宋_GB2312" w:eastAsia="仿宋_GB2312" w:cs="仿宋_GB2312"/>
          <w:color w:val="000000"/>
          <w:kern w:val="0"/>
          <w:sz w:val="32"/>
          <w:szCs w:val="32"/>
          <w:highlight w:val="none"/>
        </w:rPr>
        <w:t>该项目实施加</w:t>
      </w:r>
      <w:r>
        <w:rPr>
          <w:rFonts w:hint="default" w:ascii="仿宋_GB2312" w:hAnsi="仿宋_GB2312" w:eastAsia="仿宋_GB2312" w:cs="仿宋_GB2312"/>
          <w:color w:val="000000"/>
          <w:kern w:val="0"/>
          <w:sz w:val="32"/>
          <w:szCs w:val="32"/>
          <w:highlight w:val="none"/>
        </w:rPr>
        <w:t>强了</w:t>
      </w:r>
      <w:r>
        <w:rPr>
          <w:rFonts w:hint="eastAsia" w:ascii="仿宋_GB2312" w:hAnsi="仿宋_GB2312" w:eastAsia="仿宋_GB2312" w:cs="仿宋_GB2312"/>
          <w:color w:val="000000"/>
          <w:kern w:val="0"/>
          <w:sz w:val="32"/>
          <w:szCs w:val="32"/>
          <w:highlight w:val="none"/>
          <w:lang w:val="en-US" w:eastAsia="zh-CN"/>
        </w:rPr>
        <w:t>工程建设</w:t>
      </w:r>
      <w:r>
        <w:rPr>
          <w:rFonts w:hint="default" w:ascii="仿宋_GB2312" w:hAnsi="仿宋_GB2312" w:eastAsia="仿宋_GB2312" w:cs="仿宋_GB2312"/>
          <w:color w:val="000000"/>
          <w:kern w:val="0"/>
          <w:sz w:val="32"/>
          <w:szCs w:val="32"/>
          <w:highlight w:val="none"/>
        </w:rPr>
        <w:t>过程管理</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促进建设单位</w:t>
      </w:r>
      <w:r>
        <w:rPr>
          <w:rFonts w:hint="default" w:ascii="仿宋_GB2312" w:hAnsi="仿宋_GB2312" w:eastAsia="仿宋_GB2312" w:cs="仿宋_GB2312"/>
          <w:color w:val="000000"/>
          <w:kern w:val="0"/>
          <w:sz w:val="32"/>
          <w:szCs w:val="32"/>
          <w:highlight w:val="none"/>
        </w:rPr>
        <w:t>进一步优化设计</w:t>
      </w:r>
      <w:r>
        <w:rPr>
          <w:rFonts w:hint="eastAsia" w:ascii="仿宋_GB2312" w:hAnsi="仿宋_GB2312" w:eastAsia="仿宋_GB2312" w:cs="仿宋_GB2312"/>
          <w:color w:val="000000"/>
          <w:kern w:val="0"/>
          <w:sz w:val="32"/>
          <w:szCs w:val="32"/>
          <w:highlight w:val="none"/>
          <w:lang w:eastAsia="zh-CN"/>
        </w:rPr>
        <w:t>，</w:t>
      </w:r>
      <w:r>
        <w:rPr>
          <w:rFonts w:hint="default" w:ascii="仿宋_GB2312" w:hAnsi="仿宋_GB2312" w:eastAsia="仿宋_GB2312" w:cs="仿宋_GB2312"/>
          <w:color w:val="000000"/>
          <w:kern w:val="0"/>
          <w:sz w:val="32"/>
          <w:szCs w:val="32"/>
          <w:highlight w:val="none"/>
        </w:rPr>
        <w:t>树立成本管控意识。</w:t>
      </w:r>
      <w:r>
        <w:rPr>
          <w:rFonts w:hint="eastAsia" w:ascii="仿宋_GB2312" w:hAnsi="仿宋_GB2312" w:eastAsia="仿宋_GB2312" w:cs="仿宋_GB2312"/>
          <w:color w:val="000000"/>
          <w:kern w:val="0"/>
          <w:sz w:val="32"/>
          <w:szCs w:val="32"/>
          <w:highlight w:val="none"/>
          <w:lang w:val="en-US" w:eastAsia="zh-CN"/>
        </w:rPr>
        <w:t>通过预审计，</w:t>
      </w:r>
      <w:r>
        <w:rPr>
          <w:rFonts w:hint="default" w:ascii="仿宋_GB2312" w:hAnsi="仿宋_GB2312" w:eastAsia="仿宋_GB2312" w:cs="仿宋_GB2312"/>
          <w:color w:val="000000"/>
          <w:kern w:val="0"/>
          <w:sz w:val="32"/>
          <w:szCs w:val="32"/>
          <w:highlight w:val="none"/>
        </w:rPr>
        <w:t>加强工程</w:t>
      </w:r>
      <w:r>
        <w:rPr>
          <w:rFonts w:hint="default" w:ascii="仿宋_GB2312" w:hAnsi="仿宋_GB2312" w:eastAsia="仿宋_GB2312" w:cs="仿宋_GB2312"/>
          <w:color w:val="000000"/>
          <w:kern w:val="0"/>
          <w:sz w:val="32"/>
          <w:szCs w:val="32"/>
          <w:highlight w:val="none"/>
          <w:lang w:val="en-US" w:eastAsia="zh-CN"/>
        </w:rPr>
        <w:t>建设</w:t>
      </w:r>
      <w:r>
        <w:rPr>
          <w:rFonts w:hint="default" w:ascii="仿宋_GB2312" w:hAnsi="仿宋_GB2312" w:eastAsia="仿宋_GB2312" w:cs="仿宋_GB2312"/>
          <w:color w:val="000000"/>
          <w:kern w:val="0"/>
          <w:sz w:val="32"/>
          <w:szCs w:val="32"/>
          <w:highlight w:val="none"/>
        </w:rPr>
        <w:t>投资控制的预警作用，确保项目整体投资控制在预算范围内</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有助于在</w:t>
      </w:r>
      <w:r>
        <w:rPr>
          <w:rFonts w:hint="default" w:ascii="仿宋_GB2312" w:hAnsi="仿宋_GB2312" w:eastAsia="仿宋_GB2312" w:cs="仿宋_GB2312"/>
          <w:color w:val="000000"/>
          <w:kern w:val="0"/>
          <w:sz w:val="32"/>
          <w:szCs w:val="32"/>
          <w:highlight w:val="none"/>
        </w:rPr>
        <w:t>今后工作中发挥全过程造价咨询、监理、设计等单位的管控作用。</w:t>
      </w:r>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b/>
          <w:bCs/>
          <w:color w:val="000000"/>
          <w:kern w:val="0"/>
          <w:sz w:val="32"/>
          <w:szCs w:val="32"/>
          <w:highlight w:val="none"/>
          <w:lang w:val="en-US" w:eastAsia="zh-CN"/>
        </w:rPr>
        <w:t>3.坚持分段实施，适应工程建设特点</w:t>
      </w:r>
      <w:r>
        <w:rPr>
          <w:rFonts w:hint="eastAsia" w:ascii="仿宋_GB2312" w:hAnsi="仿宋_GB2312" w:eastAsia="仿宋_GB2312" w:cs="仿宋_GB2312"/>
          <w:color w:val="000000"/>
          <w:kern w:val="0"/>
          <w:sz w:val="32"/>
          <w:szCs w:val="32"/>
          <w:highlight w:val="none"/>
          <w:lang w:val="en-US" w:eastAsia="zh-CN"/>
        </w:rPr>
        <w:t>。工程建设尤其重大工程建设，投资数额大，建设周期长，程序复杂，环环相扣。副中心工程办</w:t>
      </w:r>
      <w:r>
        <w:rPr>
          <w:rFonts w:hint="default" w:ascii="仿宋_GB2312" w:hAnsi="仿宋_GB2312" w:eastAsia="仿宋_GB2312" w:cs="仿宋_GB2312"/>
          <w:color w:val="000000"/>
          <w:kern w:val="0"/>
          <w:sz w:val="32"/>
          <w:szCs w:val="32"/>
          <w:highlight w:val="none"/>
          <w:lang w:val="en-US" w:eastAsia="zh-CN"/>
        </w:rPr>
        <w:t>根据工程建设进展情况，实施预审计</w:t>
      </w:r>
      <w:bookmarkStart w:id="168" w:name="_GoBack"/>
      <w:r>
        <w:rPr>
          <w:rFonts w:hint="eastAsia" w:ascii="仿宋_GB2312" w:hAnsi="仿宋_GB2312" w:eastAsia="仿宋_GB2312" w:cs="仿宋_GB2312"/>
          <w:color w:val="000000"/>
          <w:kern w:val="0"/>
          <w:sz w:val="32"/>
          <w:szCs w:val="32"/>
          <w:highlight w:val="none"/>
          <w:lang w:val="en-US" w:eastAsia="zh-CN"/>
        </w:rPr>
        <w:t>工作</w:t>
      </w:r>
      <w:r>
        <w:rPr>
          <w:rFonts w:hint="eastAsia" w:ascii="仿宋_GB2312" w:hAnsi="仿宋_GB2312" w:eastAsia="仿宋_GB2312" w:cs="仿宋_GB2312"/>
          <w:color w:val="000000"/>
          <w:kern w:val="0"/>
          <w:sz w:val="32"/>
          <w:szCs w:val="32"/>
          <w:highlight w:val="none"/>
          <w:lang w:val="en-US" w:eastAsia="zh-CN"/>
        </w:rPr>
        <w:t>，</w:t>
      </w:r>
      <w:r>
        <w:rPr>
          <w:rFonts w:hint="default" w:ascii="仿宋_GB2312" w:hAnsi="仿宋_GB2312" w:eastAsia="仿宋_GB2312" w:cs="仿宋_GB2312"/>
          <w:color w:val="000000"/>
          <w:kern w:val="0"/>
          <w:sz w:val="32"/>
          <w:szCs w:val="32"/>
          <w:highlight w:val="none"/>
          <w:lang w:val="en-US" w:eastAsia="zh-CN"/>
        </w:rPr>
        <w:t>试</w:t>
      </w:r>
      <w:bookmarkEnd w:id="168"/>
      <w:r>
        <w:rPr>
          <w:rFonts w:hint="default" w:ascii="仿宋_GB2312" w:hAnsi="仿宋_GB2312" w:eastAsia="仿宋_GB2312" w:cs="仿宋_GB2312"/>
          <w:color w:val="000000"/>
          <w:kern w:val="0"/>
          <w:sz w:val="32"/>
          <w:szCs w:val="32"/>
          <w:highlight w:val="none"/>
          <w:lang w:val="en-US" w:eastAsia="zh-CN"/>
        </w:rPr>
        <w:t>行了推进施工过程价款结算和支付的理念。</w:t>
      </w:r>
      <w:r>
        <w:rPr>
          <w:rFonts w:hint="eastAsia" w:ascii="仿宋_GB2312" w:hAnsi="仿宋_GB2312" w:eastAsia="仿宋_GB2312" w:cs="仿宋_GB2312"/>
          <w:color w:val="000000"/>
          <w:kern w:val="0"/>
          <w:sz w:val="32"/>
          <w:szCs w:val="32"/>
          <w:highlight w:val="none"/>
          <w:lang w:val="en-US" w:eastAsia="zh-CN"/>
        </w:rPr>
        <w:t>既适应了工程建设的特点规律和工期要求，又保证了工程结算的及时性、准确性。</w:t>
      </w:r>
    </w:p>
    <w:bookmarkEnd w:id="148"/>
    <w:p>
      <w:pPr>
        <w:pageBreakBefore w:val="0"/>
        <w:widowControl w:val="0"/>
        <w:kinsoku/>
        <w:wordWrap/>
        <w:overflowPunct/>
        <w:topLinePunct w:val="0"/>
        <w:autoSpaceDE/>
        <w:autoSpaceDN/>
        <w:bidi w:val="0"/>
        <w:adjustRightInd w:val="0"/>
        <w:snapToGrid w:val="0"/>
        <w:spacing w:line="560" w:lineRule="exact"/>
        <w:ind w:firstLine="640"/>
        <w:textAlignment w:val="auto"/>
        <w:outlineLvl w:val="1"/>
        <w:rPr>
          <w:rFonts w:ascii="Times New Roman" w:hAnsi="Times New Roman" w:eastAsia="楷体_GB2312" w:cs="Times New Roman"/>
          <w:b/>
          <w:bCs/>
          <w:kern w:val="0"/>
          <w:sz w:val="32"/>
          <w:szCs w:val="32"/>
        </w:rPr>
      </w:pPr>
      <w:bookmarkStart w:id="149" w:name="_Toc27118"/>
      <w:bookmarkStart w:id="150" w:name="_Toc23526"/>
      <w:bookmarkStart w:id="151" w:name="_Toc26459"/>
      <w:bookmarkStart w:id="152" w:name="_Toc30465"/>
      <w:bookmarkStart w:id="153" w:name="_Toc1821198923_WPSOffice_Level2"/>
      <w:bookmarkStart w:id="154" w:name="_Toc1191642982"/>
      <w:bookmarkStart w:id="155" w:name="_Toc25960"/>
      <w:r>
        <w:rPr>
          <w:rFonts w:ascii="Times New Roman" w:hAnsi="Times New Roman" w:eastAsia="楷体_GB2312" w:cs="Times New Roman"/>
          <w:b/>
          <w:bCs/>
          <w:kern w:val="0"/>
          <w:sz w:val="32"/>
          <w:szCs w:val="32"/>
        </w:rPr>
        <w:t>（二）存在的问题及原因分析</w:t>
      </w:r>
      <w:bookmarkEnd w:id="149"/>
      <w:bookmarkEnd w:id="150"/>
      <w:bookmarkEnd w:id="151"/>
      <w:bookmarkEnd w:id="152"/>
      <w:bookmarkEnd w:id="153"/>
      <w:bookmarkEnd w:id="154"/>
      <w:bookmarkEnd w:id="155"/>
    </w:p>
    <w:bookmarkEnd w:id="140"/>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color w:val="000000"/>
          <w:kern w:val="0"/>
          <w:sz w:val="32"/>
          <w:szCs w:val="32"/>
          <w:highlight w:val="yellow"/>
        </w:rPr>
      </w:pPr>
      <w:bookmarkStart w:id="156" w:name="_Toc20926"/>
      <w:bookmarkStart w:id="157" w:name="_Toc5371"/>
      <w:r>
        <w:rPr>
          <w:rFonts w:hint="eastAsia" w:ascii="仿宋_GB2312" w:hAnsi="仿宋_GB2312" w:eastAsia="仿宋_GB2312" w:cs="仿宋_GB2312"/>
          <w:color w:val="000000"/>
          <w:kern w:val="0"/>
          <w:sz w:val="32"/>
          <w:szCs w:val="32"/>
          <w:highlight w:val="none"/>
          <w:lang w:val="en-US" w:eastAsia="zh-CN"/>
        </w:rPr>
        <w:t>在预审计项目实施中，大部分第三方机构</w:t>
      </w:r>
      <w:r>
        <w:rPr>
          <w:rFonts w:hint="default" w:ascii="仿宋_GB2312" w:hAnsi="仿宋_GB2312" w:eastAsia="仿宋_GB2312" w:cs="仿宋_GB2312"/>
          <w:color w:val="000000"/>
          <w:kern w:val="0"/>
          <w:sz w:val="32"/>
          <w:szCs w:val="32"/>
          <w:highlight w:val="none"/>
        </w:rPr>
        <w:t>项目实施方案</w:t>
      </w:r>
      <w:r>
        <w:rPr>
          <w:rFonts w:hint="eastAsia" w:ascii="仿宋_GB2312" w:hAnsi="仿宋_GB2312" w:eastAsia="仿宋_GB2312" w:cs="仿宋_GB2312"/>
          <w:color w:val="000000"/>
          <w:kern w:val="0"/>
          <w:sz w:val="32"/>
          <w:szCs w:val="32"/>
          <w:highlight w:val="none"/>
          <w:lang w:val="en-US" w:eastAsia="zh-CN"/>
        </w:rPr>
        <w:t>内容完整，要素齐全，但也有个别第三方机构</w:t>
      </w:r>
      <w:r>
        <w:rPr>
          <w:rFonts w:hint="default" w:ascii="仿宋_GB2312" w:hAnsi="仿宋_GB2312" w:eastAsia="仿宋_GB2312" w:cs="仿宋_GB2312"/>
          <w:color w:val="000000"/>
          <w:kern w:val="0"/>
          <w:sz w:val="32"/>
          <w:szCs w:val="32"/>
          <w:highlight w:val="none"/>
        </w:rPr>
        <w:t>项目实施方案</w:t>
      </w:r>
      <w:r>
        <w:rPr>
          <w:rFonts w:hint="eastAsia" w:ascii="仿宋_GB2312" w:hAnsi="仿宋_GB2312" w:eastAsia="仿宋_GB2312" w:cs="仿宋_GB2312"/>
          <w:color w:val="000000"/>
          <w:kern w:val="0"/>
          <w:sz w:val="32"/>
          <w:szCs w:val="32"/>
          <w:highlight w:val="none"/>
          <w:lang w:val="en-US" w:eastAsia="zh-CN"/>
        </w:rPr>
        <w:t>中未</w:t>
      </w:r>
      <w:r>
        <w:rPr>
          <w:rFonts w:hint="default" w:ascii="仿宋_GB2312" w:hAnsi="仿宋_GB2312" w:eastAsia="仿宋_GB2312" w:cs="仿宋_GB2312"/>
          <w:color w:val="000000"/>
          <w:kern w:val="0"/>
          <w:sz w:val="32"/>
          <w:szCs w:val="32"/>
          <w:highlight w:val="none"/>
        </w:rPr>
        <w:t>明确预审计人员工作经验标准。</w:t>
      </w:r>
    </w:p>
    <w:p>
      <w:pPr>
        <w:pageBreakBefore w:val="0"/>
        <w:widowControl w:val="0"/>
        <w:kinsoku/>
        <w:wordWrap/>
        <w:overflowPunct/>
        <w:topLinePunct w:val="0"/>
        <w:autoSpaceDE/>
        <w:autoSpaceDN/>
        <w:bidi w:val="0"/>
        <w:adjustRightInd w:val="0"/>
        <w:snapToGrid w:val="0"/>
        <w:spacing w:line="560" w:lineRule="exact"/>
        <w:ind w:firstLine="640"/>
        <w:textAlignment w:val="auto"/>
        <w:outlineLvl w:val="0"/>
        <w:rPr>
          <w:rFonts w:ascii="Times New Roman" w:hAnsi="Times New Roman" w:eastAsia="黑体" w:cs="Times New Roman"/>
          <w:bCs/>
          <w:sz w:val="32"/>
          <w:szCs w:val="32"/>
          <w:highlight w:val="none"/>
        </w:rPr>
      </w:pPr>
      <w:bookmarkStart w:id="158" w:name="_Toc1096674552"/>
      <w:bookmarkStart w:id="159" w:name="_Toc10644"/>
      <w:bookmarkStart w:id="160" w:name="_Toc805878170_WPSOffice_Level1"/>
      <w:bookmarkStart w:id="161" w:name="_Toc11236"/>
      <w:bookmarkStart w:id="162" w:name="_Toc5416"/>
      <w:bookmarkStart w:id="163" w:name="_Toc3259"/>
      <w:bookmarkStart w:id="164" w:name="_Toc5917"/>
      <w:r>
        <w:rPr>
          <w:rFonts w:ascii="Times New Roman" w:hAnsi="Times New Roman" w:eastAsia="黑体" w:cs="Times New Roman"/>
          <w:bCs/>
          <w:sz w:val="32"/>
          <w:szCs w:val="32"/>
          <w:highlight w:val="none"/>
        </w:rPr>
        <w:t>六、有关建议</w:t>
      </w:r>
      <w:bookmarkEnd w:id="156"/>
      <w:bookmarkEnd w:id="157"/>
      <w:bookmarkEnd w:id="158"/>
      <w:bookmarkEnd w:id="159"/>
      <w:bookmarkEnd w:id="160"/>
      <w:bookmarkEnd w:id="161"/>
      <w:bookmarkEnd w:id="162"/>
      <w:bookmarkEnd w:id="163"/>
      <w:bookmarkEnd w:id="164"/>
    </w:p>
    <w:p>
      <w:pPr>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color w:val="000000"/>
          <w:kern w:val="0"/>
          <w:sz w:val="32"/>
          <w:szCs w:val="32"/>
          <w:highlight w:val="none"/>
        </w:rPr>
      </w:pPr>
      <w:bookmarkStart w:id="165" w:name="_Toc1229741495"/>
      <w:r>
        <w:rPr>
          <w:rFonts w:hint="eastAsia" w:ascii="仿宋_GB2312" w:hAnsi="仿宋_GB2312" w:eastAsia="仿宋_GB2312" w:cs="仿宋_GB2312"/>
          <w:color w:val="000000"/>
          <w:kern w:val="0"/>
          <w:sz w:val="32"/>
          <w:szCs w:val="32"/>
          <w:highlight w:val="none"/>
          <w:lang w:val="en-US" w:eastAsia="zh-CN"/>
        </w:rPr>
        <w:t>加强对第三方机构项目实施方案的审查把关，</w:t>
      </w:r>
      <w:r>
        <w:rPr>
          <w:rFonts w:hint="eastAsia" w:ascii="仿宋_GB2312" w:hAnsi="仿宋_GB2312" w:eastAsia="仿宋_GB2312" w:cs="仿宋_GB2312"/>
          <w:color w:val="000000"/>
          <w:kern w:val="0"/>
          <w:sz w:val="32"/>
          <w:szCs w:val="32"/>
          <w:highlight w:val="none"/>
        </w:rPr>
        <w:t>要求第三方</w:t>
      </w:r>
      <w:r>
        <w:rPr>
          <w:rFonts w:hint="eastAsia" w:ascii="仿宋_GB2312" w:hAnsi="仿宋_GB2312" w:eastAsia="仿宋_GB2312" w:cs="仿宋_GB2312"/>
          <w:color w:val="000000"/>
          <w:kern w:val="0"/>
          <w:sz w:val="32"/>
          <w:szCs w:val="32"/>
          <w:highlight w:val="none"/>
          <w:lang w:val="en-US" w:eastAsia="zh-CN"/>
        </w:rPr>
        <w:t>机构制定</w:t>
      </w:r>
      <w:r>
        <w:rPr>
          <w:rFonts w:hint="eastAsia" w:ascii="仿宋_GB2312" w:hAnsi="仿宋_GB2312" w:eastAsia="仿宋_GB2312" w:cs="仿宋_GB2312"/>
          <w:color w:val="000000"/>
          <w:kern w:val="0"/>
          <w:sz w:val="32"/>
          <w:szCs w:val="32"/>
          <w:highlight w:val="none"/>
        </w:rPr>
        <w:t>完善</w:t>
      </w:r>
      <w:r>
        <w:rPr>
          <w:rFonts w:hint="eastAsia" w:ascii="仿宋_GB2312" w:hAnsi="仿宋_GB2312" w:eastAsia="仿宋_GB2312" w:cs="仿宋_GB2312"/>
          <w:color w:val="000000"/>
          <w:kern w:val="0"/>
          <w:sz w:val="32"/>
          <w:szCs w:val="32"/>
          <w:highlight w:val="none"/>
          <w:lang w:val="en-US" w:eastAsia="zh-CN"/>
        </w:rPr>
        <w:t>服务标准</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color w:val="000000"/>
          <w:kern w:val="0"/>
          <w:sz w:val="32"/>
          <w:szCs w:val="32"/>
          <w:highlight w:val="none"/>
          <w:lang w:val="en-US" w:eastAsia="zh-CN"/>
        </w:rPr>
        <w:t>细化方案内容，</w:t>
      </w:r>
      <w:r>
        <w:rPr>
          <w:rFonts w:hint="eastAsia" w:ascii="仿宋_GB2312" w:hAnsi="仿宋_GB2312" w:eastAsia="仿宋_GB2312" w:cs="仿宋_GB2312"/>
          <w:color w:val="000000"/>
          <w:kern w:val="0"/>
          <w:sz w:val="32"/>
          <w:szCs w:val="32"/>
          <w:highlight w:val="none"/>
        </w:rPr>
        <w:t>确保</w:t>
      </w:r>
      <w:r>
        <w:rPr>
          <w:rFonts w:hint="eastAsia" w:ascii="仿宋_GB2312" w:hAnsi="仿宋_GB2312" w:eastAsia="仿宋_GB2312" w:cs="仿宋_GB2312"/>
          <w:color w:val="000000"/>
          <w:kern w:val="0"/>
          <w:sz w:val="32"/>
          <w:szCs w:val="32"/>
          <w:highlight w:val="none"/>
          <w:lang w:val="en-US" w:eastAsia="zh-CN"/>
        </w:rPr>
        <w:t>预</w:t>
      </w:r>
      <w:r>
        <w:rPr>
          <w:rFonts w:hint="eastAsia" w:ascii="仿宋_GB2312" w:hAnsi="仿宋_GB2312" w:eastAsia="仿宋_GB2312" w:cs="仿宋_GB2312"/>
          <w:color w:val="000000"/>
          <w:kern w:val="0"/>
          <w:sz w:val="32"/>
          <w:szCs w:val="32"/>
          <w:highlight w:val="none"/>
        </w:rPr>
        <w:t>审计工作质量，</w:t>
      </w:r>
      <w:r>
        <w:rPr>
          <w:rFonts w:hint="eastAsia" w:ascii="仿宋_GB2312" w:hAnsi="仿宋_GB2312" w:eastAsia="仿宋_GB2312" w:cs="仿宋_GB2312"/>
          <w:color w:val="000000"/>
          <w:kern w:val="0"/>
          <w:sz w:val="32"/>
          <w:szCs w:val="32"/>
          <w:highlight w:val="none"/>
          <w:lang w:val="en-US" w:eastAsia="zh-CN"/>
        </w:rPr>
        <w:t>高标准</w:t>
      </w:r>
      <w:r>
        <w:rPr>
          <w:rFonts w:hint="eastAsia" w:ascii="仿宋_GB2312" w:hAnsi="仿宋_GB2312" w:eastAsia="仿宋_GB2312" w:cs="仿宋_GB2312"/>
          <w:color w:val="000000"/>
          <w:kern w:val="0"/>
          <w:sz w:val="32"/>
          <w:szCs w:val="32"/>
          <w:highlight w:val="none"/>
        </w:rPr>
        <w:t>推进项目</w:t>
      </w:r>
      <w:r>
        <w:rPr>
          <w:rFonts w:hint="eastAsia" w:ascii="仿宋_GB2312" w:hAnsi="仿宋_GB2312" w:eastAsia="仿宋_GB2312" w:cs="仿宋_GB2312"/>
          <w:color w:val="000000"/>
          <w:kern w:val="0"/>
          <w:sz w:val="32"/>
          <w:szCs w:val="32"/>
          <w:highlight w:val="none"/>
          <w:lang w:val="en-US" w:eastAsia="zh-CN"/>
        </w:rPr>
        <w:t>落实</w:t>
      </w:r>
      <w:r>
        <w:rPr>
          <w:rFonts w:hint="eastAsia" w:ascii="仿宋_GB2312" w:hAnsi="仿宋_GB2312" w:eastAsia="仿宋_GB2312" w:cs="仿宋_GB2312"/>
          <w:color w:val="000000"/>
          <w:kern w:val="0"/>
          <w:sz w:val="32"/>
          <w:szCs w:val="32"/>
          <w:highlight w:val="none"/>
        </w:rPr>
        <w:t>。</w:t>
      </w:r>
    </w:p>
    <w:bookmarkEnd w:id="165"/>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textAlignment w:val="auto"/>
        <w:rPr>
          <w:rFonts w:hint="eastAsia" w:ascii="仿宋_GB2312" w:hAnsi="仿宋_GB2312" w:eastAsia="仿宋_GB2312" w:cs="仿宋_GB2312"/>
          <w:color w:val="000000"/>
          <w:kern w:val="0"/>
          <w:sz w:val="32"/>
          <w:szCs w:val="32"/>
          <w:highlight w:val="none"/>
          <w:lang w:val="en-US" w:eastAsia="zh-CN"/>
        </w:rPr>
      </w:pPr>
      <w:bookmarkStart w:id="166" w:name="_Toc821993324_WPSOffice_Level2"/>
      <w:bookmarkStart w:id="167" w:name="_Toc283979570_WPSOffice_Level2"/>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附件：</w:t>
      </w:r>
      <w:bookmarkEnd w:id="166"/>
      <w:bookmarkEnd w:id="167"/>
      <w:r>
        <w:rPr>
          <w:rFonts w:hint="eastAsia" w:ascii="仿宋_GB2312" w:hAnsi="仿宋_GB2312" w:eastAsia="仿宋_GB2312" w:cs="仿宋_GB2312"/>
          <w:color w:val="000000"/>
          <w:kern w:val="0"/>
          <w:sz w:val="32"/>
          <w:szCs w:val="32"/>
          <w:highlight w:val="none"/>
        </w:rPr>
        <w:t>“预审计服务”项目绩效评价</w:t>
      </w:r>
      <w:r>
        <w:rPr>
          <w:rFonts w:hint="eastAsia" w:ascii="仿宋_GB2312" w:hAnsi="仿宋_GB2312" w:eastAsia="仿宋_GB2312" w:cs="仿宋_GB2312"/>
          <w:color w:val="000000"/>
          <w:kern w:val="0"/>
          <w:sz w:val="32"/>
          <w:szCs w:val="32"/>
          <w:highlight w:val="none"/>
          <w:lang w:val="en-US" w:eastAsia="zh-CN"/>
        </w:rPr>
        <w:t>指标体系及</w:t>
      </w:r>
      <w:r>
        <w:rPr>
          <w:rFonts w:hint="eastAsia" w:ascii="仿宋_GB2312" w:hAnsi="仿宋_GB2312" w:eastAsia="仿宋_GB2312" w:cs="仿宋_GB2312"/>
          <w:color w:val="000000"/>
          <w:kern w:val="0"/>
          <w:sz w:val="32"/>
          <w:szCs w:val="32"/>
          <w:highlight w:val="none"/>
        </w:rPr>
        <w:t>评分表</w:t>
      </w:r>
    </w:p>
    <w:p>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textAlignment w:val="auto"/>
        <w:rPr>
          <w:rFonts w:hint="eastAsia"/>
        </w:rPr>
      </w:pPr>
    </w:p>
    <w:p>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textAlignment w:val="auto"/>
        <w:rPr>
          <w:rFonts w:hint="eastAsia"/>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textAlignment w:val="auto"/>
        <w:rPr>
          <w:rFonts w:hint="eastAsia"/>
        </w:rPr>
      </w:pPr>
    </w:p>
    <w:p>
      <w:pPr>
        <w:pStyle w:val="2"/>
        <w:keepNext w:val="0"/>
        <w:keepLines w:val="0"/>
        <w:pageBreakBefore w:val="0"/>
        <w:widowControl w:val="0"/>
        <w:kinsoku/>
        <w:wordWrap/>
        <w:overflowPunct/>
        <w:topLinePunct w:val="0"/>
        <w:autoSpaceDE/>
        <w:autoSpaceDN/>
        <w:bidi w:val="0"/>
        <w:adjustRightInd w:val="0"/>
        <w:snapToGrid w:val="0"/>
        <w:spacing w:line="560" w:lineRule="exact"/>
        <w:ind w:left="0" w:leftChars="0"/>
        <w:textAlignment w:val="auto"/>
        <w:rPr>
          <w:rFonts w:hint="eastAsia"/>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textAlignment w:val="auto"/>
        <w:rPr>
          <w:rFonts w:hint="eastAsia"/>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3840" w:firstLineChars="1200"/>
        <w:textAlignment w:val="auto"/>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color w:val="000000"/>
          <w:kern w:val="0"/>
          <w:sz w:val="32"/>
          <w:szCs w:val="32"/>
          <w:highlight w:val="none"/>
          <w:lang w:eastAsia="zh-CN"/>
        </w:rPr>
        <w:t>2022年5月2</w:t>
      </w:r>
      <w:r>
        <w:rPr>
          <w:rFonts w:hint="eastAsia" w:ascii="仿宋_GB2312" w:hAnsi="仿宋_GB2312" w:eastAsia="仿宋_GB2312" w:cs="仿宋_GB2312"/>
          <w:color w:val="000000"/>
          <w:kern w:val="0"/>
          <w:sz w:val="32"/>
          <w:szCs w:val="32"/>
          <w:highlight w:val="none"/>
          <w:lang w:val="en-US" w:eastAsia="zh-CN"/>
        </w:rPr>
        <w:t>0</w:t>
      </w:r>
      <w:r>
        <w:rPr>
          <w:rFonts w:hint="eastAsia" w:ascii="仿宋_GB2312" w:hAnsi="仿宋_GB2312" w:eastAsia="仿宋_GB2312" w:cs="仿宋_GB2312"/>
          <w:color w:val="000000"/>
          <w:kern w:val="0"/>
          <w:sz w:val="32"/>
          <w:szCs w:val="32"/>
          <w:highlight w:val="none"/>
          <w:lang w:eastAsia="zh-CN"/>
        </w:rPr>
        <w:t>日</w:t>
      </w:r>
    </w:p>
    <w:p>
      <w:pPr>
        <w:pStyle w:val="2"/>
        <w:rPr>
          <w:rFonts w:hint="eastAsia" w:ascii="仿宋_GB2312" w:hAnsi="仿宋_GB2312" w:eastAsia="仿宋_GB2312" w:cs="仿宋_GB2312"/>
          <w:color w:val="000000"/>
          <w:kern w:val="0"/>
          <w:sz w:val="32"/>
          <w:szCs w:val="32"/>
          <w:highlight w:val="none"/>
          <w:lang w:eastAsia="zh-CN"/>
        </w:rPr>
      </w:pPr>
    </w:p>
    <w:p>
      <w:pPr>
        <w:rPr>
          <w:rFonts w:hint="eastAsia"/>
        </w:rPr>
        <w:sectPr>
          <w:footerReference r:id="rId9" w:type="default"/>
          <w:pgSz w:w="11906" w:h="16838"/>
          <w:pgMar w:top="1701" w:right="1701" w:bottom="1701" w:left="1701" w:header="851" w:footer="992" w:gutter="0"/>
          <w:pgNumType w:fmt="decimal" w:start="1"/>
          <w:cols w:space="720" w:num="1"/>
          <w:docGrid w:type="lines" w:linePitch="327" w:charSpace="0"/>
        </w:sectPr>
      </w:pPr>
    </w:p>
    <w:p>
      <w:pPr>
        <w:keepNext w:val="0"/>
        <w:keepLines w:val="0"/>
        <w:pageBreakBefore w:val="0"/>
        <w:widowControl w:val="0"/>
        <w:kinsoku/>
        <w:wordWrap/>
        <w:overflowPunct/>
        <w:topLinePunct w:val="0"/>
        <w:autoSpaceDE/>
        <w:autoSpaceDN/>
        <w:bidi w:val="0"/>
        <w:adjustRightInd w:val="0"/>
        <w:snapToGrid w:val="0"/>
        <w:ind w:left="-240" w:leftChars="-100" w:firstLine="0" w:firstLineChars="0"/>
        <w:jc w:val="left"/>
        <w:textAlignment w:val="auto"/>
        <w:rPr>
          <w:rFonts w:hint="eastAsia" w:ascii="宋体" w:hAnsi="宋体" w:eastAsia="宋体" w:cs="宋体"/>
          <w:bCs/>
          <w:sz w:val="28"/>
          <w:szCs w:val="28"/>
        </w:rPr>
      </w:pPr>
      <w:r>
        <w:rPr>
          <w:rFonts w:hint="eastAsia" w:ascii="宋体" w:hAnsi="宋体" w:eastAsia="宋体" w:cs="宋体"/>
          <w:bCs/>
          <w:sz w:val="28"/>
          <w:szCs w:val="28"/>
        </w:rPr>
        <w:t>附件</w:t>
      </w:r>
    </w:p>
    <w:p>
      <w:pPr>
        <w:keepNext w:val="0"/>
        <w:keepLines w:val="0"/>
        <w:pageBreakBefore w:val="0"/>
        <w:widowControl w:val="0"/>
        <w:kinsoku/>
        <w:wordWrap/>
        <w:overflowPunct/>
        <w:topLinePunct w:val="0"/>
        <w:autoSpaceDE/>
        <w:autoSpaceDN/>
        <w:bidi w:val="0"/>
        <w:adjustRightInd w:val="0"/>
        <w:snapToGrid w:val="0"/>
        <w:spacing w:after="157" w:afterLines="50"/>
        <w:jc w:val="center"/>
        <w:textAlignment w:val="auto"/>
        <w:rPr>
          <w:b/>
          <w:sz w:val="36"/>
          <w:szCs w:val="36"/>
        </w:rPr>
      </w:pPr>
      <w:r>
        <w:rPr>
          <w:rFonts w:hint="eastAsia"/>
          <w:b/>
          <w:sz w:val="36"/>
          <w:szCs w:val="36"/>
        </w:rPr>
        <w:t>“</w:t>
      </w:r>
      <w:r>
        <w:rPr>
          <w:rFonts w:hint="eastAsia" w:ascii="Times New Roman" w:hAnsi="Times New Roman" w:cs="Times New Roman"/>
          <w:b/>
          <w:sz w:val="36"/>
          <w:szCs w:val="36"/>
        </w:rPr>
        <w:t>预审计服务</w:t>
      </w:r>
      <w:r>
        <w:rPr>
          <w:rFonts w:hint="eastAsia"/>
          <w:b/>
          <w:sz w:val="36"/>
          <w:szCs w:val="36"/>
        </w:rPr>
        <w:t>”项目绩效评价</w:t>
      </w:r>
      <w:r>
        <w:rPr>
          <w:rFonts w:hint="eastAsia"/>
          <w:b/>
          <w:sz w:val="36"/>
          <w:szCs w:val="36"/>
          <w:lang w:val="en-US" w:eastAsia="zh-CN"/>
        </w:rPr>
        <w:t>指标体系及</w:t>
      </w:r>
      <w:r>
        <w:rPr>
          <w:rFonts w:hint="eastAsia"/>
          <w:b/>
          <w:sz w:val="36"/>
          <w:szCs w:val="36"/>
        </w:rPr>
        <w:t>评分表</w:t>
      </w:r>
    </w:p>
    <w:p>
      <w:pPr>
        <w:keepNext w:val="0"/>
        <w:keepLines w:val="0"/>
        <w:pageBreakBefore w:val="0"/>
        <w:widowControl w:val="0"/>
        <w:kinsoku/>
        <w:wordWrap/>
        <w:overflowPunct/>
        <w:topLinePunct w:val="0"/>
        <w:autoSpaceDE/>
        <w:autoSpaceDN/>
        <w:bidi w:val="0"/>
        <w:adjustRightInd/>
        <w:snapToGrid/>
        <w:ind w:left="-120" w:leftChars="-50" w:firstLine="0" w:firstLineChars="0"/>
        <w:jc w:val="left"/>
        <w:textAlignment w:val="auto"/>
        <w:rPr>
          <w:b/>
          <w:sz w:val="22"/>
        </w:rPr>
      </w:pPr>
      <w:r>
        <w:rPr>
          <w:rFonts w:hint="eastAsia"/>
          <w:b/>
          <w:sz w:val="22"/>
        </w:rPr>
        <w:t>被评价单位：北京城市副中心工程建设管理办公室</w:t>
      </w:r>
    </w:p>
    <w:tbl>
      <w:tblPr>
        <w:tblStyle w:val="19"/>
        <w:tblW w:w="52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1050"/>
        <w:gridCol w:w="1125"/>
        <w:gridCol w:w="630"/>
        <w:gridCol w:w="1350"/>
        <w:gridCol w:w="630"/>
        <w:gridCol w:w="2230"/>
        <w:gridCol w:w="1607"/>
        <w:gridCol w:w="2493"/>
        <w:gridCol w:w="825"/>
        <w:gridCol w:w="1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blHeader/>
          <w:jc w:val="center"/>
        </w:trPr>
        <w:tc>
          <w:tcPr>
            <w:tcW w:w="279"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b/>
                <w:bCs/>
                <w:kern w:val="0"/>
                <w:sz w:val="20"/>
                <w:szCs w:val="20"/>
              </w:rPr>
            </w:pPr>
            <w:r>
              <w:rPr>
                <w:rFonts w:hint="eastAsia" w:ascii="宋体" w:hAnsi="宋体" w:cs="宋体"/>
                <w:b/>
                <w:bCs/>
                <w:kern w:val="0"/>
                <w:sz w:val="20"/>
                <w:szCs w:val="20"/>
              </w:rPr>
              <w:t>一级指标</w:t>
            </w:r>
          </w:p>
        </w:tc>
        <w:tc>
          <w:tcPr>
            <w:tcW w:w="3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b/>
                <w:bCs/>
                <w:kern w:val="0"/>
                <w:sz w:val="20"/>
                <w:szCs w:val="20"/>
              </w:rPr>
            </w:pPr>
            <w:r>
              <w:rPr>
                <w:rFonts w:hint="eastAsia" w:ascii="宋体" w:hAnsi="宋体" w:cs="宋体"/>
                <w:b/>
                <w:bCs/>
                <w:kern w:val="0"/>
                <w:sz w:val="20"/>
                <w:szCs w:val="20"/>
              </w:rPr>
              <w:t>二级指标</w:t>
            </w:r>
          </w:p>
        </w:tc>
        <w:tc>
          <w:tcPr>
            <w:tcW w:w="389"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b/>
                <w:bCs/>
                <w:kern w:val="0"/>
                <w:sz w:val="20"/>
                <w:szCs w:val="20"/>
              </w:rPr>
            </w:pPr>
            <w:r>
              <w:rPr>
                <w:rFonts w:hint="eastAsia" w:ascii="宋体" w:hAnsi="宋体" w:cs="宋体"/>
                <w:b/>
                <w:bCs/>
                <w:kern w:val="0"/>
                <w:sz w:val="20"/>
                <w:szCs w:val="20"/>
              </w:rPr>
              <w:t>三级指标</w:t>
            </w:r>
          </w:p>
        </w:tc>
        <w:tc>
          <w:tcPr>
            <w:tcW w:w="218"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both"/>
              <w:textAlignment w:val="auto"/>
              <w:rPr>
                <w:rFonts w:ascii="宋体" w:hAnsi="宋体" w:cs="宋体"/>
                <w:b/>
                <w:bCs/>
                <w:kern w:val="0"/>
                <w:sz w:val="20"/>
                <w:szCs w:val="20"/>
              </w:rPr>
            </w:pPr>
            <w:r>
              <w:rPr>
                <w:rFonts w:hint="eastAsia" w:ascii="宋体" w:hAnsi="宋体" w:cs="宋体"/>
                <w:b/>
                <w:bCs/>
                <w:kern w:val="0"/>
                <w:sz w:val="20"/>
                <w:szCs w:val="20"/>
                <w:lang w:val="en-US" w:eastAsia="zh-CN"/>
              </w:rPr>
              <w:t>分</w:t>
            </w:r>
            <w:r>
              <w:rPr>
                <w:rFonts w:hint="eastAsia" w:ascii="宋体" w:hAnsi="宋体" w:cs="宋体"/>
                <w:b/>
                <w:bCs/>
                <w:kern w:val="0"/>
                <w:sz w:val="20"/>
                <w:szCs w:val="20"/>
              </w:rPr>
              <w:t>值</w:t>
            </w:r>
          </w:p>
        </w:tc>
        <w:tc>
          <w:tcPr>
            <w:tcW w:w="467"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b/>
                <w:bCs/>
                <w:kern w:val="0"/>
                <w:sz w:val="20"/>
                <w:szCs w:val="20"/>
              </w:rPr>
            </w:pPr>
            <w:r>
              <w:rPr>
                <w:rFonts w:hint="eastAsia" w:ascii="宋体" w:hAnsi="宋体" w:cs="宋体"/>
                <w:b/>
                <w:bCs/>
                <w:kern w:val="0"/>
                <w:sz w:val="20"/>
                <w:szCs w:val="20"/>
              </w:rPr>
              <w:t>四级指标</w:t>
            </w:r>
          </w:p>
        </w:tc>
        <w:tc>
          <w:tcPr>
            <w:tcW w:w="218"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both"/>
              <w:textAlignment w:val="auto"/>
              <w:rPr>
                <w:rFonts w:hint="default" w:ascii="宋体" w:hAnsi="宋体" w:cs="宋体"/>
                <w:b/>
                <w:bCs/>
                <w:kern w:val="0"/>
                <w:sz w:val="20"/>
                <w:szCs w:val="20"/>
                <w:lang w:val="en-US"/>
              </w:rPr>
            </w:pPr>
            <w:r>
              <w:rPr>
                <w:rFonts w:hint="eastAsia" w:ascii="宋体" w:hAnsi="宋体" w:cs="宋体"/>
                <w:b/>
                <w:bCs/>
                <w:kern w:val="0"/>
                <w:sz w:val="20"/>
                <w:szCs w:val="20"/>
                <w:lang w:val="en-US" w:eastAsia="zh-CN"/>
              </w:rPr>
              <w:t>分值</w:t>
            </w:r>
          </w:p>
        </w:tc>
        <w:tc>
          <w:tcPr>
            <w:tcW w:w="772"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b/>
                <w:bCs/>
                <w:kern w:val="0"/>
                <w:sz w:val="20"/>
                <w:szCs w:val="20"/>
              </w:rPr>
            </w:pPr>
            <w:r>
              <w:rPr>
                <w:rFonts w:hint="eastAsia" w:ascii="宋体" w:hAnsi="宋体" w:cs="宋体"/>
                <w:b/>
                <w:bCs/>
                <w:kern w:val="0"/>
                <w:sz w:val="20"/>
                <w:szCs w:val="20"/>
              </w:rPr>
              <w:t>指标解释</w:t>
            </w:r>
          </w:p>
        </w:tc>
        <w:tc>
          <w:tcPr>
            <w:tcW w:w="556"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b/>
                <w:bCs/>
                <w:kern w:val="0"/>
                <w:sz w:val="20"/>
                <w:szCs w:val="20"/>
              </w:rPr>
            </w:pPr>
            <w:r>
              <w:rPr>
                <w:rFonts w:hint="eastAsia" w:ascii="宋体" w:hAnsi="宋体" w:cs="宋体"/>
                <w:b/>
                <w:bCs/>
                <w:kern w:val="0"/>
                <w:sz w:val="20"/>
                <w:szCs w:val="20"/>
              </w:rPr>
              <w:t>评价分值</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b/>
                <w:bCs/>
                <w:kern w:val="0"/>
                <w:sz w:val="20"/>
                <w:szCs w:val="20"/>
              </w:rPr>
            </w:pPr>
            <w:r>
              <w:rPr>
                <w:rFonts w:hint="eastAsia" w:ascii="宋体" w:hAnsi="宋体" w:cs="宋体"/>
                <w:b/>
                <w:bCs/>
                <w:kern w:val="0"/>
                <w:sz w:val="20"/>
                <w:szCs w:val="20"/>
              </w:rPr>
              <w:t>评价标准</w:t>
            </w:r>
          </w:p>
        </w:tc>
        <w:tc>
          <w:tcPr>
            <w:tcW w:w="285"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b/>
                <w:bCs/>
                <w:kern w:val="0"/>
                <w:sz w:val="20"/>
                <w:szCs w:val="20"/>
              </w:rPr>
            </w:pPr>
            <w:r>
              <w:rPr>
                <w:rFonts w:hint="eastAsia" w:ascii="宋体" w:hAnsi="宋体" w:cs="宋体"/>
                <w:b/>
                <w:bCs/>
                <w:kern w:val="0"/>
                <w:sz w:val="20"/>
                <w:szCs w:val="20"/>
                <w:lang w:val="en-US" w:eastAsia="zh-CN"/>
              </w:rPr>
              <w:t>评价 得</w:t>
            </w:r>
            <w:r>
              <w:rPr>
                <w:rFonts w:hint="eastAsia" w:ascii="宋体" w:hAnsi="宋体" w:cs="宋体"/>
                <w:b/>
                <w:bCs/>
                <w:kern w:val="0"/>
                <w:sz w:val="20"/>
                <w:szCs w:val="20"/>
              </w:rPr>
              <w:t>分</w:t>
            </w:r>
          </w:p>
        </w:tc>
        <w:tc>
          <w:tcPr>
            <w:tcW w:w="585"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b/>
                <w:bCs/>
                <w:kern w:val="0"/>
                <w:sz w:val="20"/>
                <w:szCs w:val="20"/>
              </w:rPr>
            </w:pPr>
            <w:r>
              <w:rPr>
                <w:rFonts w:hint="eastAsia" w:ascii="宋体" w:hAnsi="宋体" w:cs="宋体"/>
                <w:b/>
                <w:bCs/>
                <w:kern w:val="0"/>
                <w:sz w:val="20"/>
                <w:szCs w:val="20"/>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决策</w:t>
            </w:r>
          </w:p>
        </w:tc>
        <w:tc>
          <w:tcPr>
            <w:tcW w:w="363"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项目立项</w:t>
            </w:r>
          </w:p>
        </w:tc>
        <w:tc>
          <w:tcPr>
            <w:tcW w:w="38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left"/>
              <w:textAlignment w:val="auto"/>
              <w:rPr>
                <w:rFonts w:ascii="宋体" w:hAnsi="宋体" w:cs="宋体"/>
                <w:kern w:val="0"/>
                <w:sz w:val="20"/>
                <w:szCs w:val="20"/>
              </w:rPr>
            </w:pPr>
            <w:r>
              <w:rPr>
                <w:rFonts w:hint="eastAsia" w:ascii="宋体" w:hAnsi="宋体" w:cs="宋体"/>
                <w:kern w:val="0"/>
                <w:sz w:val="20"/>
                <w:szCs w:val="20"/>
              </w:rPr>
              <w:t>立项依据充分性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w:t>
            </w: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项目立项与法律法规、相关政策、发展规划以及部门职责的相符性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项目立项是否符合法律法规、相关政策、发展规划以及部门职责，用以反映和考核项目立项依据情况。</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1.8（含）-2.0</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与法律法规、相关政策、发展规划以及部门职责相符性高</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ascii="宋体" w:hAnsi="宋体" w:cs="宋体"/>
                <w:kern w:val="0"/>
                <w:sz w:val="20"/>
                <w:szCs w:val="20"/>
              </w:rPr>
              <w:t>2.00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1.5（含）-1.8</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与法律法规、相关政策、发展规划以及部门职责较为相符</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1.2（含）-1.5</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与法律法规、相关政策、发展规划以及部门职责基本相符</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0（含）-1.2</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与法律法规、相关政策、发展规划以及部门职责不相符</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left"/>
              <w:textAlignment w:val="auto"/>
              <w:rPr>
                <w:rFonts w:ascii="宋体" w:hAnsi="宋体" w:cs="宋体"/>
                <w:kern w:val="0"/>
                <w:sz w:val="20"/>
                <w:szCs w:val="20"/>
              </w:rPr>
            </w:pPr>
            <w:r>
              <w:rPr>
                <w:rFonts w:hint="eastAsia" w:ascii="宋体" w:hAnsi="宋体" w:cs="宋体"/>
                <w:kern w:val="0"/>
                <w:sz w:val="20"/>
                <w:szCs w:val="20"/>
              </w:rPr>
              <w:t>立项程序规范性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3</w:t>
            </w: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项目立项程序的规范性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项目是否按照规定的程序申请设立</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0.9（含）-1.0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立项程序完整、有效，立项程序科学、程序化</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ascii="宋体" w:hAnsi="宋体" w:cs="宋体"/>
                <w:kern w:val="0"/>
                <w:sz w:val="20"/>
                <w:szCs w:val="20"/>
              </w:rPr>
              <w:t>1.00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0.75（含）-0.9</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立项程序较为完整、有效，立项程序较为科学、程序化</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0.6（含）-0.75</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未将相关立项程序制度化，但项目立项经过相关立项程序</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0（含）-0.6</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立项程序不完整，缺乏有效性</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项目立项的审批文件、材料与相关要求的相符性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审批文件、材料是否符合相关要求</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0.9（含）-1.0</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项目立项的审批文件、材料与相关要求的相符性高</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ascii="宋体" w:hAnsi="宋体" w:cs="宋体"/>
                <w:kern w:val="0"/>
                <w:sz w:val="20"/>
                <w:szCs w:val="20"/>
              </w:rPr>
              <w:t>1.00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0.75（含）-0.9</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项目立项的审批文件、材料与相关要求的相符性较高</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0.6（含）-0.75</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项目立项的审批文件、材料与相关要求的相符性一般</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0（含）-0.6</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项目立项的审批文件、材料与相关要求不相符</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项目立项决策结果的合理性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事前是否已经过必要的可行性研究、专家论证、风险评估、绩效评估、集体决策</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0.9（含）-1.0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严格履行相关立项决策程序，决策过程有效，项目申报程序规范，可行性研究、专家论证、风险评估、绩效评估、集体决策等申报资料完整</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ascii="宋体" w:hAnsi="宋体" w:cs="宋体"/>
                <w:kern w:val="0"/>
                <w:sz w:val="20"/>
                <w:szCs w:val="20"/>
              </w:rPr>
              <w:t>1.00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0.75（含）-0.9</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履行了相关决策程序，决策过程较为有效，可行性研究、专家论证、风险评估、绩效评估、集体决策等申报资料较为完整</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0.6（含）-0.75</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履行了相关决策程序，决策过程的有效性有待提高，决策结果科学性一般；履行了项目申报程序，并提交了可行性研究、专家论证、风险评估、绩效评估、集体决策等相应申报资料</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0（含）-0.6</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未履行相关决策程序，决策过程流于形式，决策结果缺乏科学性；未履行项目申报程序，可行性研究、专家论证、风险评估、绩效评估、集体决策等申报资料不完整</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绩效目标</w:t>
            </w:r>
          </w:p>
        </w:tc>
        <w:tc>
          <w:tcPr>
            <w:tcW w:w="38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绩效目标合理性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w:t>
            </w: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绩效目标合理性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是否有绩效目标（如未设定预算绩效目标，可考核其他工作任务目标）；项目绩效目标与实际工作内容是否具有相关性；项目预期产出效益和效果是否符合正常的业绩水平；是否与预算确定的项目投资额或资金量相匹配。</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1.8（含）-2.0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绩效目标的设立合理、可行，与实际工作内容相关性强，项目预期产出效益和效果与正常业绩水平的相符性强，与预算确定的项目投资额或资金量的匹配性高</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宋体" w:hAnsi="宋体" w:cs="宋体" w:eastAsiaTheme="minorEastAsia"/>
                <w:kern w:val="0"/>
                <w:sz w:val="20"/>
                <w:szCs w:val="20"/>
                <w:lang w:val="en-US" w:eastAsia="zh-CN"/>
              </w:rPr>
            </w:pPr>
            <w:r>
              <w:rPr>
                <w:rFonts w:hint="eastAsia" w:ascii="宋体" w:hAnsi="宋体" w:cs="宋体" w:eastAsiaTheme="minorEastAsia"/>
                <w:kern w:val="0"/>
                <w:sz w:val="20"/>
                <w:szCs w:val="20"/>
                <w:lang w:val="en-US" w:eastAsia="zh-CN"/>
              </w:rPr>
              <w:t>2</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宋体" w:hAnsi="宋体" w:cs="宋体" w:eastAsiaTheme="minorEastAsia"/>
                <w:kern w:val="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1.5（含）-1.8</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绩效目标的设立比较合理、可行，与实际工作内容相关性较强，项目预期产出效益和效果与正常业绩水平的相符性较强，与预算确定的项目投资额或资金量的匹配性较高</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1.2（含）-1.5</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绩效目标的设立基本合理、可行，与实际工作内容相关性一般，项目预期产出效益和效果与正常业绩水平的相符性一般，与预算确定的项目投资额或资金量的匹配性一般</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0（含）-1.2</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绩效目标的设立不太合理、可行，缺乏与实际工作内容的相关性，项目预期产出效益和效果缺乏与正常业绩水平的相符性，缺乏与预算确定的项目投资额或资金量的匹配性</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绩效指标明确性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w:t>
            </w: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绩效指标明确性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是否将项目绩效目标细化分解为具体的绩效指标；是否通过清晰、可衡量的指标值予以体现；是否与项目目标任务数或计划数相对应。</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0.9（含）-1.0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绩效指标充分细化、量化、清晰、可衡量，与项目目标任务数或计划数的对应性强</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w:t>
            </w:r>
            <w:r>
              <w:rPr>
                <w:rFonts w:ascii="宋体" w:hAnsi="宋体" w:cs="宋体"/>
                <w:kern w:val="0"/>
                <w:sz w:val="20"/>
                <w:szCs w:val="20"/>
              </w:rPr>
              <w:t>.80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both"/>
              <w:textAlignment w:val="auto"/>
              <w:rPr>
                <w:rFonts w:ascii="宋体" w:hAnsi="宋体" w:cs="宋体"/>
                <w:kern w:val="0"/>
                <w:sz w:val="20"/>
                <w:szCs w:val="20"/>
              </w:rPr>
            </w:pPr>
            <w:r>
              <w:rPr>
                <w:rFonts w:hint="eastAsia" w:ascii="宋体" w:hAnsi="宋体" w:cs="宋体"/>
                <w:kern w:val="0"/>
                <w:sz w:val="20"/>
                <w:szCs w:val="20"/>
                <w:lang w:val="en-US" w:eastAsia="zh-CN"/>
              </w:rPr>
              <w:t>部分绩效</w:t>
            </w:r>
            <w:r>
              <w:rPr>
                <w:rFonts w:hint="eastAsia" w:ascii="宋体" w:hAnsi="宋体" w:cs="宋体"/>
                <w:kern w:val="0"/>
                <w:sz w:val="20"/>
                <w:szCs w:val="20"/>
              </w:rPr>
              <w:t>指标设置</w:t>
            </w:r>
            <w:r>
              <w:rPr>
                <w:rFonts w:hint="eastAsia" w:ascii="宋体" w:hAnsi="宋体" w:cs="宋体"/>
                <w:kern w:val="0"/>
                <w:sz w:val="20"/>
                <w:szCs w:val="20"/>
                <w:lang w:val="en-US" w:eastAsia="zh-CN"/>
              </w:rPr>
              <w:t>量化不够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0.75（含）-0.9</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绩效指标比较细化、量化、清晰、可衡量，与项目目标任务数或计划数的对应性较强</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0.6（含）-0.75</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绩效指标需要进一步细化、量化，与项目目标任务数或计划数的对应性一般</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0（含）-0.6</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绩效目标不够细化、量化，或未设定量化、细化指标，缺乏与项目目标任务数或计划数的对应性</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资金投入</w:t>
            </w:r>
          </w:p>
        </w:tc>
        <w:tc>
          <w:tcPr>
            <w:tcW w:w="38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预算编制科学性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w:t>
            </w: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预算编制科学性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项目预算编制是否经过科学论证、有明确标准，资金额度与年度目标是否相适应，用以反映和考核项目预算编制的科学性、合理性情况。</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0.9（含）-1.0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项目预算编制经过充分的科学论证，资金额度与年度目标适应性强</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ascii="宋体" w:hAnsi="宋体" w:cs="宋体"/>
                <w:kern w:val="0"/>
                <w:sz w:val="20"/>
                <w:szCs w:val="20"/>
              </w:rPr>
              <w:t>1.00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0.75（含）-0.9</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项目预算编制经过较为充分的科学论证，资金额度与年度目标适应性较强</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0.6（含）-0.75</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项目预算编制经过一定的科学论证，资金额度与年度目标适应性一般</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0（含）-0.6</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项目预算编制缺乏科学论证，资金额度与年度目标缺乏适应性</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资金分配合理性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w:t>
            </w: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资金分配合理性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项目预算资金分配是否有测算依据，与补助单位或地方实际是否相适应，用以反映和考核项目预算资金分配的科学性、合理性情况。</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0.9（含）-1.0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项目预算资金分配有充分的测算依据，与补助单位或地方实际适应性强</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ascii="宋体" w:hAnsi="宋体" w:cs="宋体"/>
                <w:kern w:val="0"/>
                <w:sz w:val="20"/>
                <w:szCs w:val="20"/>
              </w:rPr>
              <w:t>1.00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0.75（含）-0.9</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项目预算资金分配有较为充分的测算依据，与补助单位或地方实际适应性较强</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0.6（含）-0.75</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项目预算资金分配有一定的测算依据，与补助单位或地方实际适应性一般</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0（含）-0.6</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项目预算资金分配缺乏测算依据，与补助单位或地方实际缺乏适应性</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7" w:hRule="atLeast"/>
          <w:jc w:val="center"/>
        </w:trPr>
        <w:tc>
          <w:tcPr>
            <w:tcW w:w="27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过程</w:t>
            </w:r>
          </w:p>
        </w:tc>
        <w:tc>
          <w:tcPr>
            <w:tcW w:w="363"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资金管理</w:t>
            </w:r>
          </w:p>
        </w:tc>
        <w:tc>
          <w:tcPr>
            <w:tcW w:w="389"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资金到位率</w:t>
            </w:r>
          </w:p>
        </w:tc>
        <w:tc>
          <w:tcPr>
            <w:tcW w:w="218"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w:t>
            </w:r>
          </w:p>
        </w:tc>
        <w:tc>
          <w:tcPr>
            <w:tcW w:w="467"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资金到位率</w:t>
            </w:r>
          </w:p>
        </w:tc>
        <w:tc>
          <w:tcPr>
            <w:tcW w:w="218"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w:t>
            </w:r>
          </w:p>
        </w:tc>
        <w:tc>
          <w:tcPr>
            <w:tcW w:w="772"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实际到位资金与预算资金的比率，用以反映和考核资金落实情况对项目实施的总体保障程度。资金到位率=（实际到位资金/预算资金）×100%。</w:t>
            </w:r>
            <w:r>
              <w:rPr>
                <w:rFonts w:hint="eastAsia" w:ascii="宋体" w:hAnsi="宋体" w:cs="宋体"/>
                <w:kern w:val="0"/>
                <w:sz w:val="20"/>
                <w:szCs w:val="20"/>
              </w:rPr>
              <w:br w:type="textWrapping"/>
            </w:r>
            <w:r>
              <w:rPr>
                <w:rFonts w:hint="eastAsia" w:ascii="宋体" w:hAnsi="宋体" w:cs="宋体"/>
                <w:kern w:val="0"/>
                <w:sz w:val="20"/>
                <w:szCs w:val="20"/>
              </w:rPr>
              <w:t>实际到位资金：一定时期（本年度或项目期）内落实到具体项目的资金。</w:t>
            </w:r>
            <w:r>
              <w:rPr>
                <w:rFonts w:hint="eastAsia" w:ascii="宋体" w:hAnsi="宋体" w:cs="宋体"/>
                <w:kern w:val="0"/>
                <w:sz w:val="20"/>
                <w:szCs w:val="20"/>
              </w:rPr>
              <w:br w:type="textWrapping"/>
            </w:r>
            <w:r>
              <w:rPr>
                <w:rFonts w:hint="eastAsia" w:ascii="宋体" w:hAnsi="宋体" w:cs="宋体"/>
                <w:kern w:val="0"/>
                <w:sz w:val="20"/>
                <w:szCs w:val="20"/>
              </w:rPr>
              <w:t>预算资金：一定时期（本年度或项目期）内预算安排到具体项目的资金。</w:t>
            </w:r>
          </w:p>
        </w:tc>
        <w:tc>
          <w:tcPr>
            <w:tcW w:w="556"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最后得分=资金到位率*2</w:t>
            </w:r>
          </w:p>
        </w:tc>
        <w:tc>
          <w:tcPr>
            <w:tcW w:w="285"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2.00</w:t>
            </w:r>
          </w:p>
        </w:tc>
        <w:tc>
          <w:tcPr>
            <w:tcW w:w="585"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预算执行率</w:t>
            </w:r>
          </w:p>
        </w:tc>
        <w:tc>
          <w:tcPr>
            <w:tcW w:w="218"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w:t>
            </w:r>
          </w:p>
        </w:tc>
        <w:tc>
          <w:tcPr>
            <w:tcW w:w="467"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预算执行率</w:t>
            </w:r>
          </w:p>
        </w:tc>
        <w:tc>
          <w:tcPr>
            <w:tcW w:w="218"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w:t>
            </w:r>
          </w:p>
        </w:tc>
        <w:tc>
          <w:tcPr>
            <w:tcW w:w="772"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项目预算资金是否按照计划执行，用以反映或考核项目预算执行情况。预算执行率=（实际支出资金/实际到位资金）×100%。</w:t>
            </w:r>
            <w:r>
              <w:rPr>
                <w:rFonts w:hint="eastAsia" w:ascii="宋体" w:hAnsi="宋体" w:cs="宋体"/>
                <w:kern w:val="0"/>
                <w:sz w:val="20"/>
                <w:szCs w:val="20"/>
              </w:rPr>
              <w:br w:type="textWrapping"/>
            </w:r>
            <w:r>
              <w:rPr>
                <w:rFonts w:hint="eastAsia" w:ascii="宋体" w:hAnsi="宋体" w:cs="宋体"/>
                <w:kern w:val="0"/>
                <w:sz w:val="20"/>
                <w:szCs w:val="20"/>
              </w:rPr>
              <w:t>实际支出资金：一定时期（本年度或项目期）内项目实际拨付的资金。</w:t>
            </w:r>
          </w:p>
        </w:tc>
        <w:tc>
          <w:tcPr>
            <w:tcW w:w="556"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最后得分=预算执行率*2</w:t>
            </w:r>
          </w:p>
        </w:tc>
        <w:tc>
          <w:tcPr>
            <w:tcW w:w="285"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宋体" w:hAnsi="宋体" w:cs="宋体" w:eastAsiaTheme="minorEastAsia"/>
                <w:kern w:val="0"/>
                <w:sz w:val="20"/>
                <w:szCs w:val="20"/>
                <w:highlight w:val="yellow"/>
                <w:lang w:val="en-US" w:eastAsia="zh-CN"/>
              </w:rPr>
            </w:pPr>
            <w:r>
              <w:rPr>
                <w:rFonts w:hint="eastAsia" w:ascii="宋体" w:hAnsi="宋体" w:cs="宋体"/>
                <w:kern w:val="0"/>
                <w:sz w:val="20"/>
                <w:szCs w:val="20"/>
                <w:highlight w:val="none"/>
                <w:lang w:val="en-US" w:eastAsia="zh-CN"/>
              </w:rPr>
              <w:t>2.00</w:t>
            </w:r>
          </w:p>
        </w:tc>
        <w:tc>
          <w:tcPr>
            <w:tcW w:w="585"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资金使用合规性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4</w:t>
            </w: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与国家财经法规和财务管理制度以及有关专项资金管理办法规定的相符性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项目资金使用是否符合相关的财务管理制度规定，用以反映和考核项目资金的规范运行情况。</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0.9（含）-1.0</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与国家财经法规和财务管理制度以及有关专项资金管理办法规定的相符性强</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ascii="宋体" w:hAnsi="宋体" w:cs="宋体"/>
                <w:kern w:val="0"/>
                <w:sz w:val="20"/>
                <w:szCs w:val="20"/>
              </w:rPr>
              <w:t>1.00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0.75（含）-0.9</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与国家财经法规和财务管理制度以及有关专项资金管理办法规定的相符性较强</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0.6（含）-0.75</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与国家财经法规和财务管理制度以及有关专项资金管理办法规定的相符性一般</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0（含）-0.6</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与国家财经法规和财务管理制度以及有关专项资金管理办法的规定缺乏相符性</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资金拨付审批程序和手续的完整性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资金的拨付是否有完整的审批程序和手续</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0.9（含）-1.0</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资金拨付审批程序和手续完整</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ascii="宋体" w:hAnsi="宋体" w:cs="宋体"/>
                <w:kern w:val="0"/>
                <w:sz w:val="20"/>
                <w:szCs w:val="20"/>
              </w:rPr>
              <w:t>1.00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0.75（含）-0.9</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资金拨付审批程序和手续较为完整</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0.6（含）-0.75</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资金拨付审批程序和手续基本完整</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0（含）-0.6</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资金拨付审批程序和手续不完整</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与项目预算批复或合同规定用途的相符性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是否符合项目预算批复或合同规定的用途</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0.9（含）-1.0</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与项目预算批复或合同规定用途的相符性强</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0.75（含）-0.9</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与项目预算批复或合同规定用途的相符性较强</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0.6（含）-0.75</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与项目预算批复或合同规定用途的相符性一般</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0（含）-0.6</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与项目预算批复或合同规定用途缺乏相符性</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资金使用规范性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是否存在截留、挤占、挪用、虚列支出等情况</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0.9（含）-1.0</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资金使用不存在截留、挤占、挪用、虚列支出等情况</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ascii="宋体" w:hAnsi="宋体" w:cs="宋体"/>
                <w:kern w:val="0"/>
                <w:sz w:val="20"/>
                <w:szCs w:val="20"/>
              </w:rPr>
              <w:t>1.00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0.75（含）-0.9</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资金使用基本不存在截留、挤占、挪用、虚列支出等情况</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0.6（含）-0.75</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资金使用存在轻微截留、挤占、挪用、虚列支出等情况</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0（含）-0.6</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资金使用存在严重截留、挤占、挪用、虚列支出等情况</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组织实施</w:t>
            </w:r>
          </w:p>
        </w:tc>
        <w:tc>
          <w:tcPr>
            <w:tcW w:w="38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管理制度健全性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4</w:t>
            </w: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 xml:space="preserve">财务和业务管理制度健全性 </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项目实施单位的财务和业务管理制度是否健全，用以反映和考核财务和业务管理制度对项目顺利实施的保障情况。</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1.8（含）-2.0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项目单位财务和业务管理制度健全</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ascii="宋体" w:hAnsi="宋体" w:cs="宋体"/>
                <w:kern w:val="0"/>
                <w:sz w:val="20"/>
                <w:szCs w:val="20"/>
              </w:rPr>
              <w:t>2.00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1.5（含）-1.8</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项目单位财务和业务管理制度较为健全</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1.2（含）-1.5</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r>
              <w:rPr>
                <w:rFonts w:hint="eastAsia" w:ascii="宋体" w:hAnsi="宋体" w:cs="宋体"/>
                <w:kern w:val="0"/>
                <w:sz w:val="20"/>
                <w:szCs w:val="20"/>
              </w:rPr>
              <w:t>项目单位财务和业务管理制度健全性一般</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0（含）-1.2</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项目单位财务和业务管理制度不健全</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 xml:space="preserve">财务和业务管理制度合法、合规和完整性 </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财务和业务管理制度是否合法、合规、完整</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1.8（含）-2.0</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项目单位财务和业务管理制度合法、合规和完整</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宋体" w:hAnsi="宋体" w:cs="宋体" w:eastAsiaTheme="minorEastAsia"/>
                <w:kern w:val="0"/>
                <w:sz w:val="20"/>
                <w:szCs w:val="20"/>
                <w:lang w:val="en-US" w:eastAsia="zh-CN"/>
              </w:rPr>
            </w:pPr>
            <w:r>
              <w:rPr>
                <w:rFonts w:hint="eastAsia" w:ascii="宋体" w:hAnsi="宋体" w:cs="宋体"/>
                <w:kern w:val="0"/>
                <w:sz w:val="20"/>
                <w:szCs w:val="20"/>
                <w:lang w:val="en-US" w:eastAsia="zh-CN"/>
              </w:rPr>
              <w:t>2</w:t>
            </w:r>
            <w:r>
              <w:rPr>
                <w:rFonts w:ascii="宋体" w:hAnsi="宋体" w:cs="宋体"/>
                <w:kern w:val="0"/>
                <w:sz w:val="20"/>
                <w:szCs w:val="20"/>
              </w:rPr>
              <w:t>.</w:t>
            </w:r>
            <w:r>
              <w:rPr>
                <w:rFonts w:hint="eastAsia" w:ascii="宋体" w:hAnsi="宋体" w:cs="宋体"/>
                <w:kern w:val="0"/>
                <w:sz w:val="20"/>
                <w:szCs w:val="20"/>
                <w:lang w:val="en-US" w:eastAsia="zh-CN"/>
              </w:rPr>
              <w:t>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1.5（含）-1.8</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项目单位财务和业务管理制度较为合法、合规和完整</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1.2（含）-1.5</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项目单位财务和业务管理制度合法性、合规性和完整性一般</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0（含）-1.2</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项目单位财务和业务管理制度缺乏合法性、合规性和完整性</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制度执行有效性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8</w:t>
            </w:r>
          </w:p>
        </w:tc>
        <w:tc>
          <w:tcPr>
            <w:tcW w:w="467"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遵守相关法律法规和相关管理规定情况</w:t>
            </w:r>
          </w:p>
        </w:tc>
        <w:tc>
          <w:tcPr>
            <w:tcW w:w="218"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w:t>
            </w:r>
          </w:p>
        </w:tc>
        <w:tc>
          <w:tcPr>
            <w:tcW w:w="772"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项目实施是否遵守相关法律法规和相关管理规定，用以反映和考核相关管理制度的有效执行情况。</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1.8（含）-2.0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项目单位严格遵守相关法律法规和相关管理规定</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ascii="宋体" w:hAnsi="宋体" w:cs="宋体"/>
                <w:kern w:val="0"/>
                <w:sz w:val="20"/>
                <w:szCs w:val="20"/>
              </w:rPr>
              <w:t>2.00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1.5（含）-1.8</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项目单位较好地遵守了相关法律法规和相关管理规定</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1.2（含）-1.5</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项目单位一定程度上遵守了相关法律法规和相关管理规定</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0（含）-1.2</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项目单位未遵守相关法律法规和相关管理规定</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项目调整及支出调整手续完备情况</w:t>
            </w:r>
          </w:p>
        </w:tc>
        <w:tc>
          <w:tcPr>
            <w:tcW w:w="218"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w:t>
            </w:r>
          </w:p>
        </w:tc>
        <w:tc>
          <w:tcPr>
            <w:tcW w:w="772"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项目调整及支出调整手续是否完备</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1.8（含）-2.0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项目调整及支出调整手续完备性高</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1.5（含）-1.8</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项目调整及支出调整手续完备性较高</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1.2（含）-1.5</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项目调整及支出调整手续完备性一般</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0（含）-1.2</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项目调整及支出调整手续缺乏完备性</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项目合同书、验收报告、技术鉴定等资料归档的完整性和及时性</w:t>
            </w:r>
          </w:p>
        </w:tc>
        <w:tc>
          <w:tcPr>
            <w:tcW w:w="218"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w:t>
            </w:r>
          </w:p>
        </w:tc>
        <w:tc>
          <w:tcPr>
            <w:tcW w:w="772"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项目合同书、验收报告、技术鉴定等资料是否齐全并及时归档</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1.8（含）-2.0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项目合同书、验收报告、技术鉴定等资料归档齐全、及时</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宋体" w:hAnsi="宋体" w:cs="宋体" w:eastAsiaTheme="minorEastAsia"/>
                <w:kern w:val="0"/>
                <w:sz w:val="20"/>
                <w:szCs w:val="20"/>
                <w:lang w:val="en-US" w:eastAsia="zh-CN"/>
              </w:rPr>
            </w:pPr>
            <w:r>
              <w:rPr>
                <w:rFonts w:hint="eastAsia" w:ascii="宋体" w:hAnsi="宋体" w:cs="宋体"/>
                <w:kern w:val="0"/>
                <w:sz w:val="20"/>
                <w:szCs w:val="20"/>
                <w:lang w:val="en-US" w:eastAsia="zh-CN"/>
              </w:rPr>
              <w:t>2</w:t>
            </w:r>
            <w:r>
              <w:rPr>
                <w:rFonts w:ascii="宋体" w:hAnsi="宋体" w:cs="宋体"/>
                <w:kern w:val="0"/>
                <w:sz w:val="20"/>
                <w:szCs w:val="20"/>
              </w:rPr>
              <w:t>.</w:t>
            </w:r>
            <w:r>
              <w:rPr>
                <w:rFonts w:hint="eastAsia" w:ascii="宋体" w:hAnsi="宋体" w:cs="宋体"/>
                <w:kern w:val="0"/>
                <w:sz w:val="20"/>
                <w:szCs w:val="20"/>
                <w:lang w:val="en-US" w:eastAsia="zh-CN"/>
              </w:rPr>
              <w:t>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both"/>
              <w:textAlignment w:val="auto"/>
              <w:rPr>
                <w:rFonts w:hint="eastAsia" w:ascii="宋体" w:hAnsi="宋体" w:cs="宋体" w:eastAsiaTheme="minorEastAsia"/>
                <w:kern w:val="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1.5（含）-1.8</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项目合同书、验收报告、技术鉴定等资料归档较为齐全、及时</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1.2（含）-1.5</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项目合同书、验收报告、技术鉴定等资料归档情况一般</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0（含）-1.2</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项目合同书、验收报告、技术鉴定等资料归档不齐全、不及时</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项目实施的人员条件、场地设备、信息支撑等落实到位情况</w:t>
            </w:r>
          </w:p>
        </w:tc>
        <w:tc>
          <w:tcPr>
            <w:tcW w:w="218"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w:t>
            </w:r>
          </w:p>
        </w:tc>
        <w:tc>
          <w:tcPr>
            <w:tcW w:w="772"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项目实施的人员条件、场地设备、信息支撑等是否落实到位</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1.8（含）-2.0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项目实施的人员条件、场地设备、信息支撑等落实到位情况好</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lang w:val="en-US" w:eastAsia="zh-CN"/>
              </w:rPr>
              <w:t>1</w:t>
            </w:r>
            <w:r>
              <w:rPr>
                <w:rFonts w:ascii="宋体" w:hAnsi="宋体" w:cs="宋体"/>
                <w:kern w:val="0"/>
                <w:sz w:val="20"/>
                <w:szCs w:val="20"/>
              </w:rPr>
              <w:t>.</w:t>
            </w:r>
            <w:r>
              <w:rPr>
                <w:rFonts w:hint="eastAsia" w:ascii="宋体" w:hAnsi="宋体" w:cs="宋体"/>
                <w:kern w:val="0"/>
                <w:sz w:val="20"/>
                <w:szCs w:val="20"/>
                <w:lang w:val="en-US" w:eastAsia="zh-CN"/>
              </w:rPr>
              <w:t>8</w:t>
            </w:r>
            <w:r>
              <w:rPr>
                <w:rFonts w:ascii="宋体" w:hAnsi="宋体" w:cs="宋体"/>
                <w:kern w:val="0"/>
                <w:sz w:val="20"/>
                <w:szCs w:val="20"/>
              </w:rPr>
              <w:t>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both"/>
              <w:textAlignment w:val="auto"/>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个别第三机构未按时提供相关的综合资料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1.5（含）-1.8</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项目实施的人员条件、场地设备、信息支撑等落实到位情况较好</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1.2（含）-1.5</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项目实施的人员条件、场地设备、信息支撑等落实到位情况一般</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0（含）-1.2</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项目实施的人员条件、场地设备、信息支撑等未落实到位</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27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产出</w:t>
            </w:r>
          </w:p>
        </w:tc>
        <w:tc>
          <w:tcPr>
            <w:tcW w:w="363"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产出数量</w:t>
            </w:r>
          </w:p>
        </w:tc>
        <w:tc>
          <w:tcPr>
            <w:tcW w:w="38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实际完成率</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10</w:t>
            </w: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实际完成率</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10</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项目实施的实际产出数与计划产出数的比率，用以反映和考核项目产出数量目标的实现程度。实际完成率=（实际产出数/计划产出数）×100%。</w:t>
            </w:r>
            <w:r>
              <w:rPr>
                <w:rFonts w:hint="eastAsia" w:ascii="宋体" w:hAnsi="宋体" w:cs="宋体"/>
                <w:kern w:val="0"/>
                <w:sz w:val="20"/>
                <w:szCs w:val="20"/>
              </w:rPr>
              <w:br w:type="textWrapping"/>
            </w:r>
            <w:r>
              <w:rPr>
                <w:rFonts w:hint="eastAsia" w:ascii="宋体" w:hAnsi="宋体" w:cs="宋体"/>
                <w:kern w:val="0"/>
                <w:sz w:val="20"/>
                <w:szCs w:val="20"/>
              </w:rPr>
              <w:t>实际产出数：一定时期（本年度或项目期）内项目实际产出的产品或提供的服务数量。</w:t>
            </w:r>
            <w:r>
              <w:rPr>
                <w:rFonts w:hint="eastAsia" w:ascii="宋体" w:hAnsi="宋体" w:cs="宋体"/>
                <w:kern w:val="0"/>
                <w:sz w:val="20"/>
                <w:szCs w:val="20"/>
              </w:rPr>
              <w:br w:type="textWrapping"/>
            </w:r>
            <w:r>
              <w:rPr>
                <w:rFonts w:hint="eastAsia" w:ascii="宋体" w:hAnsi="宋体" w:cs="宋体"/>
                <w:kern w:val="0"/>
                <w:sz w:val="20"/>
                <w:szCs w:val="20"/>
              </w:rPr>
              <w:t>计划产出数：项目绩效目标确定的在一定时期（本年度或项目期）内计划产出的产品或提供的服务数量。</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9.0（含）-10.0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实际完成率≥95%</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7.5（含）-9.0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80%≤实际完成率＜95%</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6.0（含）-7.5</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60%≤实际完成率＜80%</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0（含）-6.0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实际完成率＜60%</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3"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63"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产出质量</w:t>
            </w:r>
          </w:p>
        </w:tc>
        <w:tc>
          <w:tcPr>
            <w:tcW w:w="38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质量达标率</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10</w:t>
            </w: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质量达标率</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10</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项目完成的质量达标产出数与实际产出数的比率，用以反映和考核项目产出质量目标的实现程度。质量达标率=（质量达标产出数/实际产出数）×100%。</w:t>
            </w:r>
            <w:r>
              <w:rPr>
                <w:rFonts w:hint="eastAsia" w:ascii="宋体" w:hAnsi="宋体" w:cs="宋体"/>
                <w:kern w:val="0"/>
                <w:sz w:val="20"/>
                <w:szCs w:val="20"/>
              </w:rPr>
              <w:br w:type="textWrapping"/>
            </w:r>
            <w:r>
              <w:rPr>
                <w:rFonts w:hint="eastAsia" w:ascii="宋体" w:hAnsi="宋体" w:cs="宋体"/>
                <w:kern w:val="0"/>
                <w:sz w:val="20"/>
                <w:szCs w:val="20"/>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9.0（含）-10.0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质量达标率≥95%</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ascii="宋体" w:hAnsi="宋体" w:cs="宋体"/>
                <w:kern w:val="0"/>
                <w:sz w:val="20"/>
                <w:szCs w:val="20"/>
              </w:rPr>
              <w:t>10.00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3"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7.5（含）-9.0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80%≤质量达标率＜95%</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6.0（含）-7.5</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60%≤质量达标率＜80%</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0（含）-6.0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质量达标率＜60%</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产出时效</w:t>
            </w:r>
          </w:p>
        </w:tc>
        <w:tc>
          <w:tcPr>
            <w:tcW w:w="38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完成及时性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10</w:t>
            </w: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完成及时性</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10</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项目实际完成时间与计划完成时间的比较，用以反映和考核项目产出时效目标的实现程度。实际完成时间：项目实施单位完成该项目实际所耗用的时间。</w:t>
            </w:r>
            <w:r>
              <w:rPr>
                <w:rFonts w:hint="eastAsia" w:ascii="宋体" w:hAnsi="宋体" w:cs="宋体"/>
                <w:kern w:val="0"/>
                <w:sz w:val="20"/>
                <w:szCs w:val="20"/>
              </w:rPr>
              <w:br w:type="textWrapping"/>
            </w:r>
            <w:r>
              <w:rPr>
                <w:rFonts w:hint="eastAsia" w:ascii="宋体" w:hAnsi="宋体" w:cs="宋体"/>
                <w:kern w:val="0"/>
                <w:sz w:val="20"/>
                <w:szCs w:val="20"/>
              </w:rPr>
              <w:t>计划完成时间：按照项目实施计划或相关规定完成该项目所需的时间。</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9.0（含）-10.0</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项目实施完成及时性好</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ascii="宋体" w:hAnsi="宋体" w:cs="宋体"/>
                <w:kern w:val="0"/>
                <w:sz w:val="20"/>
                <w:szCs w:val="20"/>
              </w:rPr>
              <w:t>10.00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7.5（含）-9.0</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项目实施完成及时性较好</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6.0（含）-7.5</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项目实施完成及时性一般</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0（含）-6.0</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项目实施未及时完成</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产出成本</w:t>
            </w:r>
          </w:p>
        </w:tc>
        <w:tc>
          <w:tcPr>
            <w:tcW w:w="38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成本节约率</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10</w:t>
            </w: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成本节约率</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10</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完成项目计划工作目标的实际节约成本与计划成本的比率，用以反映和考核项目的成本节约程度。成本节约率=[（计划成本-实际成本）/计划成本]×100%。</w:t>
            </w:r>
            <w:r>
              <w:rPr>
                <w:rFonts w:hint="eastAsia" w:ascii="宋体" w:hAnsi="宋体" w:cs="宋体"/>
                <w:kern w:val="0"/>
                <w:sz w:val="20"/>
                <w:szCs w:val="20"/>
              </w:rPr>
              <w:br w:type="textWrapping"/>
            </w:r>
            <w:r>
              <w:rPr>
                <w:rFonts w:hint="eastAsia" w:ascii="宋体" w:hAnsi="宋体" w:cs="宋体"/>
                <w:kern w:val="0"/>
                <w:sz w:val="20"/>
                <w:szCs w:val="20"/>
              </w:rPr>
              <w:t>实际成本：项目实施单位如期、保质、保量完成既定工作目标实际所耗费的支出。</w:t>
            </w:r>
            <w:r>
              <w:rPr>
                <w:rFonts w:hint="eastAsia" w:ascii="宋体" w:hAnsi="宋体" w:cs="宋体"/>
                <w:kern w:val="0"/>
                <w:sz w:val="20"/>
                <w:szCs w:val="20"/>
              </w:rPr>
              <w:br w:type="textWrapping"/>
            </w:r>
            <w:r>
              <w:rPr>
                <w:rFonts w:hint="eastAsia" w:ascii="宋体" w:hAnsi="宋体" w:cs="宋体"/>
                <w:kern w:val="0"/>
                <w:sz w:val="20"/>
                <w:szCs w:val="20"/>
              </w:rPr>
              <w:t>计划成本：项目实施单位为完成工作目标计划安排的支出，一般以项目预算为参考。</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9.0（含）-10.0</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项目实施成本节约率高</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10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7.5（含）-9.0</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项目实施成本节约率较高</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6.0（含）-7.5</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项目实施成本节约率一般</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0（含）-6.0</w:t>
            </w:r>
          </w:p>
        </w:tc>
        <w:tc>
          <w:tcPr>
            <w:tcW w:w="8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项目实施成本节约率低</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效益</w:t>
            </w:r>
          </w:p>
        </w:tc>
        <w:tc>
          <w:tcPr>
            <w:tcW w:w="363"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项目效益</w:t>
            </w:r>
          </w:p>
        </w:tc>
        <w:tc>
          <w:tcPr>
            <w:tcW w:w="38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实施效益</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20</w:t>
            </w: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社会效益</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10</w:t>
            </w:r>
          </w:p>
        </w:tc>
        <w:tc>
          <w:tcPr>
            <w:tcW w:w="772"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项目实施是否产生社会综合效益及其影响程度。</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9.0（含）-10.0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项目实施产生的社会效益影响显著</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lang w:val="en-US" w:eastAsia="zh-CN"/>
              </w:rPr>
              <w:t>9</w:t>
            </w:r>
            <w:r>
              <w:rPr>
                <w:rFonts w:ascii="宋体" w:hAnsi="宋体" w:cs="宋体"/>
                <w:kern w:val="0"/>
                <w:sz w:val="20"/>
                <w:szCs w:val="20"/>
              </w:rPr>
              <w:t>.</w:t>
            </w:r>
            <w:r>
              <w:rPr>
                <w:rFonts w:hint="eastAsia" w:ascii="宋体" w:hAnsi="宋体" w:cs="宋体"/>
                <w:kern w:val="0"/>
                <w:sz w:val="20"/>
                <w:szCs w:val="20"/>
                <w:lang w:val="en-US" w:eastAsia="zh-CN"/>
              </w:rPr>
              <w:t>0</w:t>
            </w:r>
            <w:r>
              <w:rPr>
                <w:rFonts w:ascii="宋体" w:hAnsi="宋体" w:cs="宋体"/>
                <w:kern w:val="0"/>
                <w:sz w:val="20"/>
                <w:szCs w:val="20"/>
              </w:rPr>
              <w:t>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both"/>
              <w:textAlignment w:val="auto"/>
              <w:rPr>
                <w:rFonts w:ascii="宋体" w:hAnsi="宋体" w:cs="宋体"/>
                <w:kern w:val="0"/>
                <w:sz w:val="20"/>
                <w:szCs w:val="20"/>
              </w:rPr>
            </w:pPr>
            <w:r>
              <w:rPr>
                <w:rFonts w:hint="eastAsia" w:ascii="宋体" w:hAnsi="宋体" w:cs="宋体"/>
                <w:kern w:val="0"/>
                <w:sz w:val="20"/>
                <w:szCs w:val="20"/>
                <w:lang w:val="en-US" w:eastAsia="zh-CN"/>
              </w:rPr>
              <w:t>对项目效益</w:t>
            </w:r>
            <w:r>
              <w:rPr>
                <w:rFonts w:hint="eastAsia" w:ascii="宋体" w:hAnsi="宋体" w:cs="宋体"/>
                <w:kern w:val="0"/>
                <w:sz w:val="20"/>
                <w:szCs w:val="20"/>
              </w:rPr>
              <w:t>总结不足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7.5（含）-9.0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项目实施产生的社会效益影响比较显著</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6.0（含）-7.5</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项目实施产生的社会效益影响一般显著</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0（含）-6.0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项目实施产生的社会效益影响不显著</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可持续影响</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10</w:t>
            </w:r>
          </w:p>
        </w:tc>
        <w:tc>
          <w:tcPr>
            <w:tcW w:w="772"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项目实施对人、自然、资源是否带来可持续影响。</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9.0（含）-10.0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项目实施产生的可持续影响显著</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lang w:val="en-US" w:eastAsia="zh-CN"/>
              </w:rPr>
              <w:t>10</w:t>
            </w:r>
            <w:r>
              <w:rPr>
                <w:rFonts w:ascii="宋体" w:hAnsi="宋体" w:cs="宋体"/>
                <w:kern w:val="0"/>
                <w:sz w:val="20"/>
                <w:szCs w:val="20"/>
              </w:rPr>
              <w:t>.</w:t>
            </w:r>
            <w:r>
              <w:rPr>
                <w:rFonts w:hint="eastAsia" w:ascii="宋体" w:hAnsi="宋体" w:cs="宋体"/>
                <w:kern w:val="0"/>
                <w:sz w:val="20"/>
                <w:szCs w:val="20"/>
                <w:lang w:val="en-US" w:eastAsia="zh-CN"/>
              </w:rPr>
              <w:t>0</w:t>
            </w:r>
            <w:r>
              <w:rPr>
                <w:rFonts w:ascii="宋体" w:hAnsi="宋体" w:cs="宋体"/>
                <w:kern w:val="0"/>
                <w:sz w:val="20"/>
                <w:szCs w:val="20"/>
              </w:rPr>
              <w:t>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both"/>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7.5（含）-9.0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项目实施产生的可持续影响比较显著</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6.0（含）-7.5</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项目实施产生的可持续影响一般显著</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0（含）-6.0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项目实施产生的可持续影响不显著</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89"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满意度</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10</w:t>
            </w:r>
          </w:p>
        </w:tc>
        <w:tc>
          <w:tcPr>
            <w:tcW w:w="467"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服务对象满意度及其程度</w:t>
            </w:r>
          </w:p>
        </w:tc>
        <w:tc>
          <w:tcPr>
            <w:tcW w:w="218"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10</w:t>
            </w:r>
          </w:p>
        </w:tc>
        <w:tc>
          <w:tcPr>
            <w:tcW w:w="772" w:type="pct"/>
            <w:vMerge w:val="restar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社会公众或服务对象对项目实施效果的满意程度。社会公众或服务对象是指因该项目实施而受到影响的部门（单位）、群体或个人。一般采取社会调查的方式。</w:t>
            </w: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9.0（含）-10.0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服务对象非常满意</w:t>
            </w:r>
          </w:p>
        </w:tc>
        <w:tc>
          <w:tcPr>
            <w:tcW w:w="2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宋体" w:hAnsi="宋体" w:cs="宋体" w:eastAsiaTheme="minorEastAsia"/>
                <w:kern w:val="0"/>
                <w:sz w:val="20"/>
                <w:szCs w:val="20"/>
                <w:lang w:val="en-US" w:eastAsia="zh-CN"/>
              </w:rPr>
            </w:pPr>
            <w:r>
              <w:rPr>
                <w:rFonts w:hint="eastAsia" w:ascii="宋体" w:hAnsi="宋体" w:cs="宋体"/>
                <w:kern w:val="0"/>
                <w:sz w:val="20"/>
                <w:szCs w:val="20"/>
                <w:lang w:val="en-US" w:eastAsia="zh-CN"/>
              </w:rPr>
              <w:t>9.00</w:t>
            </w:r>
          </w:p>
        </w:tc>
        <w:tc>
          <w:tcPr>
            <w:tcW w:w="585" w:type="pct"/>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both"/>
              <w:textAlignment w:val="auto"/>
              <w:rPr>
                <w:rFonts w:hint="default" w:ascii="宋体" w:hAnsi="宋体" w:cs="宋体" w:eastAsiaTheme="minorEastAsia"/>
                <w:kern w:val="0"/>
                <w:sz w:val="20"/>
                <w:szCs w:val="20"/>
                <w:lang w:val="en-US" w:eastAsia="zh-CN"/>
              </w:rPr>
            </w:pPr>
            <w:r>
              <w:rPr>
                <w:rFonts w:hint="eastAsia" w:ascii="宋体" w:hAnsi="宋体" w:cs="宋体" w:eastAsiaTheme="minorEastAsia"/>
                <w:kern w:val="0"/>
                <w:sz w:val="20"/>
                <w:szCs w:val="20"/>
                <w:lang w:val="en-US" w:eastAsia="zh-CN"/>
              </w:rPr>
              <w:t>服务单位对项目情况沟通不够充分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7.5（含）-9.0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服务对象比较满意</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6.0（含）-7.5</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服务对象态度一般</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7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63"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389"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467"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21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772"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c>
          <w:tcPr>
            <w:tcW w:w="55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kern w:val="0"/>
                <w:sz w:val="20"/>
                <w:szCs w:val="20"/>
              </w:rPr>
            </w:pPr>
            <w:r>
              <w:rPr>
                <w:rFonts w:hint="eastAsia" w:ascii="宋体" w:hAnsi="宋体" w:cs="宋体"/>
                <w:kern w:val="0"/>
                <w:sz w:val="20"/>
                <w:szCs w:val="20"/>
              </w:rPr>
              <w:t>0（含）-6.0</w:t>
            </w:r>
          </w:p>
        </w:tc>
        <w:tc>
          <w:tcPr>
            <w:tcW w:w="86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textAlignment w:val="auto"/>
              <w:rPr>
                <w:rFonts w:ascii="宋体" w:hAnsi="宋体" w:cs="宋体"/>
                <w:kern w:val="0"/>
                <w:sz w:val="20"/>
                <w:szCs w:val="20"/>
              </w:rPr>
            </w:pPr>
            <w:r>
              <w:rPr>
                <w:rFonts w:hint="eastAsia" w:ascii="宋体" w:hAnsi="宋体" w:cs="宋体"/>
                <w:kern w:val="0"/>
                <w:sz w:val="20"/>
                <w:szCs w:val="20"/>
              </w:rPr>
              <w:t>服务对象不满意</w:t>
            </w:r>
          </w:p>
        </w:tc>
        <w:tc>
          <w:tcPr>
            <w:tcW w:w="2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cs="宋体"/>
                <w:kern w:val="0"/>
                <w:sz w:val="20"/>
                <w:szCs w:val="20"/>
              </w:rPr>
            </w:pPr>
          </w:p>
        </w:tc>
        <w:tc>
          <w:tcPr>
            <w:tcW w:w="585"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79"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b/>
                <w:bCs/>
                <w:kern w:val="0"/>
                <w:sz w:val="20"/>
                <w:szCs w:val="20"/>
              </w:rPr>
            </w:pPr>
            <w:r>
              <w:rPr>
                <w:rFonts w:hint="eastAsia" w:ascii="宋体" w:hAnsi="宋体" w:cs="宋体"/>
                <w:b/>
                <w:bCs/>
                <w:kern w:val="0"/>
                <w:sz w:val="20"/>
                <w:szCs w:val="20"/>
              </w:rPr>
              <w:t>合计</w:t>
            </w:r>
          </w:p>
        </w:tc>
        <w:tc>
          <w:tcPr>
            <w:tcW w:w="363"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b/>
                <w:bCs/>
                <w:kern w:val="0"/>
                <w:sz w:val="20"/>
                <w:szCs w:val="20"/>
              </w:rPr>
            </w:pPr>
            <w:r>
              <w:rPr>
                <w:rFonts w:hint="eastAsia" w:ascii="宋体" w:hAnsi="宋体" w:cs="宋体"/>
                <w:b/>
                <w:bCs/>
                <w:kern w:val="0"/>
                <w:sz w:val="20"/>
                <w:szCs w:val="20"/>
              </w:rPr>
              <w:t>　</w:t>
            </w:r>
          </w:p>
        </w:tc>
        <w:tc>
          <w:tcPr>
            <w:tcW w:w="389"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b/>
                <w:bCs/>
                <w:kern w:val="0"/>
                <w:sz w:val="20"/>
                <w:szCs w:val="20"/>
              </w:rPr>
            </w:pPr>
            <w:r>
              <w:rPr>
                <w:rFonts w:hint="eastAsia" w:ascii="宋体" w:hAnsi="宋体" w:cs="宋体"/>
                <w:b/>
                <w:bCs/>
                <w:kern w:val="0"/>
                <w:sz w:val="20"/>
                <w:szCs w:val="20"/>
              </w:rPr>
              <w:t>　</w:t>
            </w:r>
          </w:p>
        </w:tc>
        <w:tc>
          <w:tcPr>
            <w:tcW w:w="218"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b/>
                <w:bCs/>
                <w:kern w:val="0"/>
                <w:sz w:val="20"/>
                <w:szCs w:val="20"/>
              </w:rPr>
            </w:pPr>
            <w:r>
              <w:rPr>
                <w:rFonts w:hint="eastAsia" w:ascii="宋体" w:hAnsi="宋体" w:cs="宋体"/>
                <w:b/>
                <w:bCs/>
                <w:kern w:val="0"/>
                <w:sz w:val="20"/>
                <w:szCs w:val="20"/>
              </w:rPr>
              <w:t>100</w:t>
            </w:r>
          </w:p>
        </w:tc>
        <w:tc>
          <w:tcPr>
            <w:tcW w:w="467"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b/>
                <w:bCs/>
                <w:kern w:val="0"/>
                <w:sz w:val="20"/>
                <w:szCs w:val="20"/>
              </w:rPr>
            </w:pPr>
            <w:r>
              <w:rPr>
                <w:rFonts w:hint="eastAsia" w:ascii="宋体" w:hAnsi="宋体" w:cs="宋体"/>
                <w:b/>
                <w:bCs/>
                <w:kern w:val="0"/>
                <w:sz w:val="20"/>
                <w:szCs w:val="20"/>
              </w:rPr>
              <w:t>　</w:t>
            </w:r>
          </w:p>
        </w:tc>
        <w:tc>
          <w:tcPr>
            <w:tcW w:w="218"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ascii="宋体" w:hAnsi="宋体" w:cs="宋体"/>
                <w:b/>
                <w:bCs/>
                <w:kern w:val="0"/>
                <w:sz w:val="20"/>
                <w:szCs w:val="20"/>
              </w:rPr>
            </w:pPr>
            <w:r>
              <w:rPr>
                <w:rFonts w:hint="eastAsia" w:ascii="宋体" w:hAnsi="宋体" w:cs="宋体"/>
                <w:b/>
                <w:bCs/>
                <w:kern w:val="0"/>
                <w:sz w:val="20"/>
                <w:szCs w:val="20"/>
              </w:rPr>
              <w:t>100</w:t>
            </w:r>
          </w:p>
        </w:tc>
        <w:tc>
          <w:tcPr>
            <w:tcW w:w="772" w:type="pct"/>
            <w:shd w:val="clear" w:color="auto" w:fill="auto"/>
            <w:noWrap/>
            <w:vAlign w:val="bottom"/>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b/>
                <w:bCs/>
                <w:kern w:val="0"/>
                <w:sz w:val="20"/>
                <w:szCs w:val="20"/>
              </w:rPr>
            </w:pPr>
            <w:r>
              <w:rPr>
                <w:rFonts w:hint="eastAsia" w:ascii="宋体" w:hAnsi="宋体" w:cs="宋体"/>
                <w:b/>
                <w:bCs/>
                <w:kern w:val="0"/>
                <w:sz w:val="20"/>
                <w:szCs w:val="20"/>
              </w:rPr>
              <w:t>　</w:t>
            </w:r>
          </w:p>
        </w:tc>
        <w:tc>
          <w:tcPr>
            <w:tcW w:w="556" w:type="pct"/>
            <w:shd w:val="clear" w:color="auto" w:fill="auto"/>
            <w:noWrap/>
            <w:vAlign w:val="bottom"/>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auto"/>
              <w:rPr>
                <w:rFonts w:ascii="宋体" w:hAnsi="宋体" w:cs="宋体"/>
                <w:b/>
                <w:bCs/>
                <w:kern w:val="0"/>
                <w:sz w:val="20"/>
                <w:szCs w:val="20"/>
              </w:rPr>
            </w:pPr>
            <w:r>
              <w:rPr>
                <w:rFonts w:hint="eastAsia" w:ascii="宋体" w:hAnsi="宋体" w:cs="宋体"/>
                <w:b/>
                <w:bCs/>
                <w:kern w:val="0"/>
                <w:sz w:val="20"/>
                <w:szCs w:val="20"/>
              </w:rPr>
              <w:t>　</w:t>
            </w:r>
          </w:p>
        </w:tc>
        <w:tc>
          <w:tcPr>
            <w:tcW w:w="863" w:type="pct"/>
            <w:shd w:val="clear" w:color="auto" w:fill="auto"/>
            <w:noWrap/>
            <w:vAlign w:val="bottom"/>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b/>
                <w:bCs/>
                <w:kern w:val="0"/>
                <w:sz w:val="20"/>
                <w:szCs w:val="20"/>
              </w:rPr>
            </w:pPr>
            <w:r>
              <w:rPr>
                <w:rFonts w:hint="eastAsia" w:ascii="宋体" w:hAnsi="宋体" w:cs="宋体"/>
                <w:b/>
                <w:bCs/>
                <w:kern w:val="0"/>
                <w:sz w:val="20"/>
                <w:szCs w:val="20"/>
              </w:rPr>
              <w:t>　</w:t>
            </w:r>
          </w:p>
        </w:tc>
        <w:tc>
          <w:tcPr>
            <w:tcW w:w="285" w:type="pct"/>
            <w:shd w:val="clear" w:color="000000" w:fill="FFFFFF"/>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center"/>
              <w:textAlignment w:val="auto"/>
              <w:rPr>
                <w:rFonts w:hint="default" w:ascii="宋体" w:hAnsi="宋体" w:cs="宋体" w:eastAsiaTheme="minorEastAsia"/>
                <w:b/>
                <w:bCs/>
                <w:kern w:val="0"/>
                <w:sz w:val="20"/>
                <w:szCs w:val="20"/>
                <w:lang w:val="en-US" w:eastAsia="zh-CN"/>
              </w:rPr>
            </w:pPr>
            <w:r>
              <w:rPr>
                <w:rFonts w:hint="eastAsia" w:ascii="宋体" w:hAnsi="宋体" w:cs="宋体"/>
                <w:b/>
                <w:bCs/>
                <w:kern w:val="0"/>
                <w:sz w:val="20"/>
                <w:szCs w:val="20"/>
                <w:lang w:val="en-US" w:eastAsia="zh-CN"/>
              </w:rPr>
              <w:t>97.60</w:t>
            </w:r>
          </w:p>
        </w:tc>
        <w:tc>
          <w:tcPr>
            <w:tcW w:w="585" w:type="pc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ascii="宋体" w:hAnsi="宋体" w:cs="宋体"/>
                <w:b/>
                <w:bCs/>
                <w:kern w:val="0"/>
                <w:sz w:val="20"/>
                <w:szCs w:val="20"/>
              </w:rPr>
            </w:pPr>
          </w:p>
        </w:tc>
      </w:tr>
    </w:tbl>
    <w:p>
      <w:pPr>
        <w:pStyle w:val="7"/>
        <w:rPr>
          <w:rFonts w:hint="eastAsia"/>
        </w:rPr>
      </w:pPr>
    </w:p>
    <w:sectPr>
      <w:footerReference r:id="rId10" w:type="default"/>
      <w:pgSz w:w="16838" w:h="11906" w:orient="landscape"/>
      <w:pgMar w:top="1701" w:right="1701" w:bottom="1701" w:left="1701" w:header="851" w:footer="992" w:gutter="0"/>
      <w:pgNumType w:fmt="decimal" w:start="1"/>
      <w:cols w:space="720" w:num="1"/>
      <w:docGrid w:type="lines" w:linePitch="32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9E70603-10F9-41E4-BB09-4A7C0A731A4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1F6E6C82-2AA9-410E-B14F-D03A0CB565A7}"/>
  </w:font>
  <w:font w:name="方正小标宋_GBK">
    <w:altName w:val="微软雅黑"/>
    <w:panose1 w:val="02000000000000000000"/>
    <w:charset w:val="86"/>
    <w:family w:val="script"/>
    <w:pitch w:val="default"/>
    <w:sig w:usb0="00000000" w:usb1="00000000" w:usb2="00000000" w:usb3="00000000" w:csb0="00040000" w:csb1="00000000"/>
    <w:embedRegular r:id="rId3" w:fontKey="{5C2A4CF0-6D8C-4406-A0D4-169DACFA5597}"/>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4" w:fontKey="{78D91830-F469-44E6-A1C3-E0F4D88B9590}"/>
  </w:font>
  <w:font w:name="楷体_GB2312">
    <w:panose1 w:val="02010609030101010101"/>
    <w:charset w:val="86"/>
    <w:family w:val="modern"/>
    <w:pitch w:val="default"/>
    <w:sig w:usb0="00000001" w:usb1="080E0000" w:usb2="00000000" w:usb3="00000000" w:csb0="00040000" w:csb1="00000000"/>
    <w:embedRegular r:id="rId5" w:fontKey="{5D0623CC-C47E-4251-B519-24A78C0DC916}"/>
  </w:font>
  <w:font w:name="仿宋">
    <w:panose1 w:val="02010609060101010101"/>
    <w:charset w:val="86"/>
    <w:family w:val="modern"/>
    <w:pitch w:val="default"/>
    <w:sig w:usb0="800002BF" w:usb1="38CF7CFA" w:usb2="00000016" w:usb3="00000000" w:csb0="00040001" w:csb1="00000000"/>
    <w:embedRegular r:id="rId6" w:fontKey="{6D0F5E39-4FEF-4B27-94EE-89903F4792E9}"/>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480"/>
      <w:jc w:val="center"/>
      <w:rPr>
        <w:rFonts w:ascii="Times New Roman" w:hAnsi="Times New Roman"/>
        <w:sz w:val="28"/>
        <w:szCs w:val="28"/>
      </w:rPr>
    </w:pP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480"/>
      <w:jc w:val="center"/>
      <w:rPr>
        <w:rFonts w:ascii="Times New Roman" w:hAnsi="Times New Roman"/>
        <w:sz w:val="28"/>
        <w:szCs w:val="28"/>
      </w:rPr>
    </w:pP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480"/>
      <w:jc w:val="center"/>
      <w:rPr>
        <w:rFonts w:ascii="Times New Roman" w:hAnsi="Times New Roman"/>
        <w:sz w:val="28"/>
        <w:szCs w:val="28"/>
      </w:rPr>
    </w:pPr>
  </w:p>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480"/>
      <w:jc w:val="center"/>
      <w:rPr>
        <w:rFonts w:ascii="Times New Roman" w:hAnsi="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ind w:firstLine="480"/>
                            <w:jc w:val="center"/>
                          </w:pP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16</w:t>
                          </w:r>
                          <w:r>
                            <w:rPr>
                              <w:rFonts w:ascii="Times New Roman" w:hAnsi="Times New Roman"/>
                              <w:sz w:val="28"/>
                              <w:szCs w:val="28"/>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12"/>
                      <w:ind w:firstLine="480"/>
                      <w:jc w:val="center"/>
                    </w:pP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16</w:t>
                    </w:r>
                    <w:r>
                      <w:rPr>
                        <w:rFonts w:ascii="Times New Roman" w:hAnsi="Times New Roman"/>
                        <w:sz w:val="28"/>
                        <w:szCs w:val="28"/>
                      </w:rPr>
                      <w:fldChar w:fldCharType="end"/>
                    </w:r>
                  </w:p>
                </w:txbxContent>
              </v:textbox>
            </v:shape>
          </w:pict>
        </mc:Fallback>
      </mc:AlternateContent>
    </w:r>
  </w:p>
  <w:p>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480"/>
      <w:jc w:val="center"/>
      <w:rPr>
        <w:rFonts w:ascii="Times New Roman" w:hAnsi="Times New Roman"/>
        <w:sz w:val="28"/>
        <w:szCs w:val="28"/>
      </w:rPr>
    </w:pPr>
  </w:p>
  <w:p>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312" w:lineRule="auto"/>
        <w:ind w:firstLine="480"/>
      </w:pPr>
      <w:r>
        <w:separator/>
      </w:r>
    </w:p>
  </w:footnote>
  <w:footnote w:type="continuationSeparator" w:id="3">
    <w:p>
      <w:pPr>
        <w:spacing w:line="312" w:lineRule="auto"/>
        <w:ind w:firstLine="480"/>
      </w:pPr>
      <w:r>
        <w:continuationSeparator/>
      </w:r>
    </w:p>
  </w:footnote>
  <w:footnote w:id="0">
    <w:p>
      <w:pPr>
        <w:pStyle w:val="15"/>
        <w:snapToGrid w:val="0"/>
        <w:rPr>
          <w:rFonts w:hint="default" w:eastAsia="宋体"/>
          <w:lang w:val="en-US" w:eastAsia="zh-CN"/>
        </w:rPr>
      </w:pPr>
      <w:r>
        <w:rPr>
          <w:rStyle w:val="27"/>
        </w:rPr>
        <w:footnoteRef/>
      </w:r>
      <w:r>
        <w:t xml:space="preserve"> </w:t>
      </w:r>
      <w:r>
        <w:rPr>
          <w:rFonts w:hint="eastAsia"/>
          <w:lang w:val="en-US" w:eastAsia="zh-CN"/>
        </w:rPr>
        <w:t>该数为四舍五入所得，所以导致计算结果有误差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p>
    <w:pPr>
      <w:pStyle w:val="7"/>
      <w:rPr>
        <w:rFonts w:hint="eastAsia" w:eastAsia="黑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20"/>
  <w:drawingGridVerticalSpacing w:val="327"/>
  <w:displayHorizontalDrawingGridEvery w:val="1"/>
  <w:displayVerticalDrawingGridEvery w:val="1"/>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0ZDczMzdlMzNiNjU3OTM1ODhjM2VjNjNmMGRkOTkifQ=="/>
  </w:docVars>
  <w:rsids>
    <w:rsidRoot w:val="00172A27"/>
    <w:rsid w:val="000037E9"/>
    <w:rsid w:val="000059FE"/>
    <w:rsid w:val="00010E99"/>
    <w:rsid w:val="00012954"/>
    <w:rsid w:val="00017985"/>
    <w:rsid w:val="00024BA6"/>
    <w:rsid w:val="0003037F"/>
    <w:rsid w:val="00031D06"/>
    <w:rsid w:val="00034936"/>
    <w:rsid w:val="00035BAC"/>
    <w:rsid w:val="00036401"/>
    <w:rsid w:val="000372C2"/>
    <w:rsid w:val="000375B7"/>
    <w:rsid w:val="00041949"/>
    <w:rsid w:val="00041D2C"/>
    <w:rsid w:val="000421CE"/>
    <w:rsid w:val="0004282C"/>
    <w:rsid w:val="00044744"/>
    <w:rsid w:val="00044D7D"/>
    <w:rsid w:val="00050025"/>
    <w:rsid w:val="00050BEC"/>
    <w:rsid w:val="00053B55"/>
    <w:rsid w:val="00053B57"/>
    <w:rsid w:val="00060B6D"/>
    <w:rsid w:val="00062EF1"/>
    <w:rsid w:val="00063B67"/>
    <w:rsid w:val="00066569"/>
    <w:rsid w:val="00066ED6"/>
    <w:rsid w:val="0006771D"/>
    <w:rsid w:val="00067955"/>
    <w:rsid w:val="00070EB5"/>
    <w:rsid w:val="00072FB3"/>
    <w:rsid w:val="000740A2"/>
    <w:rsid w:val="00074199"/>
    <w:rsid w:val="00074AFF"/>
    <w:rsid w:val="0008060D"/>
    <w:rsid w:val="000808EC"/>
    <w:rsid w:val="00084035"/>
    <w:rsid w:val="000841FE"/>
    <w:rsid w:val="00085CD5"/>
    <w:rsid w:val="000874D1"/>
    <w:rsid w:val="00091AFB"/>
    <w:rsid w:val="00091F19"/>
    <w:rsid w:val="000A0A13"/>
    <w:rsid w:val="000A4FF3"/>
    <w:rsid w:val="000A52CC"/>
    <w:rsid w:val="000B287F"/>
    <w:rsid w:val="000B584A"/>
    <w:rsid w:val="000B5BE4"/>
    <w:rsid w:val="000C1D2F"/>
    <w:rsid w:val="000C42CE"/>
    <w:rsid w:val="000C46B0"/>
    <w:rsid w:val="000C46F9"/>
    <w:rsid w:val="000D0F18"/>
    <w:rsid w:val="000D3AC9"/>
    <w:rsid w:val="000E08B4"/>
    <w:rsid w:val="000E1B3B"/>
    <w:rsid w:val="000E2F08"/>
    <w:rsid w:val="000E45A8"/>
    <w:rsid w:val="000E6264"/>
    <w:rsid w:val="000F1984"/>
    <w:rsid w:val="000F1E5A"/>
    <w:rsid w:val="000F3825"/>
    <w:rsid w:val="000F38FC"/>
    <w:rsid w:val="000F5E66"/>
    <w:rsid w:val="000F7B5A"/>
    <w:rsid w:val="00100E1E"/>
    <w:rsid w:val="001107B2"/>
    <w:rsid w:val="00113E57"/>
    <w:rsid w:val="00116761"/>
    <w:rsid w:val="00124136"/>
    <w:rsid w:val="00127B94"/>
    <w:rsid w:val="0013246B"/>
    <w:rsid w:val="00133D17"/>
    <w:rsid w:val="00134761"/>
    <w:rsid w:val="00135C4A"/>
    <w:rsid w:val="00136CDB"/>
    <w:rsid w:val="001378FC"/>
    <w:rsid w:val="00140B59"/>
    <w:rsid w:val="00140B91"/>
    <w:rsid w:val="00141D2C"/>
    <w:rsid w:val="00143EFF"/>
    <w:rsid w:val="00147D59"/>
    <w:rsid w:val="00152AD1"/>
    <w:rsid w:val="001538CA"/>
    <w:rsid w:val="001544D6"/>
    <w:rsid w:val="00155596"/>
    <w:rsid w:val="001565AB"/>
    <w:rsid w:val="0016096D"/>
    <w:rsid w:val="00160F4A"/>
    <w:rsid w:val="00171C32"/>
    <w:rsid w:val="00173776"/>
    <w:rsid w:val="0017556C"/>
    <w:rsid w:val="001758BE"/>
    <w:rsid w:val="001802D2"/>
    <w:rsid w:val="0018132D"/>
    <w:rsid w:val="001821B0"/>
    <w:rsid w:val="00182803"/>
    <w:rsid w:val="00183AD7"/>
    <w:rsid w:val="00183C38"/>
    <w:rsid w:val="00185B20"/>
    <w:rsid w:val="00185FED"/>
    <w:rsid w:val="00190D55"/>
    <w:rsid w:val="00194CA3"/>
    <w:rsid w:val="0019568A"/>
    <w:rsid w:val="001969DC"/>
    <w:rsid w:val="00197713"/>
    <w:rsid w:val="001A223C"/>
    <w:rsid w:val="001A40A3"/>
    <w:rsid w:val="001A4161"/>
    <w:rsid w:val="001B02B4"/>
    <w:rsid w:val="001B03B6"/>
    <w:rsid w:val="001B4536"/>
    <w:rsid w:val="001B4AB5"/>
    <w:rsid w:val="001B5A38"/>
    <w:rsid w:val="001B7E25"/>
    <w:rsid w:val="001C08CB"/>
    <w:rsid w:val="001C0AE0"/>
    <w:rsid w:val="001C2C9C"/>
    <w:rsid w:val="001C2F17"/>
    <w:rsid w:val="001C399E"/>
    <w:rsid w:val="001C5E02"/>
    <w:rsid w:val="001C79DF"/>
    <w:rsid w:val="001D22A7"/>
    <w:rsid w:val="001D267C"/>
    <w:rsid w:val="001D26A1"/>
    <w:rsid w:val="001D7252"/>
    <w:rsid w:val="001D7702"/>
    <w:rsid w:val="001D7A85"/>
    <w:rsid w:val="001E09BE"/>
    <w:rsid w:val="001E0C7C"/>
    <w:rsid w:val="001E3878"/>
    <w:rsid w:val="001E3966"/>
    <w:rsid w:val="001E469B"/>
    <w:rsid w:val="001F1386"/>
    <w:rsid w:val="001F1760"/>
    <w:rsid w:val="001F1ACC"/>
    <w:rsid w:val="001F21F3"/>
    <w:rsid w:val="001F4563"/>
    <w:rsid w:val="001F4D60"/>
    <w:rsid w:val="00200C5E"/>
    <w:rsid w:val="0020127E"/>
    <w:rsid w:val="002016C5"/>
    <w:rsid w:val="002033EF"/>
    <w:rsid w:val="00206367"/>
    <w:rsid w:val="0021072E"/>
    <w:rsid w:val="0021086C"/>
    <w:rsid w:val="00215B54"/>
    <w:rsid w:val="00216EAE"/>
    <w:rsid w:val="00220F0B"/>
    <w:rsid w:val="00222849"/>
    <w:rsid w:val="00223C49"/>
    <w:rsid w:val="00226AA2"/>
    <w:rsid w:val="00227031"/>
    <w:rsid w:val="00227B7C"/>
    <w:rsid w:val="00231244"/>
    <w:rsid w:val="0023421D"/>
    <w:rsid w:val="00236FD1"/>
    <w:rsid w:val="002370CC"/>
    <w:rsid w:val="0023757E"/>
    <w:rsid w:val="00241287"/>
    <w:rsid w:val="00244DD2"/>
    <w:rsid w:val="0024585A"/>
    <w:rsid w:val="00246AD6"/>
    <w:rsid w:val="00247B1B"/>
    <w:rsid w:val="002570F6"/>
    <w:rsid w:val="00264B6C"/>
    <w:rsid w:val="00265B47"/>
    <w:rsid w:val="00270755"/>
    <w:rsid w:val="0027240B"/>
    <w:rsid w:val="002738AF"/>
    <w:rsid w:val="0027513E"/>
    <w:rsid w:val="002879D4"/>
    <w:rsid w:val="00287CE6"/>
    <w:rsid w:val="0029138B"/>
    <w:rsid w:val="0029439A"/>
    <w:rsid w:val="00294CCA"/>
    <w:rsid w:val="00296583"/>
    <w:rsid w:val="00296B78"/>
    <w:rsid w:val="00296F63"/>
    <w:rsid w:val="002A0679"/>
    <w:rsid w:val="002A1513"/>
    <w:rsid w:val="002A690A"/>
    <w:rsid w:val="002B24A7"/>
    <w:rsid w:val="002B39DD"/>
    <w:rsid w:val="002B3E2B"/>
    <w:rsid w:val="002B67CF"/>
    <w:rsid w:val="002C07CF"/>
    <w:rsid w:val="002C2971"/>
    <w:rsid w:val="002C548A"/>
    <w:rsid w:val="002C7BAE"/>
    <w:rsid w:val="002D051E"/>
    <w:rsid w:val="002D0792"/>
    <w:rsid w:val="002D1EB3"/>
    <w:rsid w:val="002D2F5B"/>
    <w:rsid w:val="002D3559"/>
    <w:rsid w:val="002D3C50"/>
    <w:rsid w:val="002D5C96"/>
    <w:rsid w:val="002E31AA"/>
    <w:rsid w:val="002E4157"/>
    <w:rsid w:val="002E7B85"/>
    <w:rsid w:val="002F1287"/>
    <w:rsid w:val="002F18F2"/>
    <w:rsid w:val="002F2A8E"/>
    <w:rsid w:val="002F4CBD"/>
    <w:rsid w:val="00300023"/>
    <w:rsid w:val="00300194"/>
    <w:rsid w:val="00300980"/>
    <w:rsid w:val="00301C8F"/>
    <w:rsid w:val="00304161"/>
    <w:rsid w:val="003055C1"/>
    <w:rsid w:val="00311DE0"/>
    <w:rsid w:val="00312E9C"/>
    <w:rsid w:val="00313E47"/>
    <w:rsid w:val="00317DC2"/>
    <w:rsid w:val="00321CB0"/>
    <w:rsid w:val="00322F14"/>
    <w:rsid w:val="00323408"/>
    <w:rsid w:val="0032669A"/>
    <w:rsid w:val="00327967"/>
    <w:rsid w:val="00332E7D"/>
    <w:rsid w:val="003333BA"/>
    <w:rsid w:val="00333EB5"/>
    <w:rsid w:val="003366DC"/>
    <w:rsid w:val="00343156"/>
    <w:rsid w:val="0034640C"/>
    <w:rsid w:val="00350306"/>
    <w:rsid w:val="003509D0"/>
    <w:rsid w:val="0035100A"/>
    <w:rsid w:val="003516EE"/>
    <w:rsid w:val="0035315B"/>
    <w:rsid w:val="00353870"/>
    <w:rsid w:val="00354897"/>
    <w:rsid w:val="00356FB1"/>
    <w:rsid w:val="0035746B"/>
    <w:rsid w:val="003611E4"/>
    <w:rsid w:val="00365F0F"/>
    <w:rsid w:val="00371332"/>
    <w:rsid w:val="0037233F"/>
    <w:rsid w:val="00372FE4"/>
    <w:rsid w:val="0037602E"/>
    <w:rsid w:val="00376123"/>
    <w:rsid w:val="003808FE"/>
    <w:rsid w:val="003828C6"/>
    <w:rsid w:val="00384825"/>
    <w:rsid w:val="0039041C"/>
    <w:rsid w:val="00390DC5"/>
    <w:rsid w:val="00391BB1"/>
    <w:rsid w:val="00392ACA"/>
    <w:rsid w:val="0039319A"/>
    <w:rsid w:val="00393C76"/>
    <w:rsid w:val="00394890"/>
    <w:rsid w:val="00395315"/>
    <w:rsid w:val="00397AB9"/>
    <w:rsid w:val="003A0353"/>
    <w:rsid w:val="003A2342"/>
    <w:rsid w:val="003A2C39"/>
    <w:rsid w:val="003A306F"/>
    <w:rsid w:val="003A5884"/>
    <w:rsid w:val="003A6FA7"/>
    <w:rsid w:val="003B2296"/>
    <w:rsid w:val="003B4045"/>
    <w:rsid w:val="003B5510"/>
    <w:rsid w:val="003B670C"/>
    <w:rsid w:val="003B7BF6"/>
    <w:rsid w:val="003B7ED2"/>
    <w:rsid w:val="003C00EC"/>
    <w:rsid w:val="003C1419"/>
    <w:rsid w:val="003C15C6"/>
    <w:rsid w:val="003C1AC5"/>
    <w:rsid w:val="003C1AF5"/>
    <w:rsid w:val="003C57E5"/>
    <w:rsid w:val="003D1563"/>
    <w:rsid w:val="003D1F54"/>
    <w:rsid w:val="003D4E34"/>
    <w:rsid w:val="003D5EEA"/>
    <w:rsid w:val="003D7FBD"/>
    <w:rsid w:val="003E137A"/>
    <w:rsid w:val="003E2D3C"/>
    <w:rsid w:val="003E47FC"/>
    <w:rsid w:val="003E73DB"/>
    <w:rsid w:val="003F22C5"/>
    <w:rsid w:val="003F3387"/>
    <w:rsid w:val="003F416A"/>
    <w:rsid w:val="00402AF5"/>
    <w:rsid w:val="00403663"/>
    <w:rsid w:val="0040496B"/>
    <w:rsid w:val="00405DFA"/>
    <w:rsid w:val="004063E2"/>
    <w:rsid w:val="00407BE0"/>
    <w:rsid w:val="00411000"/>
    <w:rsid w:val="004141BA"/>
    <w:rsid w:val="00416D66"/>
    <w:rsid w:val="0041705A"/>
    <w:rsid w:val="00420B51"/>
    <w:rsid w:val="0042239C"/>
    <w:rsid w:val="00430F61"/>
    <w:rsid w:val="004314B0"/>
    <w:rsid w:val="00432314"/>
    <w:rsid w:val="004331EA"/>
    <w:rsid w:val="00433BC9"/>
    <w:rsid w:val="00436F7B"/>
    <w:rsid w:val="004375AC"/>
    <w:rsid w:val="00445718"/>
    <w:rsid w:val="0044734F"/>
    <w:rsid w:val="0044779D"/>
    <w:rsid w:val="00452135"/>
    <w:rsid w:val="00456736"/>
    <w:rsid w:val="00461744"/>
    <w:rsid w:val="0046511A"/>
    <w:rsid w:val="004724BE"/>
    <w:rsid w:val="00477BAE"/>
    <w:rsid w:val="00477FEC"/>
    <w:rsid w:val="00480365"/>
    <w:rsid w:val="00482250"/>
    <w:rsid w:val="00484E2C"/>
    <w:rsid w:val="004863BC"/>
    <w:rsid w:val="00487363"/>
    <w:rsid w:val="0049024F"/>
    <w:rsid w:val="00491E92"/>
    <w:rsid w:val="00496FC1"/>
    <w:rsid w:val="004A27C3"/>
    <w:rsid w:val="004A3949"/>
    <w:rsid w:val="004A6DC6"/>
    <w:rsid w:val="004A7750"/>
    <w:rsid w:val="004B0389"/>
    <w:rsid w:val="004B16C1"/>
    <w:rsid w:val="004B6FF8"/>
    <w:rsid w:val="004B77C4"/>
    <w:rsid w:val="004C0637"/>
    <w:rsid w:val="004C2BE8"/>
    <w:rsid w:val="004C4425"/>
    <w:rsid w:val="004C7432"/>
    <w:rsid w:val="004C7819"/>
    <w:rsid w:val="004D49B6"/>
    <w:rsid w:val="004D51E3"/>
    <w:rsid w:val="004E4B1F"/>
    <w:rsid w:val="004E65E8"/>
    <w:rsid w:val="004F00BE"/>
    <w:rsid w:val="004F1CE7"/>
    <w:rsid w:val="004F2830"/>
    <w:rsid w:val="004F3698"/>
    <w:rsid w:val="004F3935"/>
    <w:rsid w:val="004F3B16"/>
    <w:rsid w:val="004F7B1C"/>
    <w:rsid w:val="004F7FCD"/>
    <w:rsid w:val="00505D00"/>
    <w:rsid w:val="005061AC"/>
    <w:rsid w:val="00507FBF"/>
    <w:rsid w:val="00510E8A"/>
    <w:rsid w:val="0051648C"/>
    <w:rsid w:val="00521FB1"/>
    <w:rsid w:val="00523402"/>
    <w:rsid w:val="0052696F"/>
    <w:rsid w:val="00527D32"/>
    <w:rsid w:val="00530989"/>
    <w:rsid w:val="0053297F"/>
    <w:rsid w:val="005330A5"/>
    <w:rsid w:val="00533672"/>
    <w:rsid w:val="005354BB"/>
    <w:rsid w:val="00536F2D"/>
    <w:rsid w:val="0053749C"/>
    <w:rsid w:val="00540826"/>
    <w:rsid w:val="00540E64"/>
    <w:rsid w:val="00541743"/>
    <w:rsid w:val="00543067"/>
    <w:rsid w:val="00545D98"/>
    <w:rsid w:val="00546A95"/>
    <w:rsid w:val="0054708B"/>
    <w:rsid w:val="00550DDF"/>
    <w:rsid w:val="0055291A"/>
    <w:rsid w:val="00552BB9"/>
    <w:rsid w:val="005614D3"/>
    <w:rsid w:val="005624ED"/>
    <w:rsid w:val="00564451"/>
    <w:rsid w:val="00566C79"/>
    <w:rsid w:val="00567782"/>
    <w:rsid w:val="00570DB9"/>
    <w:rsid w:val="005717BF"/>
    <w:rsid w:val="0057365A"/>
    <w:rsid w:val="00576F93"/>
    <w:rsid w:val="00577FFC"/>
    <w:rsid w:val="00584C4A"/>
    <w:rsid w:val="005854E0"/>
    <w:rsid w:val="00585AFD"/>
    <w:rsid w:val="00587C6E"/>
    <w:rsid w:val="005A3467"/>
    <w:rsid w:val="005A5A20"/>
    <w:rsid w:val="005A62DD"/>
    <w:rsid w:val="005B1290"/>
    <w:rsid w:val="005B6187"/>
    <w:rsid w:val="005B7B43"/>
    <w:rsid w:val="005B7E90"/>
    <w:rsid w:val="005C0447"/>
    <w:rsid w:val="005C23CD"/>
    <w:rsid w:val="005C2761"/>
    <w:rsid w:val="005C59F3"/>
    <w:rsid w:val="005D01A6"/>
    <w:rsid w:val="005D09F7"/>
    <w:rsid w:val="005D0BF5"/>
    <w:rsid w:val="005D15DC"/>
    <w:rsid w:val="005D18F1"/>
    <w:rsid w:val="005D4B47"/>
    <w:rsid w:val="005E1F1F"/>
    <w:rsid w:val="005E300B"/>
    <w:rsid w:val="005E6B16"/>
    <w:rsid w:val="005E6ED9"/>
    <w:rsid w:val="005F2CC0"/>
    <w:rsid w:val="005F529D"/>
    <w:rsid w:val="005F7E89"/>
    <w:rsid w:val="00604A5A"/>
    <w:rsid w:val="006064B5"/>
    <w:rsid w:val="00607D34"/>
    <w:rsid w:val="00611928"/>
    <w:rsid w:val="006164E3"/>
    <w:rsid w:val="00617949"/>
    <w:rsid w:val="00620E96"/>
    <w:rsid w:val="00622281"/>
    <w:rsid w:val="00624377"/>
    <w:rsid w:val="006259AA"/>
    <w:rsid w:val="00630A58"/>
    <w:rsid w:val="00631A01"/>
    <w:rsid w:val="00632535"/>
    <w:rsid w:val="006326AD"/>
    <w:rsid w:val="006330A4"/>
    <w:rsid w:val="006330C4"/>
    <w:rsid w:val="00633DD5"/>
    <w:rsid w:val="00634DDE"/>
    <w:rsid w:val="00635038"/>
    <w:rsid w:val="00641CB6"/>
    <w:rsid w:val="00642DA0"/>
    <w:rsid w:val="006448B7"/>
    <w:rsid w:val="00647242"/>
    <w:rsid w:val="00652ACA"/>
    <w:rsid w:val="00653B2C"/>
    <w:rsid w:val="00654EA2"/>
    <w:rsid w:val="00657DBE"/>
    <w:rsid w:val="00661998"/>
    <w:rsid w:val="00661A23"/>
    <w:rsid w:val="00662B28"/>
    <w:rsid w:val="00664094"/>
    <w:rsid w:val="00664700"/>
    <w:rsid w:val="0066479D"/>
    <w:rsid w:val="00665FD0"/>
    <w:rsid w:val="006738E3"/>
    <w:rsid w:val="006743FA"/>
    <w:rsid w:val="00675115"/>
    <w:rsid w:val="006770C9"/>
    <w:rsid w:val="00677B66"/>
    <w:rsid w:val="00681F3F"/>
    <w:rsid w:val="00683504"/>
    <w:rsid w:val="006841C0"/>
    <w:rsid w:val="00685B63"/>
    <w:rsid w:val="00694B21"/>
    <w:rsid w:val="006B2F04"/>
    <w:rsid w:val="006C1E6D"/>
    <w:rsid w:val="006C2F62"/>
    <w:rsid w:val="006C590E"/>
    <w:rsid w:val="006C5E69"/>
    <w:rsid w:val="006D3B29"/>
    <w:rsid w:val="006D50E9"/>
    <w:rsid w:val="006D65F4"/>
    <w:rsid w:val="006D7B2F"/>
    <w:rsid w:val="006E12A3"/>
    <w:rsid w:val="006E33CA"/>
    <w:rsid w:val="006E37AB"/>
    <w:rsid w:val="006E3871"/>
    <w:rsid w:val="006E5CEF"/>
    <w:rsid w:val="006F0C6F"/>
    <w:rsid w:val="006F1CBF"/>
    <w:rsid w:val="006F4709"/>
    <w:rsid w:val="006F6F0A"/>
    <w:rsid w:val="006F769D"/>
    <w:rsid w:val="00701BBF"/>
    <w:rsid w:val="0070219E"/>
    <w:rsid w:val="00702588"/>
    <w:rsid w:val="00705CDF"/>
    <w:rsid w:val="00707405"/>
    <w:rsid w:val="0070778B"/>
    <w:rsid w:val="007124B8"/>
    <w:rsid w:val="00714569"/>
    <w:rsid w:val="00716760"/>
    <w:rsid w:val="00720418"/>
    <w:rsid w:val="007236B8"/>
    <w:rsid w:val="00724A36"/>
    <w:rsid w:val="007309B4"/>
    <w:rsid w:val="00731FBA"/>
    <w:rsid w:val="00733440"/>
    <w:rsid w:val="00735E4D"/>
    <w:rsid w:val="00736543"/>
    <w:rsid w:val="00737490"/>
    <w:rsid w:val="00740681"/>
    <w:rsid w:val="007411BF"/>
    <w:rsid w:val="0074264F"/>
    <w:rsid w:val="00742CD0"/>
    <w:rsid w:val="007433BE"/>
    <w:rsid w:val="0074663C"/>
    <w:rsid w:val="007469F6"/>
    <w:rsid w:val="007473B8"/>
    <w:rsid w:val="00753CB9"/>
    <w:rsid w:val="007547CA"/>
    <w:rsid w:val="00760B43"/>
    <w:rsid w:val="007610C3"/>
    <w:rsid w:val="00763DC9"/>
    <w:rsid w:val="00764DC7"/>
    <w:rsid w:val="00771044"/>
    <w:rsid w:val="007717CC"/>
    <w:rsid w:val="00772374"/>
    <w:rsid w:val="00773EBA"/>
    <w:rsid w:val="00776DF5"/>
    <w:rsid w:val="00780B61"/>
    <w:rsid w:val="0078401F"/>
    <w:rsid w:val="007862BC"/>
    <w:rsid w:val="0078662C"/>
    <w:rsid w:val="00794814"/>
    <w:rsid w:val="00797C28"/>
    <w:rsid w:val="007A1F63"/>
    <w:rsid w:val="007A6E42"/>
    <w:rsid w:val="007A7873"/>
    <w:rsid w:val="007B1E61"/>
    <w:rsid w:val="007B7A54"/>
    <w:rsid w:val="007C27D4"/>
    <w:rsid w:val="007C3E32"/>
    <w:rsid w:val="007C61D1"/>
    <w:rsid w:val="007C6D09"/>
    <w:rsid w:val="007D08E7"/>
    <w:rsid w:val="007D0B24"/>
    <w:rsid w:val="007D0CA1"/>
    <w:rsid w:val="007D24E4"/>
    <w:rsid w:val="007D54EC"/>
    <w:rsid w:val="007D69A0"/>
    <w:rsid w:val="007D69FA"/>
    <w:rsid w:val="007E2FE3"/>
    <w:rsid w:val="007E360A"/>
    <w:rsid w:val="007E5355"/>
    <w:rsid w:val="007F1A08"/>
    <w:rsid w:val="007F2051"/>
    <w:rsid w:val="007F3997"/>
    <w:rsid w:val="007F6DCE"/>
    <w:rsid w:val="007F72F6"/>
    <w:rsid w:val="007F7C9C"/>
    <w:rsid w:val="008015CC"/>
    <w:rsid w:val="00801B53"/>
    <w:rsid w:val="00801B72"/>
    <w:rsid w:val="0080476A"/>
    <w:rsid w:val="008051E1"/>
    <w:rsid w:val="008058D3"/>
    <w:rsid w:val="00810DE9"/>
    <w:rsid w:val="00816A10"/>
    <w:rsid w:val="00817119"/>
    <w:rsid w:val="008174AC"/>
    <w:rsid w:val="00817F16"/>
    <w:rsid w:val="0082450B"/>
    <w:rsid w:val="008247DD"/>
    <w:rsid w:val="00824F4A"/>
    <w:rsid w:val="00827E65"/>
    <w:rsid w:val="008327D0"/>
    <w:rsid w:val="008352BD"/>
    <w:rsid w:val="00836B86"/>
    <w:rsid w:val="0084608E"/>
    <w:rsid w:val="00847E1E"/>
    <w:rsid w:val="0085263D"/>
    <w:rsid w:val="00854CD2"/>
    <w:rsid w:val="00855EAD"/>
    <w:rsid w:val="00857020"/>
    <w:rsid w:val="008627AC"/>
    <w:rsid w:val="0086290D"/>
    <w:rsid w:val="00872647"/>
    <w:rsid w:val="00876C9D"/>
    <w:rsid w:val="0087732C"/>
    <w:rsid w:val="008802A1"/>
    <w:rsid w:val="00880ED7"/>
    <w:rsid w:val="008831AC"/>
    <w:rsid w:val="00885898"/>
    <w:rsid w:val="0088705C"/>
    <w:rsid w:val="008871FD"/>
    <w:rsid w:val="00893601"/>
    <w:rsid w:val="008941F9"/>
    <w:rsid w:val="0089421C"/>
    <w:rsid w:val="0089501D"/>
    <w:rsid w:val="008955CA"/>
    <w:rsid w:val="00895930"/>
    <w:rsid w:val="008A008F"/>
    <w:rsid w:val="008A2112"/>
    <w:rsid w:val="008A2425"/>
    <w:rsid w:val="008A3396"/>
    <w:rsid w:val="008A44AD"/>
    <w:rsid w:val="008B3E4C"/>
    <w:rsid w:val="008B55D4"/>
    <w:rsid w:val="008B63BE"/>
    <w:rsid w:val="008B6879"/>
    <w:rsid w:val="008C336A"/>
    <w:rsid w:val="008C4770"/>
    <w:rsid w:val="008C4ABC"/>
    <w:rsid w:val="008C541A"/>
    <w:rsid w:val="008C67D8"/>
    <w:rsid w:val="008D18FC"/>
    <w:rsid w:val="008D6FDA"/>
    <w:rsid w:val="008D764F"/>
    <w:rsid w:val="008D7F6D"/>
    <w:rsid w:val="008E1903"/>
    <w:rsid w:val="008E7690"/>
    <w:rsid w:val="008E7CB7"/>
    <w:rsid w:val="008F4C2C"/>
    <w:rsid w:val="008F53AA"/>
    <w:rsid w:val="008F6E2A"/>
    <w:rsid w:val="00900B9C"/>
    <w:rsid w:val="00904534"/>
    <w:rsid w:val="009113DB"/>
    <w:rsid w:val="009119B7"/>
    <w:rsid w:val="00913AD6"/>
    <w:rsid w:val="009158E4"/>
    <w:rsid w:val="00915A91"/>
    <w:rsid w:val="00922B40"/>
    <w:rsid w:val="009235CA"/>
    <w:rsid w:val="0092379B"/>
    <w:rsid w:val="00927272"/>
    <w:rsid w:val="00927280"/>
    <w:rsid w:val="00927ED9"/>
    <w:rsid w:val="00930567"/>
    <w:rsid w:val="00931A30"/>
    <w:rsid w:val="009331A0"/>
    <w:rsid w:val="00933DFA"/>
    <w:rsid w:val="00935F98"/>
    <w:rsid w:val="009363AE"/>
    <w:rsid w:val="009401D0"/>
    <w:rsid w:val="00941C2E"/>
    <w:rsid w:val="009423E0"/>
    <w:rsid w:val="00945B8B"/>
    <w:rsid w:val="0094684E"/>
    <w:rsid w:val="00947296"/>
    <w:rsid w:val="00955D34"/>
    <w:rsid w:val="009562D5"/>
    <w:rsid w:val="00957426"/>
    <w:rsid w:val="009603E0"/>
    <w:rsid w:val="00960642"/>
    <w:rsid w:val="00964E87"/>
    <w:rsid w:val="00965116"/>
    <w:rsid w:val="0096728F"/>
    <w:rsid w:val="009706C6"/>
    <w:rsid w:val="0097243E"/>
    <w:rsid w:val="00974684"/>
    <w:rsid w:val="009761E3"/>
    <w:rsid w:val="00980AAC"/>
    <w:rsid w:val="00984122"/>
    <w:rsid w:val="00985A67"/>
    <w:rsid w:val="0098670A"/>
    <w:rsid w:val="00986E99"/>
    <w:rsid w:val="00993762"/>
    <w:rsid w:val="009946F3"/>
    <w:rsid w:val="009A034A"/>
    <w:rsid w:val="009A1EAE"/>
    <w:rsid w:val="009A22ED"/>
    <w:rsid w:val="009A2ADA"/>
    <w:rsid w:val="009A39D6"/>
    <w:rsid w:val="009A54B2"/>
    <w:rsid w:val="009A5683"/>
    <w:rsid w:val="009A7F11"/>
    <w:rsid w:val="009A7F8E"/>
    <w:rsid w:val="009B0343"/>
    <w:rsid w:val="009B0A9C"/>
    <w:rsid w:val="009B437E"/>
    <w:rsid w:val="009B4AE3"/>
    <w:rsid w:val="009B61C8"/>
    <w:rsid w:val="009B7B35"/>
    <w:rsid w:val="009C034A"/>
    <w:rsid w:val="009C1D2C"/>
    <w:rsid w:val="009C4265"/>
    <w:rsid w:val="009C4940"/>
    <w:rsid w:val="009C625F"/>
    <w:rsid w:val="009C6725"/>
    <w:rsid w:val="009C6D59"/>
    <w:rsid w:val="009C78E7"/>
    <w:rsid w:val="009D361C"/>
    <w:rsid w:val="009D774E"/>
    <w:rsid w:val="009E0617"/>
    <w:rsid w:val="009E38E7"/>
    <w:rsid w:val="009E4E3A"/>
    <w:rsid w:val="009E5195"/>
    <w:rsid w:val="009E5563"/>
    <w:rsid w:val="009E5ED7"/>
    <w:rsid w:val="009F4344"/>
    <w:rsid w:val="009F5E69"/>
    <w:rsid w:val="00A011CE"/>
    <w:rsid w:val="00A01315"/>
    <w:rsid w:val="00A02207"/>
    <w:rsid w:val="00A0431F"/>
    <w:rsid w:val="00A04DDD"/>
    <w:rsid w:val="00A06A9A"/>
    <w:rsid w:val="00A126E5"/>
    <w:rsid w:val="00A13059"/>
    <w:rsid w:val="00A13EA1"/>
    <w:rsid w:val="00A21722"/>
    <w:rsid w:val="00A233CC"/>
    <w:rsid w:val="00A3094F"/>
    <w:rsid w:val="00A325B4"/>
    <w:rsid w:val="00A35508"/>
    <w:rsid w:val="00A3662A"/>
    <w:rsid w:val="00A42B9A"/>
    <w:rsid w:val="00A42FD0"/>
    <w:rsid w:val="00A45833"/>
    <w:rsid w:val="00A5009B"/>
    <w:rsid w:val="00A5257D"/>
    <w:rsid w:val="00A6433A"/>
    <w:rsid w:val="00A6463C"/>
    <w:rsid w:val="00A65495"/>
    <w:rsid w:val="00A66EDF"/>
    <w:rsid w:val="00A70553"/>
    <w:rsid w:val="00A71542"/>
    <w:rsid w:val="00A7277E"/>
    <w:rsid w:val="00A74F15"/>
    <w:rsid w:val="00A76319"/>
    <w:rsid w:val="00A8369B"/>
    <w:rsid w:val="00A86BCA"/>
    <w:rsid w:val="00A90424"/>
    <w:rsid w:val="00A91E6C"/>
    <w:rsid w:val="00A929C4"/>
    <w:rsid w:val="00AA48BF"/>
    <w:rsid w:val="00AB0AD1"/>
    <w:rsid w:val="00AB1122"/>
    <w:rsid w:val="00AB35FE"/>
    <w:rsid w:val="00AB5EC1"/>
    <w:rsid w:val="00AB7AF3"/>
    <w:rsid w:val="00AC018E"/>
    <w:rsid w:val="00AC0607"/>
    <w:rsid w:val="00AC1DE5"/>
    <w:rsid w:val="00AC3A04"/>
    <w:rsid w:val="00AC4819"/>
    <w:rsid w:val="00AC59B3"/>
    <w:rsid w:val="00AD08D6"/>
    <w:rsid w:val="00AD3F0D"/>
    <w:rsid w:val="00AD51B4"/>
    <w:rsid w:val="00AE2441"/>
    <w:rsid w:val="00AE2E75"/>
    <w:rsid w:val="00AE4D31"/>
    <w:rsid w:val="00AE7AFF"/>
    <w:rsid w:val="00AF2428"/>
    <w:rsid w:val="00AF4455"/>
    <w:rsid w:val="00AF463D"/>
    <w:rsid w:val="00AF641A"/>
    <w:rsid w:val="00AF662D"/>
    <w:rsid w:val="00AF7A7D"/>
    <w:rsid w:val="00AF7EC6"/>
    <w:rsid w:val="00B00FBA"/>
    <w:rsid w:val="00B018C6"/>
    <w:rsid w:val="00B0230B"/>
    <w:rsid w:val="00B02C30"/>
    <w:rsid w:val="00B073F3"/>
    <w:rsid w:val="00B10588"/>
    <w:rsid w:val="00B2104A"/>
    <w:rsid w:val="00B224F7"/>
    <w:rsid w:val="00B23609"/>
    <w:rsid w:val="00B306B4"/>
    <w:rsid w:val="00B30F23"/>
    <w:rsid w:val="00B31A40"/>
    <w:rsid w:val="00B40D17"/>
    <w:rsid w:val="00B436B1"/>
    <w:rsid w:val="00B43F96"/>
    <w:rsid w:val="00B50047"/>
    <w:rsid w:val="00B5074F"/>
    <w:rsid w:val="00B545DB"/>
    <w:rsid w:val="00B60927"/>
    <w:rsid w:val="00B60E61"/>
    <w:rsid w:val="00B650FA"/>
    <w:rsid w:val="00B718A5"/>
    <w:rsid w:val="00B72DBC"/>
    <w:rsid w:val="00B73638"/>
    <w:rsid w:val="00B74E5E"/>
    <w:rsid w:val="00B75DF3"/>
    <w:rsid w:val="00B76156"/>
    <w:rsid w:val="00B76E42"/>
    <w:rsid w:val="00B76FFF"/>
    <w:rsid w:val="00B82429"/>
    <w:rsid w:val="00B83D67"/>
    <w:rsid w:val="00B83DD1"/>
    <w:rsid w:val="00B840F8"/>
    <w:rsid w:val="00B85631"/>
    <w:rsid w:val="00B85C36"/>
    <w:rsid w:val="00B90358"/>
    <w:rsid w:val="00B9152A"/>
    <w:rsid w:val="00B9221A"/>
    <w:rsid w:val="00B9259B"/>
    <w:rsid w:val="00B92605"/>
    <w:rsid w:val="00B93A73"/>
    <w:rsid w:val="00B9534F"/>
    <w:rsid w:val="00B9660F"/>
    <w:rsid w:val="00BB1A8C"/>
    <w:rsid w:val="00BB7EAA"/>
    <w:rsid w:val="00BC5E5F"/>
    <w:rsid w:val="00BD0BE8"/>
    <w:rsid w:val="00BD1F2C"/>
    <w:rsid w:val="00BD206E"/>
    <w:rsid w:val="00BD49C9"/>
    <w:rsid w:val="00BD6916"/>
    <w:rsid w:val="00BD7E5C"/>
    <w:rsid w:val="00BE0B4E"/>
    <w:rsid w:val="00BE1D5A"/>
    <w:rsid w:val="00BE2A6D"/>
    <w:rsid w:val="00BE3463"/>
    <w:rsid w:val="00BE3E7B"/>
    <w:rsid w:val="00BE6946"/>
    <w:rsid w:val="00BE7094"/>
    <w:rsid w:val="00BE70E1"/>
    <w:rsid w:val="00BF1FE2"/>
    <w:rsid w:val="00BF408D"/>
    <w:rsid w:val="00BF6E0E"/>
    <w:rsid w:val="00C0015A"/>
    <w:rsid w:val="00C003CF"/>
    <w:rsid w:val="00C00512"/>
    <w:rsid w:val="00C00592"/>
    <w:rsid w:val="00C014A8"/>
    <w:rsid w:val="00C01F2B"/>
    <w:rsid w:val="00C02044"/>
    <w:rsid w:val="00C03733"/>
    <w:rsid w:val="00C0620B"/>
    <w:rsid w:val="00C069E4"/>
    <w:rsid w:val="00C06A3D"/>
    <w:rsid w:val="00C10307"/>
    <w:rsid w:val="00C13572"/>
    <w:rsid w:val="00C1571A"/>
    <w:rsid w:val="00C16DA5"/>
    <w:rsid w:val="00C331CC"/>
    <w:rsid w:val="00C3427D"/>
    <w:rsid w:val="00C34EB7"/>
    <w:rsid w:val="00C3573B"/>
    <w:rsid w:val="00C35BD0"/>
    <w:rsid w:val="00C364E6"/>
    <w:rsid w:val="00C368C9"/>
    <w:rsid w:val="00C369F7"/>
    <w:rsid w:val="00C37AC0"/>
    <w:rsid w:val="00C429E0"/>
    <w:rsid w:val="00C444C9"/>
    <w:rsid w:val="00C44D81"/>
    <w:rsid w:val="00C451E8"/>
    <w:rsid w:val="00C4525E"/>
    <w:rsid w:val="00C46060"/>
    <w:rsid w:val="00C464DE"/>
    <w:rsid w:val="00C470A4"/>
    <w:rsid w:val="00C512B2"/>
    <w:rsid w:val="00C55270"/>
    <w:rsid w:val="00C55915"/>
    <w:rsid w:val="00C614F4"/>
    <w:rsid w:val="00C66D37"/>
    <w:rsid w:val="00C72848"/>
    <w:rsid w:val="00C73240"/>
    <w:rsid w:val="00C76423"/>
    <w:rsid w:val="00C81452"/>
    <w:rsid w:val="00C819B2"/>
    <w:rsid w:val="00C81E02"/>
    <w:rsid w:val="00C8585C"/>
    <w:rsid w:val="00C91D66"/>
    <w:rsid w:val="00C91F9E"/>
    <w:rsid w:val="00C92966"/>
    <w:rsid w:val="00C9465A"/>
    <w:rsid w:val="00C96BCD"/>
    <w:rsid w:val="00CA0AFA"/>
    <w:rsid w:val="00CA0E45"/>
    <w:rsid w:val="00CA1CE4"/>
    <w:rsid w:val="00CA2168"/>
    <w:rsid w:val="00CA30E8"/>
    <w:rsid w:val="00CA382D"/>
    <w:rsid w:val="00CA7430"/>
    <w:rsid w:val="00CA75E8"/>
    <w:rsid w:val="00CA7A57"/>
    <w:rsid w:val="00CB2B07"/>
    <w:rsid w:val="00CB78A1"/>
    <w:rsid w:val="00CC4A48"/>
    <w:rsid w:val="00CC7E0E"/>
    <w:rsid w:val="00CD0BE5"/>
    <w:rsid w:val="00CD1498"/>
    <w:rsid w:val="00CD1B6C"/>
    <w:rsid w:val="00CD2122"/>
    <w:rsid w:val="00CD2E82"/>
    <w:rsid w:val="00CD36C3"/>
    <w:rsid w:val="00CD3B01"/>
    <w:rsid w:val="00CD4548"/>
    <w:rsid w:val="00CD48F4"/>
    <w:rsid w:val="00CD4E30"/>
    <w:rsid w:val="00CD5892"/>
    <w:rsid w:val="00CD6FAC"/>
    <w:rsid w:val="00CD7493"/>
    <w:rsid w:val="00CE26F9"/>
    <w:rsid w:val="00CE2742"/>
    <w:rsid w:val="00CE334C"/>
    <w:rsid w:val="00CE3D9A"/>
    <w:rsid w:val="00CF2934"/>
    <w:rsid w:val="00CF3000"/>
    <w:rsid w:val="00CF49FE"/>
    <w:rsid w:val="00CF7CA1"/>
    <w:rsid w:val="00D00B7D"/>
    <w:rsid w:val="00D01063"/>
    <w:rsid w:val="00D070B5"/>
    <w:rsid w:val="00D07730"/>
    <w:rsid w:val="00D124F5"/>
    <w:rsid w:val="00D168CA"/>
    <w:rsid w:val="00D23A3A"/>
    <w:rsid w:val="00D24FA9"/>
    <w:rsid w:val="00D27261"/>
    <w:rsid w:val="00D27DED"/>
    <w:rsid w:val="00D3315C"/>
    <w:rsid w:val="00D35BF5"/>
    <w:rsid w:val="00D3771E"/>
    <w:rsid w:val="00D3771F"/>
    <w:rsid w:val="00D40CAF"/>
    <w:rsid w:val="00D41EA8"/>
    <w:rsid w:val="00D47EA5"/>
    <w:rsid w:val="00D50FA0"/>
    <w:rsid w:val="00D52C0F"/>
    <w:rsid w:val="00D55A73"/>
    <w:rsid w:val="00D62FF1"/>
    <w:rsid w:val="00D63D27"/>
    <w:rsid w:val="00D64C36"/>
    <w:rsid w:val="00D65DA0"/>
    <w:rsid w:val="00D66C06"/>
    <w:rsid w:val="00D7312B"/>
    <w:rsid w:val="00D735A7"/>
    <w:rsid w:val="00D741C0"/>
    <w:rsid w:val="00D756C5"/>
    <w:rsid w:val="00D76C48"/>
    <w:rsid w:val="00D80229"/>
    <w:rsid w:val="00D80988"/>
    <w:rsid w:val="00D812A8"/>
    <w:rsid w:val="00D85D50"/>
    <w:rsid w:val="00D87907"/>
    <w:rsid w:val="00D93FB6"/>
    <w:rsid w:val="00D94A54"/>
    <w:rsid w:val="00D968E9"/>
    <w:rsid w:val="00DA03FD"/>
    <w:rsid w:val="00DA04A8"/>
    <w:rsid w:val="00DA09A4"/>
    <w:rsid w:val="00DA3F3C"/>
    <w:rsid w:val="00DA58BF"/>
    <w:rsid w:val="00DB5B91"/>
    <w:rsid w:val="00DB64F7"/>
    <w:rsid w:val="00DB70DF"/>
    <w:rsid w:val="00DB728E"/>
    <w:rsid w:val="00DC274A"/>
    <w:rsid w:val="00DC386B"/>
    <w:rsid w:val="00DC45D8"/>
    <w:rsid w:val="00DC4DB0"/>
    <w:rsid w:val="00DC53F9"/>
    <w:rsid w:val="00DC6DE6"/>
    <w:rsid w:val="00DC7704"/>
    <w:rsid w:val="00DD02E4"/>
    <w:rsid w:val="00DD0E55"/>
    <w:rsid w:val="00DD6A23"/>
    <w:rsid w:val="00DD6FDF"/>
    <w:rsid w:val="00DD7F86"/>
    <w:rsid w:val="00DE2DF8"/>
    <w:rsid w:val="00DE447B"/>
    <w:rsid w:val="00DE5B70"/>
    <w:rsid w:val="00DE7C4C"/>
    <w:rsid w:val="00DF0162"/>
    <w:rsid w:val="00DF1A84"/>
    <w:rsid w:val="00DF361A"/>
    <w:rsid w:val="00DF4031"/>
    <w:rsid w:val="00DF409D"/>
    <w:rsid w:val="00DF53B2"/>
    <w:rsid w:val="00DF6B10"/>
    <w:rsid w:val="00E00B81"/>
    <w:rsid w:val="00E0222F"/>
    <w:rsid w:val="00E03FFD"/>
    <w:rsid w:val="00E0598C"/>
    <w:rsid w:val="00E065D5"/>
    <w:rsid w:val="00E11505"/>
    <w:rsid w:val="00E12224"/>
    <w:rsid w:val="00E15358"/>
    <w:rsid w:val="00E215CE"/>
    <w:rsid w:val="00E218DD"/>
    <w:rsid w:val="00E232FB"/>
    <w:rsid w:val="00E2411A"/>
    <w:rsid w:val="00E257DC"/>
    <w:rsid w:val="00E25E10"/>
    <w:rsid w:val="00E2652C"/>
    <w:rsid w:val="00E26A7A"/>
    <w:rsid w:val="00E41578"/>
    <w:rsid w:val="00E43231"/>
    <w:rsid w:val="00E43ABB"/>
    <w:rsid w:val="00E4607A"/>
    <w:rsid w:val="00E46372"/>
    <w:rsid w:val="00E46C7D"/>
    <w:rsid w:val="00E54060"/>
    <w:rsid w:val="00E603A6"/>
    <w:rsid w:val="00E60AD0"/>
    <w:rsid w:val="00E63848"/>
    <w:rsid w:val="00E66323"/>
    <w:rsid w:val="00E664F9"/>
    <w:rsid w:val="00E674B6"/>
    <w:rsid w:val="00E70527"/>
    <w:rsid w:val="00E70E84"/>
    <w:rsid w:val="00E74619"/>
    <w:rsid w:val="00E74B5A"/>
    <w:rsid w:val="00E76322"/>
    <w:rsid w:val="00E816A4"/>
    <w:rsid w:val="00E900E5"/>
    <w:rsid w:val="00E9228E"/>
    <w:rsid w:val="00E92381"/>
    <w:rsid w:val="00E94EE4"/>
    <w:rsid w:val="00E9598D"/>
    <w:rsid w:val="00E95ECB"/>
    <w:rsid w:val="00E963F8"/>
    <w:rsid w:val="00E965E1"/>
    <w:rsid w:val="00E96700"/>
    <w:rsid w:val="00EA0F46"/>
    <w:rsid w:val="00EB1298"/>
    <w:rsid w:val="00EB5CD3"/>
    <w:rsid w:val="00EB7A28"/>
    <w:rsid w:val="00EC0A06"/>
    <w:rsid w:val="00EC0CA7"/>
    <w:rsid w:val="00EC32C8"/>
    <w:rsid w:val="00EC4D95"/>
    <w:rsid w:val="00EC4E7E"/>
    <w:rsid w:val="00EC5AE3"/>
    <w:rsid w:val="00EC6DD2"/>
    <w:rsid w:val="00EC77BF"/>
    <w:rsid w:val="00ED13A3"/>
    <w:rsid w:val="00ED1620"/>
    <w:rsid w:val="00ED3BEC"/>
    <w:rsid w:val="00ED4DD6"/>
    <w:rsid w:val="00ED7C42"/>
    <w:rsid w:val="00EE3E1E"/>
    <w:rsid w:val="00EE3ECB"/>
    <w:rsid w:val="00EE7062"/>
    <w:rsid w:val="00EE7B42"/>
    <w:rsid w:val="00EE7D28"/>
    <w:rsid w:val="00EE7FE6"/>
    <w:rsid w:val="00EF0A0C"/>
    <w:rsid w:val="00EF1F18"/>
    <w:rsid w:val="00EF3BF0"/>
    <w:rsid w:val="00EF536A"/>
    <w:rsid w:val="00EF644F"/>
    <w:rsid w:val="00F00610"/>
    <w:rsid w:val="00F00F52"/>
    <w:rsid w:val="00F027A6"/>
    <w:rsid w:val="00F0569A"/>
    <w:rsid w:val="00F110DD"/>
    <w:rsid w:val="00F16970"/>
    <w:rsid w:val="00F17864"/>
    <w:rsid w:val="00F202F0"/>
    <w:rsid w:val="00F215F8"/>
    <w:rsid w:val="00F22D86"/>
    <w:rsid w:val="00F30172"/>
    <w:rsid w:val="00F37D45"/>
    <w:rsid w:val="00F4576E"/>
    <w:rsid w:val="00F4600D"/>
    <w:rsid w:val="00F46309"/>
    <w:rsid w:val="00F46E1E"/>
    <w:rsid w:val="00F50EA5"/>
    <w:rsid w:val="00F529CB"/>
    <w:rsid w:val="00F537E9"/>
    <w:rsid w:val="00F53EF4"/>
    <w:rsid w:val="00F541D5"/>
    <w:rsid w:val="00F55078"/>
    <w:rsid w:val="00F57319"/>
    <w:rsid w:val="00F60461"/>
    <w:rsid w:val="00F607EB"/>
    <w:rsid w:val="00F60882"/>
    <w:rsid w:val="00F609EA"/>
    <w:rsid w:val="00F61E61"/>
    <w:rsid w:val="00F655D9"/>
    <w:rsid w:val="00F67A7E"/>
    <w:rsid w:val="00F67EB1"/>
    <w:rsid w:val="00F72CCA"/>
    <w:rsid w:val="00F73B3C"/>
    <w:rsid w:val="00F74B29"/>
    <w:rsid w:val="00F76086"/>
    <w:rsid w:val="00F801B1"/>
    <w:rsid w:val="00F833FC"/>
    <w:rsid w:val="00F85936"/>
    <w:rsid w:val="00F93E7F"/>
    <w:rsid w:val="00F94500"/>
    <w:rsid w:val="00F94EDE"/>
    <w:rsid w:val="00F97CF7"/>
    <w:rsid w:val="00FA56BE"/>
    <w:rsid w:val="00FA68B6"/>
    <w:rsid w:val="00FA754F"/>
    <w:rsid w:val="00FB1E20"/>
    <w:rsid w:val="00FB2A45"/>
    <w:rsid w:val="00FB6144"/>
    <w:rsid w:val="00FB76AD"/>
    <w:rsid w:val="00FC243C"/>
    <w:rsid w:val="00FC33F9"/>
    <w:rsid w:val="00FC4E8D"/>
    <w:rsid w:val="00FC7226"/>
    <w:rsid w:val="00FD1398"/>
    <w:rsid w:val="00FD3866"/>
    <w:rsid w:val="00FD40F0"/>
    <w:rsid w:val="00FD60D8"/>
    <w:rsid w:val="00FE0EDD"/>
    <w:rsid w:val="00FE22E0"/>
    <w:rsid w:val="00FE255F"/>
    <w:rsid w:val="00FE2B00"/>
    <w:rsid w:val="00FE5718"/>
    <w:rsid w:val="00FE6812"/>
    <w:rsid w:val="00FF2554"/>
    <w:rsid w:val="00FF3DB4"/>
    <w:rsid w:val="00FF40E9"/>
    <w:rsid w:val="00FF6C2B"/>
    <w:rsid w:val="01017BB1"/>
    <w:rsid w:val="010727EE"/>
    <w:rsid w:val="010A7304"/>
    <w:rsid w:val="011D2847"/>
    <w:rsid w:val="01290663"/>
    <w:rsid w:val="012A5174"/>
    <w:rsid w:val="01381773"/>
    <w:rsid w:val="0146738E"/>
    <w:rsid w:val="014D28CA"/>
    <w:rsid w:val="0151617F"/>
    <w:rsid w:val="017A141F"/>
    <w:rsid w:val="018D6714"/>
    <w:rsid w:val="01A84CE2"/>
    <w:rsid w:val="01B1184D"/>
    <w:rsid w:val="01B43147"/>
    <w:rsid w:val="01B446F6"/>
    <w:rsid w:val="01F64D0F"/>
    <w:rsid w:val="02003447"/>
    <w:rsid w:val="02137B38"/>
    <w:rsid w:val="02254E6A"/>
    <w:rsid w:val="024D3939"/>
    <w:rsid w:val="02572FEF"/>
    <w:rsid w:val="026223A4"/>
    <w:rsid w:val="027411A6"/>
    <w:rsid w:val="02793A18"/>
    <w:rsid w:val="0291633E"/>
    <w:rsid w:val="02955A50"/>
    <w:rsid w:val="02BA2E7C"/>
    <w:rsid w:val="02BB014B"/>
    <w:rsid w:val="02C85FAA"/>
    <w:rsid w:val="02CE786B"/>
    <w:rsid w:val="03377798"/>
    <w:rsid w:val="033E77E8"/>
    <w:rsid w:val="034F1046"/>
    <w:rsid w:val="03871108"/>
    <w:rsid w:val="03A0493A"/>
    <w:rsid w:val="03AC6A65"/>
    <w:rsid w:val="03C16A0B"/>
    <w:rsid w:val="03C57B58"/>
    <w:rsid w:val="03D45E9F"/>
    <w:rsid w:val="03DE659A"/>
    <w:rsid w:val="03DF7C0A"/>
    <w:rsid w:val="040276FB"/>
    <w:rsid w:val="04101B21"/>
    <w:rsid w:val="041078B9"/>
    <w:rsid w:val="04231798"/>
    <w:rsid w:val="044913D7"/>
    <w:rsid w:val="04540CA4"/>
    <w:rsid w:val="0458580D"/>
    <w:rsid w:val="04962A55"/>
    <w:rsid w:val="04974F3F"/>
    <w:rsid w:val="04992FCC"/>
    <w:rsid w:val="04AF20C8"/>
    <w:rsid w:val="04BF0BA3"/>
    <w:rsid w:val="04D13CE2"/>
    <w:rsid w:val="050F4F4F"/>
    <w:rsid w:val="051676BF"/>
    <w:rsid w:val="0553526A"/>
    <w:rsid w:val="057123C6"/>
    <w:rsid w:val="0573541A"/>
    <w:rsid w:val="057C03A3"/>
    <w:rsid w:val="05811F06"/>
    <w:rsid w:val="05AA49A4"/>
    <w:rsid w:val="05C23783"/>
    <w:rsid w:val="05D44413"/>
    <w:rsid w:val="05D67572"/>
    <w:rsid w:val="05EA1623"/>
    <w:rsid w:val="05F36DF4"/>
    <w:rsid w:val="060004FA"/>
    <w:rsid w:val="062C173D"/>
    <w:rsid w:val="065C3618"/>
    <w:rsid w:val="0665644E"/>
    <w:rsid w:val="0670151B"/>
    <w:rsid w:val="067935DB"/>
    <w:rsid w:val="06817DF9"/>
    <w:rsid w:val="0688236E"/>
    <w:rsid w:val="06924D55"/>
    <w:rsid w:val="06AC2403"/>
    <w:rsid w:val="06B75C6A"/>
    <w:rsid w:val="06C90C51"/>
    <w:rsid w:val="06F54588"/>
    <w:rsid w:val="06F91CEF"/>
    <w:rsid w:val="070611A0"/>
    <w:rsid w:val="071A351A"/>
    <w:rsid w:val="071F14B9"/>
    <w:rsid w:val="07377B99"/>
    <w:rsid w:val="075174E9"/>
    <w:rsid w:val="075E0201"/>
    <w:rsid w:val="07642A04"/>
    <w:rsid w:val="076D5B91"/>
    <w:rsid w:val="077566D6"/>
    <w:rsid w:val="077E0E2D"/>
    <w:rsid w:val="0795607D"/>
    <w:rsid w:val="07A34660"/>
    <w:rsid w:val="07C863CC"/>
    <w:rsid w:val="07D87465"/>
    <w:rsid w:val="07F45658"/>
    <w:rsid w:val="07F7285A"/>
    <w:rsid w:val="07F91A64"/>
    <w:rsid w:val="07F97858"/>
    <w:rsid w:val="07FF59B7"/>
    <w:rsid w:val="08244B15"/>
    <w:rsid w:val="0831788E"/>
    <w:rsid w:val="083679E7"/>
    <w:rsid w:val="083A104D"/>
    <w:rsid w:val="08732A37"/>
    <w:rsid w:val="088F0140"/>
    <w:rsid w:val="08AE6095"/>
    <w:rsid w:val="08B221B2"/>
    <w:rsid w:val="08BC6162"/>
    <w:rsid w:val="08BF1B7B"/>
    <w:rsid w:val="08C24907"/>
    <w:rsid w:val="09192929"/>
    <w:rsid w:val="092E0977"/>
    <w:rsid w:val="094C3302"/>
    <w:rsid w:val="09526F89"/>
    <w:rsid w:val="09531AFF"/>
    <w:rsid w:val="09640AE6"/>
    <w:rsid w:val="09781ED1"/>
    <w:rsid w:val="09A24784"/>
    <w:rsid w:val="09AD731C"/>
    <w:rsid w:val="09C80668"/>
    <w:rsid w:val="09CE3DE3"/>
    <w:rsid w:val="09E47D6A"/>
    <w:rsid w:val="09EF01E5"/>
    <w:rsid w:val="0A071F44"/>
    <w:rsid w:val="0A121125"/>
    <w:rsid w:val="0A1730CE"/>
    <w:rsid w:val="0A3F273A"/>
    <w:rsid w:val="0A4154DA"/>
    <w:rsid w:val="0A796B64"/>
    <w:rsid w:val="0A832F10"/>
    <w:rsid w:val="0A8B0DBE"/>
    <w:rsid w:val="0A8C4904"/>
    <w:rsid w:val="0A9E55BD"/>
    <w:rsid w:val="0AA50BC6"/>
    <w:rsid w:val="0AAC4928"/>
    <w:rsid w:val="0AD66276"/>
    <w:rsid w:val="0AD90ACF"/>
    <w:rsid w:val="0AEA576E"/>
    <w:rsid w:val="0AF843A6"/>
    <w:rsid w:val="0B1B3E0C"/>
    <w:rsid w:val="0B1F6B0B"/>
    <w:rsid w:val="0B33204D"/>
    <w:rsid w:val="0B474D59"/>
    <w:rsid w:val="0B482790"/>
    <w:rsid w:val="0B511DE8"/>
    <w:rsid w:val="0B674882"/>
    <w:rsid w:val="0B7028D2"/>
    <w:rsid w:val="0B872B75"/>
    <w:rsid w:val="0B8B2229"/>
    <w:rsid w:val="0B8F645A"/>
    <w:rsid w:val="0B955C05"/>
    <w:rsid w:val="0B9B3256"/>
    <w:rsid w:val="0BA6549E"/>
    <w:rsid w:val="0BC0615D"/>
    <w:rsid w:val="0BCE76D0"/>
    <w:rsid w:val="0BF811E7"/>
    <w:rsid w:val="0BF911A1"/>
    <w:rsid w:val="0C2E1641"/>
    <w:rsid w:val="0C345485"/>
    <w:rsid w:val="0C6A205C"/>
    <w:rsid w:val="0C6C40A6"/>
    <w:rsid w:val="0C88735D"/>
    <w:rsid w:val="0C8D0A35"/>
    <w:rsid w:val="0C9F3412"/>
    <w:rsid w:val="0CCA172A"/>
    <w:rsid w:val="0CEA2078"/>
    <w:rsid w:val="0CF46A17"/>
    <w:rsid w:val="0D0133CF"/>
    <w:rsid w:val="0D193BD7"/>
    <w:rsid w:val="0D241875"/>
    <w:rsid w:val="0D247BDA"/>
    <w:rsid w:val="0D350860"/>
    <w:rsid w:val="0D351206"/>
    <w:rsid w:val="0D771057"/>
    <w:rsid w:val="0D7A4A46"/>
    <w:rsid w:val="0D7B603E"/>
    <w:rsid w:val="0D86153E"/>
    <w:rsid w:val="0D9E66DA"/>
    <w:rsid w:val="0DBA2F64"/>
    <w:rsid w:val="0DC673EF"/>
    <w:rsid w:val="0DE82031"/>
    <w:rsid w:val="0E004DA8"/>
    <w:rsid w:val="0E05016B"/>
    <w:rsid w:val="0E0B0F71"/>
    <w:rsid w:val="0E110F17"/>
    <w:rsid w:val="0E43461F"/>
    <w:rsid w:val="0E5069C4"/>
    <w:rsid w:val="0E6B2691"/>
    <w:rsid w:val="0E787993"/>
    <w:rsid w:val="0ECE726E"/>
    <w:rsid w:val="0ED52C97"/>
    <w:rsid w:val="0EE17008"/>
    <w:rsid w:val="0EE27A3D"/>
    <w:rsid w:val="0EEC65EF"/>
    <w:rsid w:val="0F105E18"/>
    <w:rsid w:val="0F313BF1"/>
    <w:rsid w:val="0F4A41F8"/>
    <w:rsid w:val="0F5132AF"/>
    <w:rsid w:val="0F563EE6"/>
    <w:rsid w:val="0F743A99"/>
    <w:rsid w:val="0F8E7103"/>
    <w:rsid w:val="0FBD197B"/>
    <w:rsid w:val="0FBF347B"/>
    <w:rsid w:val="0FE74EE6"/>
    <w:rsid w:val="0FFE0DA2"/>
    <w:rsid w:val="10144C5C"/>
    <w:rsid w:val="10276D9C"/>
    <w:rsid w:val="102F0580"/>
    <w:rsid w:val="10396197"/>
    <w:rsid w:val="10705C3F"/>
    <w:rsid w:val="108D7398"/>
    <w:rsid w:val="10962F58"/>
    <w:rsid w:val="10A774ED"/>
    <w:rsid w:val="10AF2817"/>
    <w:rsid w:val="10C14698"/>
    <w:rsid w:val="10D4446D"/>
    <w:rsid w:val="10D72031"/>
    <w:rsid w:val="10E35D73"/>
    <w:rsid w:val="11141120"/>
    <w:rsid w:val="111B2565"/>
    <w:rsid w:val="112656F7"/>
    <w:rsid w:val="11400369"/>
    <w:rsid w:val="114279D5"/>
    <w:rsid w:val="11454FDA"/>
    <w:rsid w:val="117707CC"/>
    <w:rsid w:val="1185780B"/>
    <w:rsid w:val="1194718D"/>
    <w:rsid w:val="11C1482A"/>
    <w:rsid w:val="11C73FD2"/>
    <w:rsid w:val="11E12D0F"/>
    <w:rsid w:val="11E712F1"/>
    <w:rsid w:val="11EC703E"/>
    <w:rsid w:val="11F45FD0"/>
    <w:rsid w:val="11F616BB"/>
    <w:rsid w:val="11FD3E21"/>
    <w:rsid w:val="12054972"/>
    <w:rsid w:val="121D0605"/>
    <w:rsid w:val="12242110"/>
    <w:rsid w:val="12310D62"/>
    <w:rsid w:val="12380B88"/>
    <w:rsid w:val="12410FB3"/>
    <w:rsid w:val="12413609"/>
    <w:rsid w:val="124A2DC6"/>
    <w:rsid w:val="124B4F33"/>
    <w:rsid w:val="12713680"/>
    <w:rsid w:val="12872129"/>
    <w:rsid w:val="12A301AE"/>
    <w:rsid w:val="12A77C7E"/>
    <w:rsid w:val="12A97FF0"/>
    <w:rsid w:val="12DF20A1"/>
    <w:rsid w:val="12E02A2F"/>
    <w:rsid w:val="12F15F90"/>
    <w:rsid w:val="1325741D"/>
    <w:rsid w:val="132E7F4F"/>
    <w:rsid w:val="136245B2"/>
    <w:rsid w:val="136A7A97"/>
    <w:rsid w:val="136E6AE0"/>
    <w:rsid w:val="138F6F44"/>
    <w:rsid w:val="13912088"/>
    <w:rsid w:val="13B2701B"/>
    <w:rsid w:val="13B8433F"/>
    <w:rsid w:val="13DC1698"/>
    <w:rsid w:val="13DC41E5"/>
    <w:rsid w:val="13FD1CFC"/>
    <w:rsid w:val="141812CA"/>
    <w:rsid w:val="142E6938"/>
    <w:rsid w:val="144153DA"/>
    <w:rsid w:val="14603662"/>
    <w:rsid w:val="146C7D2E"/>
    <w:rsid w:val="14930480"/>
    <w:rsid w:val="1499567C"/>
    <w:rsid w:val="14A35E13"/>
    <w:rsid w:val="14AE404C"/>
    <w:rsid w:val="14CF027F"/>
    <w:rsid w:val="14EE7BAB"/>
    <w:rsid w:val="14F50230"/>
    <w:rsid w:val="150905D5"/>
    <w:rsid w:val="15176E47"/>
    <w:rsid w:val="15275157"/>
    <w:rsid w:val="152A0226"/>
    <w:rsid w:val="15402CD0"/>
    <w:rsid w:val="15581746"/>
    <w:rsid w:val="15814625"/>
    <w:rsid w:val="158E1C7B"/>
    <w:rsid w:val="15976EE1"/>
    <w:rsid w:val="15AF147E"/>
    <w:rsid w:val="15D31EEB"/>
    <w:rsid w:val="15EB627B"/>
    <w:rsid w:val="15F55F59"/>
    <w:rsid w:val="15FB65AC"/>
    <w:rsid w:val="160F21A8"/>
    <w:rsid w:val="16872A25"/>
    <w:rsid w:val="16BC25D3"/>
    <w:rsid w:val="16BC4BB6"/>
    <w:rsid w:val="16E050BD"/>
    <w:rsid w:val="16E41F7A"/>
    <w:rsid w:val="1725429E"/>
    <w:rsid w:val="172B2F1D"/>
    <w:rsid w:val="173B4075"/>
    <w:rsid w:val="173F12EC"/>
    <w:rsid w:val="1777654E"/>
    <w:rsid w:val="177D4E84"/>
    <w:rsid w:val="17814D59"/>
    <w:rsid w:val="17BD794C"/>
    <w:rsid w:val="17E75029"/>
    <w:rsid w:val="17FA65A5"/>
    <w:rsid w:val="18230314"/>
    <w:rsid w:val="1823140E"/>
    <w:rsid w:val="182744F6"/>
    <w:rsid w:val="18300B23"/>
    <w:rsid w:val="18383D10"/>
    <w:rsid w:val="187C66FB"/>
    <w:rsid w:val="188958B5"/>
    <w:rsid w:val="18A310FE"/>
    <w:rsid w:val="18B7455D"/>
    <w:rsid w:val="18BF2F3B"/>
    <w:rsid w:val="191D3E51"/>
    <w:rsid w:val="194639AA"/>
    <w:rsid w:val="195A35A6"/>
    <w:rsid w:val="196536EE"/>
    <w:rsid w:val="19800254"/>
    <w:rsid w:val="199C41D2"/>
    <w:rsid w:val="199D716C"/>
    <w:rsid w:val="19A41B67"/>
    <w:rsid w:val="19B35630"/>
    <w:rsid w:val="19BC0503"/>
    <w:rsid w:val="19BD37DA"/>
    <w:rsid w:val="19C14B87"/>
    <w:rsid w:val="19D53BA5"/>
    <w:rsid w:val="19DE1ABA"/>
    <w:rsid w:val="1A0F525C"/>
    <w:rsid w:val="1A482A76"/>
    <w:rsid w:val="1A6A4D85"/>
    <w:rsid w:val="1A7B4E33"/>
    <w:rsid w:val="1A902129"/>
    <w:rsid w:val="1A9A3651"/>
    <w:rsid w:val="1AB36EC4"/>
    <w:rsid w:val="1AD626D9"/>
    <w:rsid w:val="1AF23D54"/>
    <w:rsid w:val="1AF51BB0"/>
    <w:rsid w:val="1AF94B5C"/>
    <w:rsid w:val="1AF96BD7"/>
    <w:rsid w:val="1B0C0CF6"/>
    <w:rsid w:val="1B447B1E"/>
    <w:rsid w:val="1B454DA2"/>
    <w:rsid w:val="1B9D797E"/>
    <w:rsid w:val="1BD61DC7"/>
    <w:rsid w:val="1BE45954"/>
    <w:rsid w:val="1C192327"/>
    <w:rsid w:val="1C2177ED"/>
    <w:rsid w:val="1C2362A8"/>
    <w:rsid w:val="1C2E0066"/>
    <w:rsid w:val="1C353EB4"/>
    <w:rsid w:val="1C447518"/>
    <w:rsid w:val="1C465895"/>
    <w:rsid w:val="1C5A5B1C"/>
    <w:rsid w:val="1C6B2003"/>
    <w:rsid w:val="1C8535B0"/>
    <w:rsid w:val="1C87443A"/>
    <w:rsid w:val="1C874FB8"/>
    <w:rsid w:val="1C966CC5"/>
    <w:rsid w:val="1CB03E78"/>
    <w:rsid w:val="1CBC19FB"/>
    <w:rsid w:val="1CD11348"/>
    <w:rsid w:val="1CD21CF4"/>
    <w:rsid w:val="1CE55AC5"/>
    <w:rsid w:val="1D0D2300"/>
    <w:rsid w:val="1D1E2199"/>
    <w:rsid w:val="1D2E608B"/>
    <w:rsid w:val="1D3A57CD"/>
    <w:rsid w:val="1D3C6046"/>
    <w:rsid w:val="1D5432D5"/>
    <w:rsid w:val="1D546430"/>
    <w:rsid w:val="1D557DB0"/>
    <w:rsid w:val="1D6D47C7"/>
    <w:rsid w:val="1D801066"/>
    <w:rsid w:val="1D947FE9"/>
    <w:rsid w:val="1DC8100E"/>
    <w:rsid w:val="1DD21528"/>
    <w:rsid w:val="1DF36623"/>
    <w:rsid w:val="1DF45A14"/>
    <w:rsid w:val="1E0D4074"/>
    <w:rsid w:val="1E165EBA"/>
    <w:rsid w:val="1E272246"/>
    <w:rsid w:val="1E6978F1"/>
    <w:rsid w:val="1E700F59"/>
    <w:rsid w:val="1E77703C"/>
    <w:rsid w:val="1E820FA0"/>
    <w:rsid w:val="1E8C6387"/>
    <w:rsid w:val="1EB1498B"/>
    <w:rsid w:val="1EBE05F4"/>
    <w:rsid w:val="1F0F7ECC"/>
    <w:rsid w:val="1F201B11"/>
    <w:rsid w:val="1F517386"/>
    <w:rsid w:val="1F587D98"/>
    <w:rsid w:val="1F690C95"/>
    <w:rsid w:val="1F845B3E"/>
    <w:rsid w:val="1F97026D"/>
    <w:rsid w:val="1FB240AC"/>
    <w:rsid w:val="1FEF0D9B"/>
    <w:rsid w:val="1FF51501"/>
    <w:rsid w:val="200552DF"/>
    <w:rsid w:val="2016369E"/>
    <w:rsid w:val="2026033A"/>
    <w:rsid w:val="20605D1D"/>
    <w:rsid w:val="20D02D75"/>
    <w:rsid w:val="20D16D26"/>
    <w:rsid w:val="20DF69DD"/>
    <w:rsid w:val="20E01982"/>
    <w:rsid w:val="21155537"/>
    <w:rsid w:val="21155E1D"/>
    <w:rsid w:val="2117385F"/>
    <w:rsid w:val="2152565C"/>
    <w:rsid w:val="21956270"/>
    <w:rsid w:val="21B207FA"/>
    <w:rsid w:val="21B26104"/>
    <w:rsid w:val="21BC760C"/>
    <w:rsid w:val="21E02DE8"/>
    <w:rsid w:val="21E47966"/>
    <w:rsid w:val="21F240C4"/>
    <w:rsid w:val="21FA7A77"/>
    <w:rsid w:val="22164095"/>
    <w:rsid w:val="222145C4"/>
    <w:rsid w:val="22521CD3"/>
    <w:rsid w:val="22557BB2"/>
    <w:rsid w:val="22633739"/>
    <w:rsid w:val="22A714AD"/>
    <w:rsid w:val="22C91465"/>
    <w:rsid w:val="230374A6"/>
    <w:rsid w:val="23196053"/>
    <w:rsid w:val="23466DF9"/>
    <w:rsid w:val="236E375C"/>
    <w:rsid w:val="237D0994"/>
    <w:rsid w:val="23891837"/>
    <w:rsid w:val="23986DAB"/>
    <w:rsid w:val="239E4348"/>
    <w:rsid w:val="23AC3DCF"/>
    <w:rsid w:val="23D311FE"/>
    <w:rsid w:val="23EF7316"/>
    <w:rsid w:val="23F0483A"/>
    <w:rsid w:val="240555A4"/>
    <w:rsid w:val="24075DC5"/>
    <w:rsid w:val="24343DA4"/>
    <w:rsid w:val="24404EC0"/>
    <w:rsid w:val="244654E4"/>
    <w:rsid w:val="247E4E40"/>
    <w:rsid w:val="24BD5A2E"/>
    <w:rsid w:val="24E152AD"/>
    <w:rsid w:val="24F1647A"/>
    <w:rsid w:val="2515121A"/>
    <w:rsid w:val="252406BC"/>
    <w:rsid w:val="252515E6"/>
    <w:rsid w:val="252B3F79"/>
    <w:rsid w:val="254721A8"/>
    <w:rsid w:val="258358DD"/>
    <w:rsid w:val="25B3327A"/>
    <w:rsid w:val="25BD3C86"/>
    <w:rsid w:val="25D14918"/>
    <w:rsid w:val="25F92303"/>
    <w:rsid w:val="25FD3653"/>
    <w:rsid w:val="26175410"/>
    <w:rsid w:val="262303C3"/>
    <w:rsid w:val="2624790D"/>
    <w:rsid w:val="266359C4"/>
    <w:rsid w:val="266719DA"/>
    <w:rsid w:val="26690EF4"/>
    <w:rsid w:val="26721C2F"/>
    <w:rsid w:val="26825708"/>
    <w:rsid w:val="268C73B2"/>
    <w:rsid w:val="268F4A73"/>
    <w:rsid w:val="26B273D6"/>
    <w:rsid w:val="26D525C3"/>
    <w:rsid w:val="26DB1B05"/>
    <w:rsid w:val="26EF2161"/>
    <w:rsid w:val="26EF35E2"/>
    <w:rsid w:val="26F66465"/>
    <w:rsid w:val="26FD4FC8"/>
    <w:rsid w:val="27153D8F"/>
    <w:rsid w:val="27154624"/>
    <w:rsid w:val="271D0D41"/>
    <w:rsid w:val="271E66BD"/>
    <w:rsid w:val="27381C91"/>
    <w:rsid w:val="274A0EDD"/>
    <w:rsid w:val="275A6AA9"/>
    <w:rsid w:val="27A3150B"/>
    <w:rsid w:val="27A73793"/>
    <w:rsid w:val="27B121AF"/>
    <w:rsid w:val="27C571A3"/>
    <w:rsid w:val="27EC0EF9"/>
    <w:rsid w:val="27F50BA5"/>
    <w:rsid w:val="27FE65FA"/>
    <w:rsid w:val="280277B2"/>
    <w:rsid w:val="281750C7"/>
    <w:rsid w:val="282134FD"/>
    <w:rsid w:val="283955B9"/>
    <w:rsid w:val="28571832"/>
    <w:rsid w:val="287018EE"/>
    <w:rsid w:val="28875DDF"/>
    <w:rsid w:val="289154C6"/>
    <w:rsid w:val="289A2702"/>
    <w:rsid w:val="28FE2773"/>
    <w:rsid w:val="290D6316"/>
    <w:rsid w:val="291058F5"/>
    <w:rsid w:val="293F160D"/>
    <w:rsid w:val="29410308"/>
    <w:rsid w:val="2964356D"/>
    <w:rsid w:val="29921493"/>
    <w:rsid w:val="2997019A"/>
    <w:rsid w:val="29BF0E9F"/>
    <w:rsid w:val="29C41E64"/>
    <w:rsid w:val="29E2668A"/>
    <w:rsid w:val="29ED5437"/>
    <w:rsid w:val="29F439EA"/>
    <w:rsid w:val="29FC4834"/>
    <w:rsid w:val="2A157367"/>
    <w:rsid w:val="2A2C40DA"/>
    <w:rsid w:val="2A3C4E56"/>
    <w:rsid w:val="2A44769D"/>
    <w:rsid w:val="2A8940C2"/>
    <w:rsid w:val="2A946B96"/>
    <w:rsid w:val="2AAC040C"/>
    <w:rsid w:val="2AB910AA"/>
    <w:rsid w:val="2ABA7CEF"/>
    <w:rsid w:val="2AD651E0"/>
    <w:rsid w:val="2ADE1157"/>
    <w:rsid w:val="2AE0132C"/>
    <w:rsid w:val="2AF3524C"/>
    <w:rsid w:val="2AF67321"/>
    <w:rsid w:val="2B176055"/>
    <w:rsid w:val="2B344916"/>
    <w:rsid w:val="2B4C7898"/>
    <w:rsid w:val="2B743C17"/>
    <w:rsid w:val="2B9E6D31"/>
    <w:rsid w:val="2BB52872"/>
    <w:rsid w:val="2BB64D87"/>
    <w:rsid w:val="2BC0383B"/>
    <w:rsid w:val="2BD15882"/>
    <w:rsid w:val="2BFF7551"/>
    <w:rsid w:val="2C253248"/>
    <w:rsid w:val="2C3763A0"/>
    <w:rsid w:val="2C4D775D"/>
    <w:rsid w:val="2C5837CA"/>
    <w:rsid w:val="2C5C576C"/>
    <w:rsid w:val="2C602B3A"/>
    <w:rsid w:val="2C7D76B3"/>
    <w:rsid w:val="2CA73DED"/>
    <w:rsid w:val="2CCE7AF7"/>
    <w:rsid w:val="2CD06C13"/>
    <w:rsid w:val="2CD81054"/>
    <w:rsid w:val="2CF316F9"/>
    <w:rsid w:val="2D130548"/>
    <w:rsid w:val="2D2A393B"/>
    <w:rsid w:val="2D3331BF"/>
    <w:rsid w:val="2D377E6C"/>
    <w:rsid w:val="2D3F7C8D"/>
    <w:rsid w:val="2D5304B0"/>
    <w:rsid w:val="2D673565"/>
    <w:rsid w:val="2D791D06"/>
    <w:rsid w:val="2D7D4619"/>
    <w:rsid w:val="2D815DE3"/>
    <w:rsid w:val="2DAA2C92"/>
    <w:rsid w:val="2DCB78B1"/>
    <w:rsid w:val="2DD436F8"/>
    <w:rsid w:val="2DD911F6"/>
    <w:rsid w:val="2DD955E8"/>
    <w:rsid w:val="2DDB3917"/>
    <w:rsid w:val="2DE07E4D"/>
    <w:rsid w:val="2DE32374"/>
    <w:rsid w:val="2DEF55A7"/>
    <w:rsid w:val="2DF866F2"/>
    <w:rsid w:val="2E100AB2"/>
    <w:rsid w:val="2E174A5D"/>
    <w:rsid w:val="2E244EF3"/>
    <w:rsid w:val="2E5626FB"/>
    <w:rsid w:val="2E5D5E92"/>
    <w:rsid w:val="2E5F79C0"/>
    <w:rsid w:val="2E6F18D3"/>
    <w:rsid w:val="2E7D1F32"/>
    <w:rsid w:val="2EAA3180"/>
    <w:rsid w:val="2EB445F5"/>
    <w:rsid w:val="2ED05F28"/>
    <w:rsid w:val="2EE13737"/>
    <w:rsid w:val="2EE424E2"/>
    <w:rsid w:val="2EEE3CD6"/>
    <w:rsid w:val="2EF630D5"/>
    <w:rsid w:val="2EFE443C"/>
    <w:rsid w:val="2F1A3106"/>
    <w:rsid w:val="2F4117CD"/>
    <w:rsid w:val="2F740BEE"/>
    <w:rsid w:val="2FA15A0A"/>
    <w:rsid w:val="2FAC295D"/>
    <w:rsid w:val="2FB07D02"/>
    <w:rsid w:val="2FBB46B9"/>
    <w:rsid w:val="2FBE6583"/>
    <w:rsid w:val="2FC23EF0"/>
    <w:rsid w:val="2FCB2088"/>
    <w:rsid w:val="2FD55616"/>
    <w:rsid w:val="2FE6082A"/>
    <w:rsid w:val="2FEB1900"/>
    <w:rsid w:val="302C29D3"/>
    <w:rsid w:val="30314921"/>
    <w:rsid w:val="304C27C0"/>
    <w:rsid w:val="305A426A"/>
    <w:rsid w:val="30671733"/>
    <w:rsid w:val="306C2CF2"/>
    <w:rsid w:val="30700B8C"/>
    <w:rsid w:val="308B4216"/>
    <w:rsid w:val="308F4714"/>
    <w:rsid w:val="309A41E5"/>
    <w:rsid w:val="30AD13CC"/>
    <w:rsid w:val="30C81DD2"/>
    <w:rsid w:val="30C91210"/>
    <w:rsid w:val="30DA41C5"/>
    <w:rsid w:val="30DD3C4A"/>
    <w:rsid w:val="3102072B"/>
    <w:rsid w:val="312678D5"/>
    <w:rsid w:val="312713D0"/>
    <w:rsid w:val="31472929"/>
    <w:rsid w:val="315E302C"/>
    <w:rsid w:val="31635FD5"/>
    <w:rsid w:val="316A3A6B"/>
    <w:rsid w:val="317256BD"/>
    <w:rsid w:val="31927D8D"/>
    <w:rsid w:val="31992364"/>
    <w:rsid w:val="319D61AB"/>
    <w:rsid w:val="319F536D"/>
    <w:rsid w:val="31AD3FC3"/>
    <w:rsid w:val="31C72A42"/>
    <w:rsid w:val="31FF0890"/>
    <w:rsid w:val="320135D7"/>
    <w:rsid w:val="3217200B"/>
    <w:rsid w:val="321C6545"/>
    <w:rsid w:val="32390A40"/>
    <w:rsid w:val="325F0AF8"/>
    <w:rsid w:val="3260061E"/>
    <w:rsid w:val="32996A6E"/>
    <w:rsid w:val="32C811C0"/>
    <w:rsid w:val="32D23E68"/>
    <w:rsid w:val="32F329AE"/>
    <w:rsid w:val="332226BA"/>
    <w:rsid w:val="332B3D51"/>
    <w:rsid w:val="332F0E34"/>
    <w:rsid w:val="3353412D"/>
    <w:rsid w:val="336F2634"/>
    <w:rsid w:val="337B0264"/>
    <w:rsid w:val="337C3BD7"/>
    <w:rsid w:val="3384038E"/>
    <w:rsid w:val="33852249"/>
    <w:rsid w:val="339B6CB2"/>
    <w:rsid w:val="339B7678"/>
    <w:rsid w:val="33BC6A23"/>
    <w:rsid w:val="33D229DB"/>
    <w:rsid w:val="33E258C4"/>
    <w:rsid w:val="33E369DB"/>
    <w:rsid w:val="33E470A3"/>
    <w:rsid w:val="33FF14E7"/>
    <w:rsid w:val="33FF4F08"/>
    <w:rsid w:val="34016A9D"/>
    <w:rsid w:val="34237D1A"/>
    <w:rsid w:val="343C1478"/>
    <w:rsid w:val="343E190C"/>
    <w:rsid w:val="345F4780"/>
    <w:rsid w:val="347020FD"/>
    <w:rsid w:val="347512FB"/>
    <w:rsid w:val="348065F5"/>
    <w:rsid w:val="3487754F"/>
    <w:rsid w:val="349924B5"/>
    <w:rsid w:val="34AA1787"/>
    <w:rsid w:val="34AB511F"/>
    <w:rsid w:val="34B33F5E"/>
    <w:rsid w:val="34C441FF"/>
    <w:rsid w:val="34C61699"/>
    <w:rsid w:val="34D83FB2"/>
    <w:rsid w:val="34F02A6E"/>
    <w:rsid w:val="35026F4B"/>
    <w:rsid w:val="350B452D"/>
    <w:rsid w:val="352757D6"/>
    <w:rsid w:val="35706064"/>
    <w:rsid w:val="358233C6"/>
    <w:rsid w:val="358C302E"/>
    <w:rsid w:val="35B00B2C"/>
    <w:rsid w:val="35B0244E"/>
    <w:rsid w:val="35BD05BA"/>
    <w:rsid w:val="35D44E08"/>
    <w:rsid w:val="35DC7C0D"/>
    <w:rsid w:val="363429D4"/>
    <w:rsid w:val="36367D06"/>
    <w:rsid w:val="365555FD"/>
    <w:rsid w:val="36716025"/>
    <w:rsid w:val="36877A32"/>
    <w:rsid w:val="36A43F90"/>
    <w:rsid w:val="36AA4EE4"/>
    <w:rsid w:val="36C4275F"/>
    <w:rsid w:val="36C5115F"/>
    <w:rsid w:val="36C865AD"/>
    <w:rsid w:val="36D16428"/>
    <w:rsid w:val="36D5441D"/>
    <w:rsid w:val="36D76726"/>
    <w:rsid w:val="36EB2F81"/>
    <w:rsid w:val="36F1598C"/>
    <w:rsid w:val="370B7A44"/>
    <w:rsid w:val="37111CC2"/>
    <w:rsid w:val="37184ADE"/>
    <w:rsid w:val="371E5C37"/>
    <w:rsid w:val="373F613F"/>
    <w:rsid w:val="37662326"/>
    <w:rsid w:val="37812FB5"/>
    <w:rsid w:val="378459C6"/>
    <w:rsid w:val="378F0A02"/>
    <w:rsid w:val="37BF003F"/>
    <w:rsid w:val="37BF3DEF"/>
    <w:rsid w:val="37BF731C"/>
    <w:rsid w:val="37C70626"/>
    <w:rsid w:val="37D92E6B"/>
    <w:rsid w:val="37F757A4"/>
    <w:rsid w:val="380B492C"/>
    <w:rsid w:val="380D6DD9"/>
    <w:rsid w:val="38193EA6"/>
    <w:rsid w:val="381F593E"/>
    <w:rsid w:val="382B33F0"/>
    <w:rsid w:val="38330116"/>
    <w:rsid w:val="38390ED6"/>
    <w:rsid w:val="384244A1"/>
    <w:rsid w:val="384902EF"/>
    <w:rsid w:val="386F17D2"/>
    <w:rsid w:val="387A31FA"/>
    <w:rsid w:val="387C7A0F"/>
    <w:rsid w:val="38A5512D"/>
    <w:rsid w:val="38A93B77"/>
    <w:rsid w:val="38AA4A92"/>
    <w:rsid w:val="38BE3B48"/>
    <w:rsid w:val="38C350A3"/>
    <w:rsid w:val="38DB688E"/>
    <w:rsid w:val="38E22E8F"/>
    <w:rsid w:val="38F702E5"/>
    <w:rsid w:val="391E7427"/>
    <w:rsid w:val="392F230D"/>
    <w:rsid w:val="39321E28"/>
    <w:rsid w:val="393A4020"/>
    <w:rsid w:val="393A6798"/>
    <w:rsid w:val="39504CED"/>
    <w:rsid w:val="395079D4"/>
    <w:rsid w:val="39510164"/>
    <w:rsid w:val="395B126F"/>
    <w:rsid w:val="395D517C"/>
    <w:rsid w:val="396B2B36"/>
    <w:rsid w:val="397027F1"/>
    <w:rsid w:val="39884053"/>
    <w:rsid w:val="39892198"/>
    <w:rsid w:val="39DF6375"/>
    <w:rsid w:val="3A165D11"/>
    <w:rsid w:val="3A34157A"/>
    <w:rsid w:val="3A4D3BEE"/>
    <w:rsid w:val="3A550272"/>
    <w:rsid w:val="3A620B2D"/>
    <w:rsid w:val="3A7B0564"/>
    <w:rsid w:val="3AA17A62"/>
    <w:rsid w:val="3AB34006"/>
    <w:rsid w:val="3AB7736F"/>
    <w:rsid w:val="3AC067C7"/>
    <w:rsid w:val="3AC11C0F"/>
    <w:rsid w:val="3AC93C76"/>
    <w:rsid w:val="3AFE6E3D"/>
    <w:rsid w:val="3B295C07"/>
    <w:rsid w:val="3B2B1794"/>
    <w:rsid w:val="3B40671F"/>
    <w:rsid w:val="3B430BB4"/>
    <w:rsid w:val="3B5166F5"/>
    <w:rsid w:val="3B5E0969"/>
    <w:rsid w:val="3B6B01DB"/>
    <w:rsid w:val="3B730693"/>
    <w:rsid w:val="3B842E6E"/>
    <w:rsid w:val="3B89356E"/>
    <w:rsid w:val="3B9F78DE"/>
    <w:rsid w:val="3BAF3386"/>
    <w:rsid w:val="3BBB2B1F"/>
    <w:rsid w:val="3BBD544F"/>
    <w:rsid w:val="3BEA3259"/>
    <w:rsid w:val="3BF305C8"/>
    <w:rsid w:val="3BF34CE9"/>
    <w:rsid w:val="3C262278"/>
    <w:rsid w:val="3C2E6878"/>
    <w:rsid w:val="3C320049"/>
    <w:rsid w:val="3C332067"/>
    <w:rsid w:val="3C3D1EA7"/>
    <w:rsid w:val="3C412FEF"/>
    <w:rsid w:val="3C5E172A"/>
    <w:rsid w:val="3C5F75E9"/>
    <w:rsid w:val="3C665813"/>
    <w:rsid w:val="3C687C69"/>
    <w:rsid w:val="3C6F0F2D"/>
    <w:rsid w:val="3C6F4129"/>
    <w:rsid w:val="3C705345"/>
    <w:rsid w:val="3C804EFE"/>
    <w:rsid w:val="3C8C793D"/>
    <w:rsid w:val="3CB44FCF"/>
    <w:rsid w:val="3CB80705"/>
    <w:rsid w:val="3CBF67A9"/>
    <w:rsid w:val="3CD67AA4"/>
    <w:rsid w:val="3CE02CA8"/>
    <w:rsid w:val="3CEE4E43"/>
    <w:rsid w:val="3D020E40"/>
    <w:rsid w:val="3D0B40C6"/>
    <w:rsid w:val="3D0D6DE9"/>
    <w:rsid w:val="3D1E303A"/>
    <w:rsid w:val="3D381E15"/>
    <w:rsid w:val="3D4144F8"/>
    <w:rsid w:val="3D6D53B1"/>
    <w:rsid w:val="3D732DA3"/>
    <w:rsid w:val="3D8D59DF"/>
    <w:rsid w:val="3DBD2D33"/>
    <w:rsid w:val="3DC0305E"/>
    <w:rsid w:val="3DC177DA"/>
    <w:rsid w:val="3DD226B8"/>
    <w:rsid w:val="3DEC3012"/>
    <w:rsid w:val="3E0E3EB9"/>
    <w:rsid w:val="3E2C10FA"/>
    <w:rsid w:val="3E3D7CCB"/>
    <w:rsid w:val="3E5069DB"/>
    <w:rsid w:val="3E651F02"/>
    <w:rsid w:val="3E7B4341"/>
    <w:rsid w:val="3EB424C1"/>
    <w:rsid w:val="3EB50271"/>
    <w:rsid w:val="3ECD660E"/>
    <w:rsid w:val="3EF57852"/>
    <w:rsid w:val="3EF95127"/>
    <w:rsid w:val="3F245ACF"/>
    <w:rsid w:val="3F3A68F8"/>
    <w:rsid w:val="3F44721D"/>
    <w:rsid w:val="3F4872FA"/>
    <w:rsid w:val="3F664D84"/>
    <w:rsid w:val="3F710605"/>
    <w:rsid w:val="3F72633E"/>
    <w:rsid w:val="3F7A5DA8"/>
    <w:rsid w:val="3F7E18AC"/>
    <w:rsid w:val="3F7F5E54"/>
    <w:rsid w:val="3F907C64"/>
    <w:rsid w:val="3F920133"/>
    <w:rsid w:val="3F960D43"/>
    <w:rsid w:val="3FB71799"/>
    <w:rsid w:val="3FD576BC"/>
    <w:rsid w:val="3FE15F9F"/>
    <w:rsid w:val="3FE41DD0"/>
    <w:rsid w:val="400F4519"/>
    <w:rsid w:val="402E3C00"/>
    <w:rsid w:val="40574D3C"/>
    <w:rsid w:val="4072184F"/>
    <w:rsid w:val="409F3F87"/>
    <w:rsid w:val="40CC4A3E"/>
    <w:rsid w:val="40CE6283"/>
    <w:rsid w:val="40D63B5E"/>
    <w:rsid w:val="40DA2BCE"/>
    <w:rsid w:val="40DE4FEB"/>
    <w:rsid w:val="40E80341"/>
    <w:rsid w:val="40F13BA1"/>
    <w:rsid w:val="40FC46F2"/>
    <w:rsid w:val="41031CC1"/>
    <w:rsid w:val="41057DB6"/>
    <w:rsid w:val="411706D2"/>
    <w:rsid w:val="412200D3"/>
    <w:rsid w:val="4122031E"/>
    <w:rsid w:val="412A15A0"/>
    <w:rsid w:val="41394B69"/>
    <w:rsid w:val="414023CE"/>
    <w:rsid w:val="414B1910"/>
    <w:rsid w:val="414C3ED9"/>
    <w:rsid w:val="41826052"/>
    <w:rsid w:val="41AE6602"/>
    <w:rsid w:val="41D028AB"/>
    <w:rsid w:val="41D6242B"/>
    <w:rsid w:val="41E81030"/>
    <w:rsid w:val="41FA0E5E"/>
    <w:rsid w:val="422151A6"/>
    <w:rsid w:val="423026F4"/>
    <w:rsid w:val="42427D2E"/>
    <w:rsid w:val="424A5EA3"/>
    <w:rsid w:val="425C5EED"/>
    <w:rsid w:val="42640436"/>
    <w:rsid w:val="426B74DE"/>
    <w:rsid w:val="426C2835"/>
    <w:rsid w:val="428D648C"/>
    <w:rsid w:val="42964966"/>
    <w:rsid w:val="42AA3EC8"/>
    <w:rsid w:val="42AD61B9"/>
    <w:rsid w:val="42C8573A"/>
    <w:rsid w:val="42CC7E97"/>
    <w:rsid w:val="42D9586E"/>
    <w:rsid w:val="42EF1640"/>
    <w:rsid w:val="430C3C9C"/>
    <w:rsid w:val="4314700C"/>
    <w:rsid w:val="43197D71"/>
    <w:rsid w:val="434541D3"/>
    <w:rsid w:val="434667E5"/>
    <w:rsid w:val="434D1C5C"/>
    <w:rsid w:val="43566713"/>
    <w:rsid w:val="438B4414"/>
    <w:rsid w:val="439714AF"/>
    <w:rsid w:val="43A53B82"/>
    <w:rsid w:val="43A90B3D"/>
    <w:rsid w:val="43B41963"/>
    <w:rsid w:val="43CD4B2B"/>
    <w:rsid w:val="43D80B5E"/>
    <w:rsid w:val="43E2581D"/>
    <w:rsid w:val="43EF6A56"/>
    <w:rsid w:val="43FC6D61"/>
    <w:rsid w:val="44120BCC"/>
    <w:rsid w:val="44211AD2"/>
    <w:rsid w:val="442B1303"/>
    <w:rsid w:val="442D2AA4"/>
    <w:rsid w:val="443329F4"/>
    <w:rsid w:val="443D5D8A"/>
    <w:rsid w:val="443F46E8"/>
    <w:rsid w:val="44410444"/>
    <w:rsid w:val="445F1530"/>
    <w:rsid w:val="448C28D9"/>
    <w:rsid w:val="44DF7FDE"/>
    <w:rsid w:val="44E6761E"/>
    <w:rsid w:val="44F42F11"/>
    <w:rsid w:val="4524166F"/>
    <w:rsid w:val="454B230C"/>
    <w:rsid w:val="454D6FF9"/>
    <w:rsid w:val="454F3FAA"/>
    <w:rsid w:val="45596509"/>
    <w:rsid w:val="45694A18"/>
    <w:rsid w:val="456B3EDB"/>
    <w:rsid w:val="456D246F"/>
    <w:rsid w:val="458F040F"/>
    <w:rsid w:val="45B7799C"/>
    <w:rsid w:val="45B853EC"/>
    <w:rsid w:val="45BA5FD9"/>
    <w:rsid w:val="45C67776"/>
    <w:rsid w:val="45D03F3B"/>
    <w:rsid w:val="45E54FAF"/>
    <w:rsid w:val="461A6709"/>
    <w:rsid w:val="462004DE"/>
    <w:rsid w:val="463420C4"/>
    <w:rsid w:val="463A7E47"/>
    <w:rsid w:val="463C4A15"/>
    <w:rsid w:val="464359C3"/>
    <w:rsid w:val="46501455"/>
    <w:rsid w:val="46592743"/>
    <w:rsid w:val="46673753"/>
    <w:rsid w:val="467D6138"/>
    <w:rsid w:val="468004CC"/>
    <w:rsid w:val="46874C3D"/>
    <w:rsid w:val="46AB5BF0"/>
    <w:rsid w:val="46B020F0"/>
    <w:rsid w:val="46BF73FC"/>
    <w:rsid w:val="46CC7D04"/>
    <w:rsid w:val="473854E9"/>
    <w:rsid w:val="473B6145"/>
    <w:rsid w:val="47472609"/>
    <w:rsid w:val="477F4899"/>
    <w:rsid w:val="479868FB"/>
    <w:rsid w:val="479A16D0"/>
    <w:rsid w:val="479F05CA"/>
    <w:rsid w:val="47B01483"/>
    <w:rsid w:val="47B3285D"/>
    <w:rsid w:val="47B72067"/>
    <w:rsid w:val="47E56B22"/>
    <w:rsid w:val="47EA6100"/>
    <w:rsid w:val="47F0736E"/>
    <w:rsid w:val="47F224DE"/>
    <w:rsid w:val="47FE5574"/>
    <w:rsid w:val="48010E15"/>
    <w:rsid w:val="481F7836"/>
    <w:rsid w:val="48273436"/>
    <w:rsid w:val="483451C4"/>
    <w:rsid w:val="484D3774"/>
    <w:rsid w:val="4868211C"/>
    <w:rsid w:val="488B1D39"/>
    <w:rsid w:val="488F6C7A"/>
    <w:rsid w:val="48DC05DF"/>
    <w:rsid w:val="490A0361"/>
    <w:rsid w:val="49130DFF"/>
    <w:rsid w:val="496472EF"/>
    <w:rsid w:val="49717ECA"/>
    <w:rsid w:val="49B46BF7"/>
    <w:rsid w:val="49B61CE3"/>
    <w:rsid w:val="49C17825"/>
    <w:rsid w:val="49F12C60"/>
    <w:rsid w:val="4A0373A3"/>
    <w:rsid w:val="4A122D23"/>
    <w:rsid w:val="4A391C1B"/>
    <w:rsid w:val="4A4F45DA"/>
    <w:rsid w:val="4A58168F"/>
    <w:rsid w:val="4A771C7C"/>
    <w:rsid w:val="4A7E123B"/>
    <w:rsid w:val="4AAA68A0"/>
    <w:rsid w:val="4AD6546A"/>
    <w:rsid w:val="4ADD7756"/>
    <w:rsid w:val="4AE46B2A"/>
    <w:rsid w:val="4AE866D7"/>
    <w:rsid w:val="4AFA44F5"/>
    <w:rsid w:val="4B0A4279"/>
    <w:rsid w:val="4B2817AD"/>
    <w:rsid w:val="4B3654DF"/>
    <w:rsid w:val="4B3676D7"/>
    <w:rsid w:val="4B3C5DA9"/>
    <w:rsid w:val="4B6D0E75"/>
    <w:rsid w:val="4B6D374D"/>
    <w:rsid w:val="4B711D1E"/>
    <w:rsid w:val="4B764505"/>
    <w:rsid w:val="4B7A4A62"/>
    <w:rsid w:val="4B814DB1"/>
    <w:rsid w:val="4BB27060"/>
    <w:rsid w:val="4BB83783"/>
    <w:rsid w:val="4BBC1039"/>
    <w:rsid w:val="4BE24D2F"/>
    <w:rsid w:val="4BE95600"/>
    <w:rsid w:val="4C0403BF"/>
    <w:rsid w:val="4C0F2222"/>
    <w:rsid w:val="4C521AFF"/>
    <w:rsid w:val="4C5D423F"/>
    <w:rsid w:val="4C7A4DD7"/>
    <w:rsid w:val="4C7C46BE"/>
    <w:rsid w:val="4C7F0FC3"/>
    <w:rsid w:val="4C945E31"/>
    <w:rsid w:val="4CB863D4"/>
    <w:rsid w:val="4CB93B1E"/>
    <w:rsid w:val="4CC6484E"/>
    <w:rsid w:val="4CDC6452"/>
    <w:rsid w:val="4D0316D6"/>
    <w:rsid w:val="4D072D8E"/>
    <w:rsid w:val="4D3C55CA"/>
    <w:rsid w:val="4D463048"/>
    <w:rsid w:val="4DB04873"/>
    <w:rsid w:val="4DC9002A"/>
    <w:rsid w:val="4E1113F3"/>
    <w:rsid w:val="4E2F16EC"/>
    <w:rsid w:val="4E3939BC"/>
    <w:rsid w:val="4E5D786B"/>
    <w:rsid w:val="4E5F1715"/>
    <w:rsid w:val="4E896D4A"/>
    <w:rsid w:val="4E9E163B"/>
    <w:rsid w:val="4EC11478"/>
    <w:rsid w:val="4EC515F6"/>
    <w:rsid w:val="4EE13FE1"/>
    <w:rsid w:val="4EF45A6E"/>
    <w:rsid w:val="4EF8103F"/>
    <w:rsid w:val="4F0614ED"/>
    <w:rsid w:val="4F12451B"/>
    <w:rsid w:val="4F3D218C"/>
    <w:rsid w:val="4F5E661E"/>
    <w:rsid w:val="4F6D6602"/>
    <w:rsid w:val="4FBE3B6B"/>
    <w:rsid w:val="4FBF4647"/>
    <w:rsid w:val="4FC14231"/>
    <w:rsid w:val="4FC754B2"/>
    <w:rsid w:val="4FCB1F28"/>
    <w:rsid w:val="4FEB0C5D"/>
    <w:rsid w:val="4FFC26AA"/>
    <w:rsid w:val="50032B3A"/>
    <w:rsid w:val="500A1500"/>
    <w:rsid w:val="50164AE5"/>
    <w:rsid w:val="504B12DC"/>
    <w:rsid w:val="505B2F96"/>
    <w:rsid w:val="505C2C74"/>
    <w:rsid w:val="50603843"/>
    <w:rsid w:val="506154B0"/>
    <w:rsid w:val="50700893"/>
    <w:rsid w:val="50734F34"/>
    <w:rsid w:val="50737A73"/>
    <w:rsid w:val="50BB56E2"/>
    <w:rsid w:val="50C95CF2"/>
    <w:rsid w:val="50E722E8"/>
    <w:rsid w:val="50F2368E"/>
    <w:rsid w:val="50FD572B"/>
    <w:rsid w:val="50FF64C3"/>
    <w:rsid w:val="51056042"/>
    <w:rsid w:val="5110748D"/>
    <w:rsid w:val="51206494"/>
    <w:rsid w:val="51364D60"/>
    <w:rsid w:val="513E0EB3"/>
    <w:rsid w:val="515C6C08"/>
    <w:rsid w:val="51923326"/>
    <w:rsid w:val="519F416D"/>
    <w:rsid w:val="51B64BCD"/>
    <w:rsid w:val="51DB2418"/>
    <w:rsid w:val="51E81829"/>
    <w:rsid w:val="52021EE1"/>
    <w:rsid w:val="520755BB"/>
    <w:rsid w:val="521020F5"/>
    <w:rsid w:val="521903D3"/>
    <w:rsid w:val="522C6326"/>
    <w:rsid w:val="5268170D"/>
    <w:rsid w:val="52776257"/>
    <w:rsid w:val="528E050C"/>
    <w:rsid w:val="52AC0CC3"/>
    <w:rsid w:val="52BC08FB"/>
    <w:rsid w:val="52C94E58"/>
    <w:rsid w:val="52E70790"/>
    <w:rsid w:val="52E841DE"/>
    <w:rsid w:val="53003147"/>
    <w:rsid w:val="530F47B1"/>
    <w:rsid w:val="532640EE"/>
    <w:rsid w:val="53290DEF"/>
    <w:rsid w:val="53325219"/>
    <w:rsid w:val="535B0EC8"/>
    <w:rsid w:val="5379131C"/>
    <w:rsid w:val="53935E56"/>
    <w:rsid w:val="5395099E"/>
    <w:rsid w:val="539A4D48"/>
    <w:rsid w:val="53B07984"/>
    <w:rsid w:val="53B70CDB"/>
    <w:rsid w:val="53B95A78"/>
    <w:rsid w:val="53DD2F5D"/>
    <w:rsid w:val="53EB233E"/>
    <w:rsid w:val="5426285C"/>
    <w:rsid w:val="54286530"/>
    <w:rsid w:val="54320800"/>
    <w:rsid w:val="544E12D7"/>
    <w:rsid w:val="547A07A3"/>
    <w:rsid w:val="54AA2306"/>
    <w:rsid w:val="54B206B2"/>
    <w:rsid w:val="54C53579"/>
    <w:rsid w:val="54C61548"/>
    <w:rsid w:val="54D60A15"/>
    <w:rsid w:val="54E761B1"/>
    <w:rsid w:val="54F3414F"/>
    <w:rsid w:val="54F778A2"/>
    <w:rsid w:val="551550E1"/>
    <w:rsid w:val="551E1593"/>
    <w:rsid w:val="552165A5"/>
    <w:rsid w:val="554F716A"/>
    <w:rsid w:val="555F3580"/>
    <w:rsid w:val="558F2F28"/>
    <w:rsid w:val="559373F0"/>
    <w:rsid w:val="55A5723A"/>
    <w:rsid w:val="55A70081"/>
    <w:rsid w:val="55E14BAC"/>
    <w:rsid w:val="55E50E61"/>
    <w:rsid w:val="561248F1"/>
    <w:rsid w:val="56247D68"/>
    <w:rsid w:val="563521AD"/>
    <w:rsid w:val="564425B1"/>
    <w:rsid w:val="564E1451"/>
    <w:rsid w:val="565C2F5E"/>
    <w:rsid w:val="56687B85"/>
    <w:rsid w:val="569013C3"/>
    <w:rsid w:val="56AA78E8"/>
    <w:rsid w:val="56B42063"/>
    <w:rsid w:val="56B96F8B"/>
    <w:rsid w:val="56C55D67"/>
    <w:rsid w:val="57112202"/>
    <w:rsid w:val="572C16EE"/>
    <w:rsid w:val="57372761"/>
    <w:rsid w:val="57584FCA"/>
    <w:rsid w:val="57630249"/>
    <w:rsid w:val="576B4009"/>
    <w:rsid w:val="576F3C25"/>
    <w:rsid w:val="579C17F5"/>
    <w:rsid w:val="57A22533"/>
    <w:rsid w:val="57D81C80"/>
    <w:rsid w:val="57DA5A4A"/>
    <w:rsid w:val="58182B98"/>
    <w:rsid w:val="58415931"/>
    <w:rsid w:val="58532BF9"/>
    <w:rsid w:val="585F17B4"/>
    <w:rsid w:val="58957C7C"/>
    <w:rsid w:val="58A17895"/>
    <w:rsid w:val="58AC3E86"/>
    <w:rsid w:val="58BE5EF5"/>
    <w:rsid w:val="58C042FC"/>
    <w:rsid w:val="58C04594"/>
    <w:rsid w:val="58C44914"/>
    <w:rsid w:val="58C82CE4"/>
    <w:rsid w:val="590405F0"/>
    <w:rsid w:val="59101F5C"/>
    <w:rsid w:val="592331AB"/>
    <w:rsid w:val="59422F3E"/>
    <w:rsid w:val="594A4899"/>
    <w:rsid w:val="596A7F88"/>
    <w:rsid w:val="59741822"/>
    <w:rsid w:val="598E4F31"/>
    <w:rsid w:val="59922158"/>
    <w:rsid w:val="59AB01F8"/>
    <w:rsid w:val="59AD16A2"/>
    <w:rsid w:val="59AD4E28"/>
    <w:rsid w:val="59AE3561"/>
    <w:rsid w:val="59E040F5"/>
    <w:rsid w:val="5A1031C4"/>
    <w:rsid w:val="5A134268"/>
    <w:rsid w:val="5A1806C0"/>
    <w:rsid w:val="5A2750DA"/>
    <w:rsid w:val="5A2F6C4F"/>
    <w:rsid w:val="5A4335A5"/>
    <w:rsid w:val="5A8B35AE"/>
    <w:rsid w:val="5AAE6ABC"/>
    <w:rsid w:val="5ACC5D6E"/>
    <w:rsid w:val="5AE436C2"/>
    <w:rsid w:val="5AF3296E"/>
    <w:rsid w:val="5AF53793"/>
    <w:rsid w:val="5B0C6F5E"/>
    <w:rsid w:val="5B1557DA"/>
    <w:rsid w:val="5B2003E1"/>
    <w:rsid w:val="5B392A84"/>
    <w:rsid w:val="5B6B5E8F"/>
    <w:rsid w:val="5B7D53D5"/>
    <w:rsid w:val="5B8715A6"/>
    <w:rsid w:val="5B8939CB"/>
    <w:rsid w:val="5BA40CBB"/>
    <w:rsid w:val="5BA43F4E"/>
    <w:rsid w:val="5BA65C67"/>
    <w:rsid w:val="5C15026D"/>
    <w:rsid w:val="5C223F55"/>
    <w:rsid w:val="5C517CA4"/>
    <w:rsid w:val="5C5407FC"/>
    <w:rsid w:val="5C5944BA"/>
    <w:rsid w:val="5C603A1A"/>
    <w:rsid w:val="5C655099"/>
    <w:rsid w:val="5C8B36F0"/>
    <w:rsid w:val="5CCB319F"/>
    <w:rsid w:val="5CCD75AA"/>
    <w:rsid w:val="5CCF60C7"/>
    <w:rsid w:val="5CEA7B41"/>
    <w:rsid w:val="5CEF2B51"/>
    <w:rsid w:val="5CF627BC"/>
    <w:rsid w:val="5D096819"/>
    <w:rsid w:val="5D1A11E4"/>
    <w:rsid w:val="5D1B617D"/>
    <w:rsid w:val="5D1D5D61"/>
    <w:rsid w:val="5D2675F3"/>
    <w:rsid w:val="5D337227"/>
    <w:rsid w:val="5D4810F0"/>
    <w:rsid w:val="5D596392"/>
    <w:rsid w:val="5D5A270D"/>
    <w:rsid w:val="5D680F92"/>
    <w:rsid w:val="5D7274E7"/>
    <w:rsid w:val="5D746D54"/>
    <w:rsid w:val="5D7D6F94"/>
    <w:rsid w:val="5D932E05"/>
    <w:rsid w:val="5D96309F"/>
    <w:rsid w:val="5DCB2540"/>
    <w:rsid w:val="5DDFC539"/>
    <w:rsid w:val="5DEA2B6B"/>
    <w:rsid w:val="5DF658B7"/>
    <w:rsid w:val="5E2E097A"/>
    <w:rsid w:val="5E395DD4"/>
    <w:rsid w:val="5E6D1849"/>
    <w:rsid w:val="5E7254DD"/>
    <w:rsid w:val="5E8E2D92"/>
    <w:rsid w:val="5E96456D"/>
    <w:rsid w:val="5EA319C8"/>
    <w:rsid w:val="5EAF5CC5"/>
    <w:rsid w:val="5EB9265B"/>
    <w:rsid w:val="5EBD6330"/>
    <w:rsid w:val="5ED86BFB"/>
    <w:rsid w:val="5ED91711"/>
    <w:rsid w:val="5F0B1839"/>
    <w:rsid w:val="5F257462"/>
    <w:rsid w:val="5F2A29DD"/>
    <w:rsid w:val="5F420052"/>
    <w:rsid w:val="5F477F2E"/>
    <w:rsid w:val="5F4F1515"/>
    <w:rsid w:val="5F910110"/>
    <w:rsid w:val="5F95192E"/>
    <w:rsid w:val="5F9C3D1F"/>
    <w:rsid w:val="5FAB0565"/>
    <w:rsid w:val="5FB3564A"/>
    <w:rsid w:val="5FB5056D"/>
    <w:rsid w:val="5FCB0A77"/>
    <w:rsid w:val="5FD779A6"/>
    <w:rsid w:val="5FE804E6"/>
    <w:rsid w:val="5FEE6341"/>
    <w:rsid w:val="600D497E"/>
    <w:rsid w:val="6049631E"/>
    <w:rsid w:val="605446E4"/>
    <w:rsid w:val="60675FEB"/>
    <w:rsid w:val="606A3A73"/>
    <w:rsid w:val="60C77AE6"/>
    <w:rsid w:val="60C96CFB"/>
    <w:rsid w:val="60CB269E"/>
    <w:rsid w:val="60CD733A"/>
    <w:rsid w:val="60D941C6"/>
    <w:rsid w:val="60E62CB0"/>
    <w:rsid w:val="60EC754A"/>
    <w:rsid w:val="610F3C0A"/>
    <w:rsid w:val="61311344"/>
    <w:rsid w:val="61640F7C"/>
    <w:rsid w:val="616E11BC"/>
    <w:rsid w:val="619F599E"/>
    <w:rsid w:val="61AB2046"/>
    <w:rsid w:val="61B579C8"/>
    <w:rsid w:val="61BA51ED"/>
    <w:rsid w:val="61CB0541"/>
    <w:rsid w:val="61D323EE"/>
    <w:rsid w:val="61DE64C6"/>
    <w:rsid w:val="61E55E9B"/>
    <w:rsid w:val="61EB2C07"/>
    <w:rsid w:val="621303E3"/>
    <w:rsid w:val="62246821"/>
    <w:rsid w:val="622F7444"/>
    <w:rsid w:val="623339C2"/>
    <w:rsid w:val="62421D4E"/>
    <w:rsid w:val="624568E9"/>
    <w:rsid w:val="62704F36"/>
    <w:rsid w:val="62816632"/>
    <w:rsid w:val="629F71F4"/>
    <w:rsid w:val="62AD1AE7"/>
    <w:rsid w:val="62CA4E46"/>
    <w:rsid w:val="63003C1B"/>
    <w:rsid w:val="630737FB"/>
    <w:rsid w:val="6313406C"/>
    <w:rsid w:val="633023D3"/>
    <w:rsid w:val="633D3CE0"/>
    <w:rsid w:val="63401F1F"/>
    <w:rsid w:val="63427F00"/>
    <w:rsid w:val="635C3D2B"/>
    <w:rsid w:val="63615E5C"/>
    <w:rsid w:val="636861D8"/>
    <w:rsid w:val="636C3A73"/>
    <w:rsid w:val="637009E5"/>
    <w:rsid w:val="637C5546"/>
    <w:rsid w:val="63A51836"/>
    <w:rsid w:val="63A74B59"/>
    <w:rsid w:val="63BE2DD3"/>
    <w:rsid w:val="63D5387C"/>
    <w:rsid w:val="63F30C8E"/>
    <w:rsid w:val="640D406C"/>
    <w:rsid w:val="64205E83"/>
    <w:rsid w:val="643665C9"/>
    <w:rsid w:val="64476F29"/>
    <w:rsid w:val="64676701"/>
    <w:rsid w:val="649302B2"/>
    <w:rsid w:val="64AD75CB"/>
    <w:rsid w:val="64C06FBC"/>
    <w:rsid w:val="64D70778"/>
    <w:rsid w:val="64D90843"/>
    <w:rsid w:val="64DA7D2E"/>
    <w:rsid w:val="64DC7BAF"/>
    <w:rsid w:val="64DF4F6A"/>
    <w:rsid w:val="64E31491"/>
    <w:rsid w:val="64E55D4E"/>
    <w:rsid w:val="64F71817"/>
    <w:rsid w:val="64FC6EEE"/>
    <w:rsid w:val="6513662C"/>
    <w:rsid w:val="65197936"/>
    <w:rsid w:val="653F3F91"/>
    <w:rsid w:val="65435AA2"/>
    <w:rsid w:val="654E4446"/>
    <w:rsid w:val="658C6ED9"/>
    <w:rsid w:val="65BC2FDC"/>
    <w:rsid w:val="65C25A2B"/>
    <w:rsid w:val="65EB1CBE"/>
    <w:rsid w:val="65F06CFE"/>
    <w:rsid w:val="65F23A93"/>
    <w:rsid w:val="662C7C52"/>
    <w:rsid w:val="66363894"/>
    <w:rsid w:val="66547D12"/>
    <w:rsid w:val="66630F5B"/>
    <w:rsid w:val="66635066"/>
    <w:rsid w:val="667600FE"/>
    <w:rsid w:val="66827F88"/>
    <w:rsid w:val="66B977A1"/>
    <w:rsid w:val="66BE4C04"/>
    <w:rsid w:val="66C53541"/>
    <w:rsid w:val="66D16EB1"/>
    <w:rsid w:val="66D97586"/>
    <w:rsid w:val="66E85E6C"/>
    <w:rsid w:val="66EF226F"/>
    <w:rsid w:val="66F551CD"/>
    <w:rsid w:val="6711352C"/>
    <w:rsid w:val="67261818"/>
    <w:rsid w:val="67310E46"/>
    <w:rsid w:val="675635AD"/>
    <w:rsid w:val="676C5758"/>
    <w:rsid w:val="67767181"/>
    <w:rsid w:val="67893000"/>
    <w:rsid w:val="67920971"/>
    <w:rsid w:val="6797136D"/>
    <w:rsid w:val="67B034E6"/>
    <w:rsid w:val="67CC1CEB"/>
    <w:rsid w:val="67D27892"/>
    <w:rsid w:val="67FD0D26"/>
    <w:rsid w:val="680B1673"/>
    <w:rsid w:val="68307350"/>
    <w:rsid w:val="684D52D3"/>
    <w:rsid w:val="685B368C"/>
    <w:rsid w:val="689A5BC8"/>
    <w:rsid w:val="689B678F"/>
    <w:rsid w:val="68AC64A4"/>
    <w:rsid w:val="68B041DB"/>
    <w:rsid w:val="68B379A9"/>
    <w:rsid w:val="68B45E61"/>
    <w:rsid w:val="68D6547F"/>
    <w:rsid w:val="69152416"/>
    <w:rsid w:val="69314602"/>
    <w:rsid w:val="693462DE"/>
    <w:rsid w:val="695E29E3"/>
    <w:rsid w:val="696C7681"/>
    <w:rsid w:val="69756138"/>
    <w:rsid w:val="698A6567"/>
    <w:rsid w:val="69934956"/>
    <w:rsid w:val="699C00EC"/>
    <w:rsid w:val="699D220E"/>
    <w:rsid w:val="69AB1FCA"/>
    <w:rsid w:val="69C25D53"/>
    <w:rsid w:val="69DA7548"/>
    <w:rsid w:val="69DF521C"/>
    <w:rsid w:val="69E46644"/>
    <w:rsid w:val="69F33107"/>
    <w:rsid w:val="6A0B5E11"/>
    <w:rsid w:val="6A1A30CF"/>
    <w:rsid w:val="6A416579"/>
    <w:rsid w:val="6A992E96"/>
    <w:rsid w:val="6A9E5224"/>
    <w:rsid w:val="6AD76A7A"/>
    <w:rsid w:val="6AE249CB"/>
    <w:rsid w:val="6AE5205E"/>
    <w:rsid w:val="6AF84808"/>
    <w:rsid w:val="6B0A3135"/>
    <w:rsid w:val="6B0B7F49"/>
    <w:rsid w:val="6B1273C7"/>
    <w:rsid w:val="6B2A410B"/>
    <w:rsid w:val="6B384C9F"/>
    <w:rsid w:val="6B3F7B06"/>
    <w:rsid w:val="6B512BCC"/>
    <w:rsid w:val="6B660F23"/>
    <w:rsid w:val="6B672341"/>
    <w:rsid w:val="6B7A65D8"/>
    <w:rsid w:val="6B903A69"/>
    <w:rsid w:val="6B9139CE"/>
    <w:rsid w:val="6B9C34E6"/>
    <w:rsid w:val="6BA97F88"/>
    <w:rsid w:val="6BB62340"/>
    <w:rsid w:val="6BBF7395"/>
    <w:rsid w:val="6BC835B3"/>
    <w:rsid w:val="6BD41160"/>
    <w:rsid w:val="6BDC329C"/>
    <w:rsid w:val="6BF414F1"/>
    <w:rsid w:val="6BFA3D6E"/>
    <w:rsid w:val="6C106C9B"/>
    <w:rsid w:val="6C157B3D"/>
    <w:rsid w:val="6C2B62D3"/>
    <w:rsid w:val="6C3D51B7"/>
    <w:rsid w:val="6C484D28"/>
    <w:rsid w:val="6C4D14D4"/>
    <w:rsid w:val="6C4E23DC"/>
    <w:rsid w:val="6C55119C"/>
    <w:rsid w:val="6C561B64"/>
    <w:rsid w:val="6C580FF4"/>
    <w:rsid w:val="6C8233EB"/>
    <w:rsid w:val="6C89348D"/>
    <w:rsid w:val="6C996BCD"/>
    <w:rsid w:val="6CAA08FF"/>
    <w:rsid w:val="6CAA3353"/>
    <w:rsid w:val="6CCC1D7D"/>
    <w:rsid w:val="6CCC64BA"/>
    <w:rsid w:val="6CCD6E9C"/>
    <w:rsid w:val="6CD26AE8"/>
    <w:rsid w:val="6CFA602E"/>
    <w:rsid w:val="6D03704C"/>
    <w:rsid w:val="6D0A4C82"/>
    <w:rsid w:val="6D2B5458"/>
    <w:rsid w:val="6D3E2288"/>
    <w:rsid w:val="6D564CC8"/>
    <w:rsid w:val="6D733D37"/>
    <w:rsid w:val="6D804754"/>
    <w:rsid w:val="6D8B255B"/>
    <w:rsid w:val="6DA63C98"/>
    <w:rsid w:val="6DA92134"/>
    <w:rsid w:val="6DA97CAF"/>
    <w:rsid w:val="6DBE2E05"/>
    <w:rsid w:val="6DCE6D18"/>
    <w:rsid w:val="6DCF7009"/>
    <w:rsid w:val="6DDB422D"/>
    <w:rsid w:val="6DE95C25"/>
    <w:rsid w:val="6E02558E"/>
    <w:rsid w:val="6E09162A"/>
    <w:rsid w:val="6E1274A7"/>
    <w:rsid w:val="6E136C8A"/>
    <w:rsid w:val="6E4A441B"/>
    <w:rsid w:val="6E4C23F3"/>
    <w:rsid w:val="6E64013F"/>
    <w:rsid w:val="6EAA19A2"/>
    <w:rsid w:val="6EB623C1"/>
    <w:rsid w:val="6EBA7108"/>
    <w:rsid w:val="6EBC01D5"/>
    <w:rsid w:val="6EC3572B"/>
    <w:rsid w:val="6ED32814"/>
    <w:rsid w:val="6EEC6F2A"/>
    <w:rsid w:val="6F1025BA"/>
    <w:rsid w:val="6F1E103C"/>
    <w:rsid w:val="6F27734B"/>
    <w:rsid w:val="6F2C1D50"/>
    <w:rsid w:val="6F3368B4"/>
    <w:rsid w:val="6F360023"/>
    <w:rsid w:val="6F3B5ABB"/>
    <w:rsid w:val="6F3F3964"/>
    <w:rsid w:val="6F6B59B0"/>
    <w:rsid w:val="6F7760CD"/>
    <w:rsid w:val="6F7C17CC"/>
    <w:rsid w:val="6F7E7ACD"/>
    <w:rsid w:val="6F8428B9"/>
    <w:rsid w:val="6F8D7575"/>
    <w:rsid w:val="6F945012"/>
    <w:rsid w:val="6F9E9985"/>
    <w:rsid w:val="6FB90C34"/>
    <w:rsid w:val="6FC007B4"/>
    <w:rsid w:val="6FCC0424"/>
    <w:rsid w:val="6FD47AD2"/>
    <w:rsid w:val="6FE66933"/>
    <w:rsid w:val="6FF428F6"/>
    <w:rsid w:val="6FF9732E"/>
    <w:rsid w:val="6FF978A5"/>
    <w:rsid w:val="700E753D"/>
    <w:rsid w:val="70305BDD"/>
    <w:rsid w:val="70556214"/>
    <w:rsid w:val="7057303A"/>
    <w:rsid w:val="7080697E"/>
    <w:rsid w:val="70AF4675"/>
    <w:rsid w:val="70BB57DB"/>
    <w:rsid w:val="70EE30E0"/>
    <w:rsid w:val="70FA6471"/>
    <w:rsid w:val="71127607"/>
    <w:rsid w:val="711B4773"/>
    <w:rsid w:val="712A3FC5"/>
    <w:rsid w:val="713B0938"/>
    <w:rsid w:val="71543AC6"/>
    <w:rsid w:val="71AC5E9F"/>
    <w:rsid w:val="71BC0064"/>
    <w:rsid w:val="71BC4118"/>
    <w:rsid w:val="71CD4B66"/>
    <w:rsid w:val="721C08BF"/>
    <w:rsid w:val="72444A80"/>
    <w:rsid w:val="724E1D74"/>
    <w:rsid w:val="72601E47"/>
    <w:rsid w:val="727D595A"/>
    <w:rsid w:val="72A41A00"/>
    <w:rsid w:val="72AA6CEA"/>
    <w:rsid w:val="72BC2B38"/>
    <w:rsid w:val="72D34757"/>
    <w:rsid w:val="72D52D21"/>
    <w:rsid w:val="72D6363D"/>
    <w:rsid w:val="72DA1773"/>
    <w:rsid w:val="72DD62E4"/>
    <w:rsid w:val="72F3295B"/>
    <w:rsid w:val="7310293E"/>
    <w:rsid w:val="733E6683"/>
    <w:rsid w:val="735A7977"/>
    <w:rsid w:val="736A3B2D"/>
    <w:rsid w:val="738065A7"/>
    <w:rsid w:val="738B3DCA"/>
    <w:rsid w:val="73951461"/>
    <w:rsid w:val="739841C4"/>
    <w:rsid w:val="73B11090"/>
    <w:rsid w:val="73C404BE"/>
    <w:rsid w:val="73C6512C"/>
    <w:rsid w:val="73E7300C"/>
    <w:rsid w:val="73FC3B75"/>
    <w:rsid w:val="742C274C"/>
    <w:rsid w:val="742F40B5"/>
    <w:rsid w:val="744321AD"/>
    <w:rsid w:val="74493937"/>
    <w:rsid w:val="746F012F"/>
    <w:rsid w:val="749D2A4B"/>
    <w:rsid w:val="749F6813"/>
    <w:rsid w:val="74B02D94"/>
    <w:rsid w:val="74B17968"/>
    <w:rsid w:val="74BA3CA2"/>
    <w:rsid w:val="74E87FF3"/>
    <w:rsid w:val="74EE5AFC"/>
    <w:rsid w:val="7507266E"/>
    <w:rsid w:val="7534400C"/>
    <w:rsid w:val="75407A08"/>
    <w:rsid w:val="757B1010"/>
    <w:rsid w:val="759F108F"/>
    <w:rsid w:val="75BE30FA"/>
    <w:rsid w:val="75CF78E7"/>
    <w:rsid w:val="76060C9F"/>
    <w:rsid w:val="76347D47"/>
    <w:rsid w:val="7658778D"/>
    <w:rsid w:val="767E2624"/>
    <w:rsid w:val="767F1206"/>
    <w:rsid w:val="768C37AB"/>
    <w:rsid w:val="76BB5E55"/>
    <w:rsid w:val="76BE4E65"/>
    <w:rsid w:val="76C27DFB"/>
    <w:rsid w:val="76C90950"/>
    <w:rsid w:val="76E2728E"/>
    <w:rsid w:val="76F30336"/>
    <w:rsid w:val="76FA4DAA"/>
    <w:rsid w:val="76FB4B3D"/>
    <w:rsid w:val="77315AC6"/>
    <w:rsid w:val="7761011F"/>
    <w:rsid w:val="77683ABA"/>
    <w:rsid w:val="776F3F47"/>
    <w:rsid w:val="779E23E4"/>
    <w:rsid w:val="77A9419D"/>
    <w:rsid w:val="77C75117"/>
    <w:rsid w:val="77CC5F6D"/>
    <w:rsid w:val="77DC1FD3"/>
    <w:rsid w:val="78030643"/>
    <w:rsid w:val="78096004"/>
    <w:rsid w:val="780C71F3"/>
    <w:rsid w:val="780F0B72"/>
    <w:rsid w:val="78146346"/>
    <w:rsid w:val="78585296"/>
    <w:rsid w:val="785D44C3"/>
    <w:rsid w:val="78755A65"/>
    <w:rsid w:val="78770F4C"/>
    <w:rsid w:val="78796822"/>
    <w:rsid w:val="787F6A6A"/>
    <w:rsid w:val="78802314"/>
    <w:rsid w:val="7888044E"/>
    <w:rsid w:val="78B51AC3"/>
    <w:rsid w:val="79040533"/>
    <w:rsid w:val="79286849"/>
    <w:rsid w:val="794740DC"/>
    <w:rsid w:val="794C664D"/>
    <w:rsid w:val="7968393D"/>
    <w:rsid w:val="79711DAF"/>
    <w:rsid w:val="797F0E9C"/>
    <w:rsid w:val="798455A3"/>
    <w:rsid w:val="7984574E"/>
    <w:rsid w:val="79A75B65"/>
    <w:rsid w:val="79AA3BFA"/>
    <w:rsid w:val="79AF2B3E"/>
    <w:rsid w:val="79B5792D"/>
    <w:rsid w:val="79C41D65"/>
    <w:rsid w:val="79E3257D"/>
    <w:rsid w:val="79E65560"/>
    <w:rsid w:val="79EB733C"/>
    <w:rsid w:val="7A197A0A"/>
    <w:rsid w:val="7A207339"/>
    <w:rsid w:val="7A382541"/>
    <w:rsid w:val="7A3F4F65"/>
    <w:rsid w:val="7A484B66"/>
    <w:rsid w:val="7A503DC0"/>
    <w:rsid w:val="7A636720"/>
    <w:rsid w:val="7A857032"/>
    <w:rsid w:val="7AAE70DB"/>
    <w:rsid w:val="7AB342CF"/>
    <w:rsid w:val="7AB577F7"/>
    <w:rsid w:val="7ADB2472"/>
    <w:rsid w:val="7B047F9F"/>
    <w:rsid w:val="7B0D3D29"/>
    <w:rsid w:val="7B207D02"/>
    <w:rsid w:val="7B430014"/>
    <w:rsid w:val="7B6179CF"/>
    <w:rsid w:val="7B831AE5"/>
    <w:rsid w:val="7B9219D4"/>
    <w:rsid w:val="7B9711A8"/>
    <w:rsid w:val="7BA4205A"/>
    <w:rsid w:val="7BB841A4"/>
    <w:rsid w:val="7BDD1C97"/>
    <w:rsid w:val="7BF20477"/>
    <w:rsid w:val="7BF96522"/>
    <w:rsid w:val="7BFE4EA7"/>
    <w:rsid w:val="7C3D2A4B"/>
    <w:rsid w:val="7CA667CC"/>
    <w:rsid w:val="7CA85A01"/>
    <w:rsid w:val="7CAC3119"/>
    <w:rsid w:val="7CC25D22"/>
    <w:rsid w:val="7CF3190C"/>
    <w:rsid w:val="7D002D97"/>
    <w:rsid w:val="7D167760"/>
    <w:rsid w:val="7D24227B"/>
    <w:rsid w:val="7D4B173B"/>
    <w:rsid w:val="7D514B92"/>
    <w:rsid w:val="7D534BFC"/>
    <w:rsid w:val="7D7276B8"/>
    <w:rsid w:val="7D732323"/>
    <w:rsid w:val="7D7B4DEC"/>
    <w:rsid w:val="7D7B4FCE"/>
    <w:rsid w:val="7D9737E1"/>
    <w:rsid w:val="7DA30B59"/>
    <w:rsid w:val="7DB85A57"/>
    <w:rsid w:val="7DCE2A36"/>
    <w:rsid w:val="7DF306CC"/>
    <w:rsid w:val="7DF751E7"/>
    <w:rsid w:val="7E3050A4"/>
    <w:rsid w:val="7E396C4C"/>
    <w:rsid w:val="7E3D07DD"/>
    <w:rsid w:val="7E55775E"/>
    <w:rsid w:val="7E861077"/>
    <w:rsid w:val="7E8B7265"/>
    <w:rsid w:val="7E9A7C88"/>
    <w:rsid w:val="7EA42EA1"/>
    <w:rsid w:val="7EA92AE7"/>
    <w:rsid w:val="7EC7748A"/>
    <w:rsid w:val="7EDA4B80"/>
    <w:rsid w:val="7EE156D4"/>
    <w:rsid w:val="7EF3251B"/>
    <w:rsid w:val="7EFC0F0D"/>
    <w:rsid w:val="7EFF1737"/>
    <w:rsid w:val="7EFF3926"/>
    <w:rsid w:val="7F0B5594"/>
    <w:rsid w:val="7F2726FD"/>
    <w:rsid w:val="7F5F570D"/>
    <w:rsid w:val="7F6539A3"/>
    <w:rsid w:val="7F66581F"/>
    <w:rsid w:val="7F8D2CD9"/>
    <w:rsid w:val="7F8D5739"/>
    <w:rsid w:val="7F8D7767"/>
    <w:rsid w:val="7FA27EE8"/>
    <w:rsid w:val="7FA31FC6"/>
    <w:rsid w:val="7FB50907"/>
    <w:rsid w:val="7FB92A04"/>
    <w:rsid w:val="7FBC1F33"/>
    <w:rsid w:val="7FBD6922"/>
    <w:rsid w:val="7FBE55F5"/>
    <w:rsid w:val="7FBF13DF"/>
    <w:rsid w:val="7FBF71B5"/>
    <w:rsid w:val="7FE32E21"/>
    <w:rsid w:val="7FE6454A"/>
    <w:rsid w:val="7FFFC70C"/>
    <w:rsid w:val="BFFF75CC"/>
    <w:rsid w:val="D99F80FE"/>
    <w:rsid w:val="DBD76D48"/>
    <w:rsid w:val="DC7A3D08"/>
    <w:rsid w:val="DF7F6FB1"/>
    <w:rsid w:val="F2EF186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99"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12" w:lineRule="auto"/>
      <w:ind w:firstLine="200" w:firstLineChars="200"/>
      <w:jc w:val="both"/>
    </w:pPr>
    <w:rPr>
      <w:rFonts w:ascii="Times New Roman" w:hAnsi="Times New Roman" w:eastAsia="宋体" w:cs="Times New Roman"/>
      <w:kern w:val="2"/>
      <w:sz w:val="24"/>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rFonts w:eastAsia="黑体"/>
      <w:kern w:val="44"/>
      <w:sz w:val="32"/>
    </w:rPr>
  </w:style>
  <w:style w:type="paragraph" w:styleId="4">
    <w:name w:val="heading 2"/>
    <w:basedOn w:val="1"/>
    <w:next w:val="1"/>
    <w:link w:val="28"/>
    <w:qFormat/>
    <w:uiPriority w:val="0"/>
    <w:pPr>
      <w:keepNext/>
      <w:keepLines/>
      <w:ind w:firstLine="0" w:firstLineChars="0"/>
      <w:jc w:val="center"/>
      <w:outlineLvl w:val="1"/>
    </w:pPr>
    <w:rPr>
      <w:rFonts w:ascii="Calibri Light" w:hAnsi="Calibri Light"/>
      <w:b/>
      <w:bCs/>
      <w:kern w:val="0"/>
      <w:sz w:val="36"/>
      <w:szCs w:val="32"/>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index 9"/>
    <w:basedOn w:val="1"/>
    <w:next w:val="1"/>
    <w:qFormat/>
    <w:uiPriority w:val="99"/>
    <w:pPr>
      <w:ind w:left="1600" w:leftChars="1600"/>
    </w:pPr>
  </w:style>
  <w:style w:type="paragraph" w:styleId="5">
    <w:name w:val="Normal Indent"/>
    <w:basedOn w:val="1"/>
    <w:qFormat/>
    <w:uiPriority w:val="0"/>
    <w:pPr>
      <w:spacing w:line="240" w:lineRule="auto"/>
      <w:ind w:firstLine="420" w:firstLineChars="0"/>
    </w:pPr>
    <w:rPr>
      <w:sz w:val="21"/>
      <w:szCs w:val="21"/>
    </w:rPr>
  </w:style>
  <w:style w:type="paragraph" w:styleId="6">
    <w:name w:val="annotation text"/>
    <w:basedOn w:val="1"/>
    <w:link w:val="29"/>
    <w:qFormat/>
    <w:uiPriority w:val="0"/>
    <w:pPr>
      <w:jc w:val="left"/>
    </w:pPr>
  </w:style>
  <w:style w:type="paragraph" w:styleId="7">
    <w:name w:val="Body Text"/>
    <w:basedOn w:val="1"/>
    <w:qFormat/>
    <w:uiPriority w:val="0"/>
    <w:rPr>
      <w:rFonts w:eastAsia="黑体"/>
      <w:sz w:val="36"/>
      <w:szCs w:val="24"/>
    </w:rPr>
  </w:style>
  <w:style w:type="paragraph" w:styleId="8">
    <w:name w:val="Plain Text"/>
    <w:basedOn w:val="1"/>
    <w:link w:val="30"/>
    <w:qFormat/>
    <w:uiPriority w:val="0"/>
    <w:pPr>
      <w:spacing w:line="240" w:lineRule="auto"/>
      <w:ind w:firstLine="0" w:firstLineChars="0"/>
    </w:pPr>
    <w:rPr>
      <w:rFonts w:ascii="宋体" w:hAnsi="Courier New" w:cs="Courier New"/>
      <w:sz w:val="21"/>
      <w:szCs w:val="21"/>
    </w:rPr>
  </w:style>
  <w:style w:type="paragraph" w:styleId="9">
    <w:name w:val="Date"/>
    <w:basedOn w:val="1"/>
    <w:next w:val="1"/>
    <w:link w:val="31"/>
    <w:qFormat/>
    <w:uiPriority w:val="0"/>
    <w:pPr>
      <w:ind w:left="100" w:leftChars="2500"/>
    </w:pPr>
  </w:style>
  <w:style w:type="paragraph" w:styleId="10">
    <w:name w:val="Body Text Indent 2"/>
    <w:basedOn w:val="1"/>
    <w:qFormat/>
    <w:uiPriority w:val="0"/>
    <w:pPr>
      <w:spacing w:after="120" w:line="480" w:lineRule="auto"/>
      <w:ind w:left="420" w:leftChars="200" w:firstLine="0" w:firstLineChars="0"/>
    </w:pPr>
    <w:rPr>
      <w:sz w:val="21"/>
      <w:szCs w:val="21"/>
    </w:rPr>
  </w:style>
  <w:style w:type="paragraph" w:styleId="11">
    <w:name w:val="Balloon Text"/>
    <w:basedOn w:val="1"/>
    <w:semiHidden/>
    <w:qFormat/>
    <w:uiPriority w:val="0"/>
    <w:rPr>
      <w:sz w:val="18"/>
      <w:szCs w:val="18"/>
    </w:rPr>
  </w:style>
  <w:style w:type="paragraph" w:styleId="12">
    <w:name w:val="footer"/>
    <w:basedOn w:val="1"/>
    <w:link w:val="32"/>
    <w:qFormat/>
    <w:uiPriority w:val="99"/>
    <w:pPr>
      <w:tabs>
        <w:tab w:val="center" w:pos="4153"/>
        <w:tab w:val="right" w:pos="8306"/>
      </w:tabs>
      <w:ind w:firstLine="0" w:firstLineChars="0"/>
      <w:jc w:val="left"/>
    </w:pPr>
    <w:rPr>
      <w:rFonts w:cs="Times New Roman"/>
      <w:sz w:val="18"/>
      <w:szCs w:val="18"/>
    </w:rPr>
  </w:style>
  <w:style w:type="paragraph" w:styleId="13">
    <w:name w:val="header"/>
    <w:basedOn w:val="1"/>
    <w:qFormat/>
    <w:uiPriority w:val="0"/>
    <w:pPr>
      <w:pBdr>
        <w:bottom w:val="single" w:color="auto" w:sz="6" w:space="1"/>
      </w:pBdr>
      <w:tabs>
        <w:tab w:val="center" w:pos="4153"/>
        <w:tab w:val="right" w:pos="8306"/>
      </w:tabs>
      <w:ind w:firstLine="0" w:firstLineChars="0"/>
      <w:jc w:val="center"/>
    </w:pPr>
    <w:rPr>
      <w:rFonts w:cs="Times New Roman"/>
      <w:sz w:val="18"/>
      <w:szCs w:val="18"/>
    </w:rPr>
  </w:style>
  <w:style w:type="paragraph" w:styleId="14">
    <w:name w:val="toc 1"/>
    <w:basedOn w:val="1"/>
    <w:next w:val="1"/>
    <w:qFormat/>
    <w:uiPriority w:val="0"/>
  </w:style>
  <w:style w:type="paragraph" w:styleId="15">
    <w:name w:val="footnote text"/>
    <w:basedOn w:val="1"/>
    <w:qFormat/>
    <w:uiPriority w:val="0"/>
    <w:pPr>
      <w:snapToGrid w:val="0"/>
      <w:jc w:val="left"/>
    </w:pPr>
    <w:rPr>
      <w:sz w:val="18"/>
    </w:rPr>
  </w:style>
  <w:style w:type="paragraph" w:styleId="16">
    <w:name w:val="toc 2"/>
    <w:basedOn w:val="1"/>
    <w:next w:val="1"/>
    <w:qFormat/>
    <w:uiPriority w:val="0"/>
    <w:pPr>
      <w:ind w:left="420" w:leftChars="200"/>
    </w:pPr>
  </w:style>
  <w:style w:type="paragraph" w:styleId="17">
    <w:name w:val="Normal (Web)"/>
    <w:basedOn w:val="1"/>
    <w:qFormat/>
    <w:uiPriority w:val="0"/>
    <w:pPr>
      <w:widowControl/>
      <w:spacing w:before="100" w:beforeAutospacing="1" w:after="100" w:afterAutospacing="1"/>
      <w:jc w:val="left"/>
    </w:pPr>
    <w:rPr>
      <w:rFonts w:ascii="宋体" w:hAnsi="宋体" w:cs="宋体"/>
      <w:kern w:val="0"/>
    </w:rPr>
  </w:style>
  <w:style w:type="paragraph" w:styleId="18">
    <w:name w:val="annotation subject"/>
    <w:basedOn w:val="6"/>
    <w:next w:val="6"/>
    <w:link w:val="33"/>
    <w:qFormat/>
    <w:uiPriority w:val="0"/>
    <w:rPr>
      <w:b/>
      <w:bCs/>
    </w:rPr>
  </w:style>
  <w:style w:type="table" w:styleId="20">
    <w:name w:val="Table Grid"/>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qFormat/>
    <w:uiPriority w:val="22"/>
    <w:rPr>
      <w:b/>
    </w:rPr>
  </w:style>
  <w:style w:type="character" w:styleId="23">
    <w:name w:val="page number"/>
    <w:basedOn w:val="21"/>
    <w:qFormat/>
    <w:uiPriority w:val="0"/>
  </w:style>
  <w:style w:type="character" w:styleId="24">
    <w:name w:val="FollowedHyperlink"/>
    <w:unhideWhenUsed/>
    <w:qFormat/>
    <w:uiPriority w:val="99"/>
    <w:rPr>
      <w:color w:val="954F72"/>
      <w:u w:val="single"/>
    </w:rPr>
  </w:style>
  <w:style w:type="character" w:styleId="25">
    <w:name w:val="Hyperlink"/>
    <w:qFormat/>
    <w:uiPriority w:val="99"/>
    <w:rPr>
      <w:color w:val="0000FF"/>
      <w:u w:val="single"/>
    </w:rPr>
  </w:style>
  <w:style w:type="character" w:styleId="26">
    <w:name w:val="annotation reference"/>
    <w:qFormat/>
    <w:uiPriority w:val="0"/>
    <w:rPr>
      <w:sz w:val="21"/>
      <w:szCs w:val="21"/>
    </w:rPr>
  </w:style>
  <w:style w:type="character" w:styleId="27">
    <w:name w:val="footnote reference"/>
    <w:qFormat/>
    <w:uiPriority w:val="0"/>
    <w:rPr>
      <w:vertAlign w:val="superscript"/>
    </w:rPr>
  </w:style>
  <w:style w:type="character" w:customStyle="1" w:styleId="28">
    <w:name w:val="标题 2 字符"/>
    <w:link w:val="4"/>
    <w:qFormat/>
    <w:uiPriority w:val="0"/>
    <w:rPr>
      <w:rFonts w:ascii="Calibri Light" w:hAnsi="Calibri Light" w:cs="Times New Roman"/>
      <w:b/>
      <w:bCs/>
      <w:sz w:val="36"/>
      <w:szCs w:val="32"/>
    </w:rPr>
  </w:style>
  <w:style w:type="character" w:customStyle="1" w:styleId="29">
    <w:name w:val="批注文字 字符"/>
    <w:link w:val="6"/>
    <w:qFormat/>
    <w:uiPriority w:val="0"/>
    <w:rPr>
      <w:rFonts w:ascii="Times New Roman" w:hAnsi="Times New Roman"/>
      <w:kern w:val="2"/>
      <w:sz w:val="24"/>
      <w:szCs w:val="22"/>
    </w:rPr>
  </w:style>
  <w:style w:type="character" w:customStyle="1" w:styleId="30">
    <w:name w:val="纯文本 字符1"/>
    <w:link w:val="8"/>
    <w:qFormat/>
    <w:uiPriority w:val="0"/>
    <w:rPr>
      <w:rFonts w:ascii="宋体" w:hAnsi="Courier New" w:cs="Courier New"/>
      <w:kern w:val="2"/>
      <w:sz w:val="21"/>
      <w:szCs w:val="21"/>
    </w:rPr>
  </w:style>
  <w:style w:type="character" w:customStyle="1" w:styleId="31">
    <w:name w:val="日期 字符"/>
    <w:link w:val="9"/>
    <w:qFormat/>
    <w:uiPriority w:val="0"/>
    <w:rPr>
      <w:kern w:val="2"/>
      <w:sz w:val="24"/>
      <w:szCs w:val="22"/>
    </w:rPr>
  </w:style>
  <w:style w:type="character" w:customStyle="1" w:styleId="32">
    <w:name w:val="页脚 字符"/>
    <w:link w:val="12"/>
    <w:qFormat/>
    <w:uiPriority w:val="99"/>
    <w:rPr>
      <w:kern w:val="2"/>
      <w:sz w:val="18"/>
      <w:szCs w:val="18"/>
    </w:rPr>
  </w:style>
  <w:style w:type="character" w:customStyle="1" w:styleId="33">
    <w:name w:val="批注主题 字符"/>
    <w:basedOn w:val="29"/>
    <w:link w:val="18"/>
    <w:qFormat/>
    <w:uiPriority w:val="0"/>
  </w:style>
  <w:style w:type="character" w:customStyle="1" w:styleId="34">
    <w:name w:val="纯文本 字符"/>
    <w:qFormat/>
    <w:uiPriority w:val="0"/>
    <w:rPr>
      <w:rFonts w:ascii="宋体" w:hAnsi="Courier New" w:cs="Courier New"/>
      <w:kern w:val="2"/>
      <w:sz w:val="21"/>
      <w:szCs w:val="21"/>
    </w:rPr>
  </w:style>
  <w:style w:type="paragraph" w:customStyle="1" w:styleId="35">
    <w:name w:val="xl69"/>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kern w:val="0"/>
      <w:sz w:val="18"/>
      <w:szCs w:val="18"/>
    </w:rPr>
  </w:style>
  <w:style w:type="paragraph" w:customStyle="1" w:styleId="3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宋体" w:hAnsi="宋体" w:cs="宋体"/>
      <w:kern w:val="0"/>
      <w:sz w:val="18"/>
      <w:szCs w:val="18"/>
    </w:rPr>
  </w:style>
  <w:style w:type="paragraph" w:customStyle="1" w:styleId="37">
    <w:name w:val="font5"/>
    <w:basedOn w:val="1"/>
    <w:qFormat/>
    <w:uiPriority w:val="0"/>
    <w:pPr>
      <w:widowControl/>
      <w:spacing w:before="100" w:beforeAutospacing="1" w:after="100" w:afterAutospacing="1" w:line="240" w:lineRule="auto"/>
      <w:ind w:firstLine="0" w:firstLineChars="0"/>
      <w:jc w:val="left"/>
    </w:pPr>
    <w:rPr>
      <w:rFonts w:ascii="宋体" w:hAnsi="宋体" w:cs="宋体"/>
      <w:kern w:val="0"/>
      <w:sz w:val="18"/>
      <w:szCs w:val="18"/>
    </w:rPr>
  </w:style>
  <w:style w:type="paragraph" w:customStyle="1" w:styleId="38">
    <w:name w:val="xl74"/>
    <w:basedOn w:val="1"/>
    <w:qFormat/>
    <w:uiPriority w:val="0"/>
    <w:pPr>
      <w:widowControl/>
      <w:spacing w:before="100" w:beforeAutospacing="1" w:after="100" w:afterAutospacing="1" w:line="240" w:lineRule="auto"/>
      <w:ind w:firstLine="0" w:firstLineChars="0"/>
      <w:jc w:val="left"/>
    </w:pPr>
    <w:rPr>
      <w:rFonts w:ascii="宋体" w:hAnsi="宋体" w:cs="宋体"/>
      <w:kern w:val="0"/>
      <w:sz w:val="20"/>
      <w:szCs w:val="20"/>
    </w:rPr>
  </w:style>
  <w:style w:type="paragraph" w:customStyle="1" w:styleId="39">
    <w:name w:val="无缩进"/>
    <w:basedOn w:val="1"/>
    <w:qFormat/>
    <w:uiPriority w:val="0"/>
    <w:pPr>
      <w:ind w:firstLine="0" w:firstLineChars="0"/>
    </w:pPr>
  </w:style>
  <w:style w:type="paragraph" w:customStyle="1" w:styleId="40">
    <w:name w:val="列出段落2"/>
    <w:basedOn w:val="1"/>
    <w:qFormat/>
    <w:uiPriority w:val="0"/>
    <w:pPr>
      <w:ind w:firstLine="420" w:firstLineChars="200"/>
    </w:pPr>
    <w:rPr>
      <w:szCs w:val="22"/>
    </w:rPr>
  </w:style>
  <w:style w:type="paragraph" w:styleId="41">
    <w:name w:val="List Paragraph"/>
    <w:basedOn w:val="1"/>
    <w:qFormat/>
    <w:uiPriority w:val="99"/>
    <w:pPr>
      <w:ind w:firstLine="420"/>
    </w:pPr>
  </w:style>
  <w:style w:type="paragraph" w:customStyle="1" w:styleId="4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宋体" w:hAnsi="宋体" w:cs="宋体"/>
      <w:kern w:val="0"/>
      <w:sz w:val="18"/>
      <w:szCs w:val="18"/>
    </w:rPr>
  </w:style>
  <w:style w:type="paragraph" w:customStyle="1" w:styleId="43">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kern w:val="0"/>
      <w:sz w:val="18"/>
      <w:szCs w:val="18"/>
    </w:rPr>
  </w:style>
  <w:style w:type="paragraph" w:customStyle="1" w:styleId="44">
    <w:name w:val="表格"/>
    <w:basedOn w:val="1"/>
    <w:qFormat/>
    <w:uiPriority w:val="0"/>
    <w:pPr>
      <w:spacing w:line="240" w:lineRule="auto"/>
      <w:ind w:firstLine="0" w:firstLineChars="0"/>
      <w:jc w:val="center"/>
    </w:pPr>
    <w:rPr>
      <w:rFonts w:ascii="Verdana" w:hAnsi="Verdana" w:eastAsia="仿宋_GB2312" w:cs="Verdana"/>
      <w:kern w:val="0"/>
      <w:sz w:val="21"/>
      <w:szCs w:val="21"/>
      <w:lang w:eastAsia="en-US"/>
    </w:rPr>
  </w:style>
  <w:style w:type="paragraph" w:customStyle="1" w:styleId="45">
    <w:name w:val="xl71"/>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kern w:val="0"/>
      <w:sz w:val="18"/>
      <w:szCs w:val="18"/>
    </w:rPr>
  </w:style>
  <w:style w:type="paragraph" w:customStyle="1" w:styleId="46">
    <w:name w:val="xl76"/>
    <w:basedOn w:val="1"/>
    <w:qFormat/>
    <w:uiPriority w:val="0"/>
    <w:pPr>
      <w:widowControl/>
      <w:spacing w:before="100" w:beforeAutospacing="1" w:after="100" w:afterAutospacing="1" w:line="240" w:lineRule="auto"/>
      <w:ind w:firstLine="0" w:firstLineChars="0"/>
      <w:jc w:val="left"/>
    </w:pPr>
    <w:rPr>
      <w:rFonts w:ascii="宋体" w:hAnsi="宋体" w:cs="宋体"/>
      <w:kern w:val="0"/>
      <w:sz w:val="18"/>
      <w:szCs w:val="18"/>
    </w:rPr>
  </w:style>
  <w:style w:type="paragraph" w:customStyle="1" w:styleId="47">
    <w:name w:val="WPSOffice手动目录 1"/>
    <w:qFormat/>
    <w:uiPriority w:val="0"/>
    <w:rPr>
      <w:rFonts w:ascii="Times New Roman" w:hAnsi="Times New Roman" w:eastAsia="宋体" w:cs="Times New Roman"/>
      <w:lang w:val="en-US" w:eastAsia="zh-CN" w:bidi="ar-SA"/>
    </w:rPr>
  </w:style>
  <w:style w:type="paragraph" w:customStyle="1" w:styleId="48">
    <w:name w:val="xl72"/>
    <w:basedOn w:val="1"/>
    <w:qFormat/>
    <w:uiPriority w:val="0"/>
    <w:pPr>
      <w:widowControl/>
      <w:spacing w:before="100" w:beforeAutospacing="1" w:after="100" w:afterAutospacing="1" w:line="240" w:lineRule="auto"/>
      <w:ind w:firstLine="0" w:firstLineChars="0"/>
      <w:jc w:val="left"/>
    </w:pPr>
    <w:rPr>
      <w:rFonts w:ascii="宋体" w:hAnsi="宋体" w:cs="宋体"/>
      <w:kern w:val="0"/>
      <w:szCs w:val="24"/>
    </w:rPr>
  </w:style>
  <w:style w:type="paragraph" w:customStyle="1" w:styleId="49">
    <w:name w:val="WPSOffice手动目录 2"/>
    <w:qFormat/>
    <w:uiPriority w:val="0"/>
    <w:pPr>
      <w:ind w:leftChars="200"/>
    </w:pPr>
    <w:rPr>
      <w:rFonts w:ascii="Times New Roman" w:hAnsi="Times New Roman" w:eastAsia="宋体" w:cs="Times New Roman"/>
      <w:lang w:val="en-US" w:eastAsia="zh-CN" w:bidi="ar-SA"/>
    </w:rPr>
  </w:style>
  <w:style w:type="paragraph" w:customStyle="1" w:styleId="50">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b/>
      <w:bCs/>
      <w:kern w:val="0"/>
      <w:sz w:val="20"/>
      <w:szCs w:val="20"/>
    </w:rPr>
  </w:style>
  <w:style w:type="paragraph" w:customStyle="1" w:styleId="51">
    <w:name w:val="xl70"/>
    <w:basedOn w:val="1"/>
    <w:qFormat/>
    <w:uiPriority w:val="0"/>
    <w:pPr>
      <w:widowControl/>
      <w:pBdr>
        <w:left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kern w:val="0"/>
      <w:sz w:val="18"/>
      <w:szCs w:val="18"/>
    </w:rPr>
  </w:style>
  <w:style w:type="paragraph" w:customStyle="1" w:styleId="52">
    <w:name w:val="msonormal"/>
    <w:basedOn w:val="1"/>
    <w:qFormat/>
    <w:uiPriority w:val="0"/>
    <w:pPr>
      <w:widowControl/>
      <w:spacing w:before="100" w:beforeAutospacing="1" w:after="100" w:afterAutospacing="1" w:line="240" w:lineRule="auto"/>
      <w:ind w:firstLine="0" w:firstLineChars="0"/>
      <w:jc w:val="left"/>
    </w:pPr>
    <w:rPr>
      <w:rFonts w:ascii="宋体" w:hAnsi="宋体" w:cs="宋体"/>
      <w:kern w:val="0"/>
      <w:szCs w:val="24"/>
    </w:rPr>
  </w:style>
  <w:style w:type="paragraph" w:customStyle="1" w:styleId="53">
    <w:name w:val="List Paragraph1"/>
    <w:basedOn w:val="1"/>
    <w:qFormat/>
    <w:uiPriority w:val="34"/>
    <w:pPr>
      <w:ind w:firstLine="420" w:firstLineChars="200"/>
    </w:pPr>
  </w:style>
  <w:style w:type="paragraph" w:customStyle="1" w:styleId="54">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宋体" w:hAnsi="宋体" w:cs="宋体"/>
      <w:kern w:val="0"/>
      <w:sz w:val="18"/>
      <w:szCs w:val="18"/>
    </w:rPr>
  </w:style>
  <w:style w:type="paragraph" w:customStyle="1" w:styleId="55">
    <w:name w:val="_Style 18"/>
    <w:basedOn w:val="1"/>
    <w:next w:val="41"/>
    <w:qFormat/>
    <w:uiPriority w:val="99"/>
    <w:pPr>
      <w:spacing w:line="240" w:lineRule="auto"/>
      <w:ind w:firstLine="420" w:firstLineChars="0"/>
    </w:pPr>
    <w:rPr>
      <w:sz w:val="21"/>
      <w:szCs w:val="24"/>
    </w:rPr>
  </w:style>
  <w:style w:type="character" w:customStyle="1" w:styleId="56">
    <w:name w:val="15"/>
    <w:basedOn w:val="21"/>
    <w:qFormat/>
    <w:uiPriority w:val="0"/>
    <w:rPr>
      <w:rFonts w:hint="default" w:ascii="Calibri" w:hAnsi="Calibri" w:cs="Calibri"/>
      <w:vertAlign w:val="superscript"/>
    </w:rPr>
  </w:style>
  <w:style w:type="character" w:customStyle="1" w:styleId="57">
    <w:name w:val="font61"/>
    <w:basedOn w:val="21"/>
    <w:qFormat/>
    <w:uiPriority w:val="0"/>
    <w:rPr>
      <w:rFonts w:hint="default" w:ascii="Calibri" w:hAnsi="Calibri" w:cs="Calibri"/>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32</Pages>
  <Words>12636</Words>
  <Characters>13765</Characters>
  <Lines>1</Lines>
  <Paragraphs>1</Paragraphs>
  <TotalTime>5</TotalTime>
  <ScaleCrop>false</ScaleCrop>
  <LinksUpToDate>false</LinksUpToDate>
  <CharactersWithSpaces>13844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2021-05-08T04:32:00Z</dcterms:created>
  <dc:creator>Administrator</dc:creator>
  <cp:lastModifiedBy>戴元浩</cp:lastModifiedBy>
  <cp:lastPrinted>2022-05-28T09:03:00Z</cp:lastPrinted>
  <dcterms:modified xsi:type="dcterms:W3CDTF">2022-05-31T07:55:22Z</dcterms:modified>
  <dc:title>北京市市级财政支出项目</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0F38A956882241B08EA9775967EBF138</vt:lpwstr>
  </property>
</Properties>
</file>