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28"/>
          <w:szCs w:val="28"/>
          <w:highlight w:val="none"/>
          <w:lang w:eastAsia="zh-CN"/>
        </w:rPr>
      </w:pPr>
      <w:r>
        <w:rPr>
          <w:rFonts w:hint="eastAsia" w:ascii="黑体" w:eastAsia="黑体" w:cs="Times New Roman"/>
          <w:sz w:val="28"/>
          <w:szCs w:val="28"/>
          <w:highlight w:val="none"/>
          <w:lang w:eastAsia="zh-CN"/>
        </w:rPr>
        <w:t>北京市人民检察院第四分院</w:t>
      </w:r>
      <w:r>
        <w:rPr>
          <w:rFonts w:hint="eastAsia" w:ascii="黑体" w:eastAsia="黑体" w:cs="Times New Roman"/>
          <w:sz w:val="28"/>
          <w:szCs w:val="28"/>
          <w:highlight w:val="none"/>
          <w:lang w:val="en-US" w:eastAsia="zh-CN"/>
        </w:rPr>
        <w:t>2021年</w:t>
      </w:r>
      <w:bookmarkStart w:id="0" w:name="_GoBack"/>
      <w:bookmarkEnd w:id="0"/>
      <w:r>
        <w:rPr>
          <w:rFonts w:hint="eastAsia" w:ascii="黑体" w:hAnsi="Times New Roman" w:eastAsia="黑体" w:cs="Times New Roman"/>
          <w:sz w:val="28"/>
          <w:szCs w:val="28"/>
          <w:highlight w:val="none"/>
          <w:lang w:eastAsia="zh-CN"/>
        </w:rPr>
        <w:t>整体绩效评价报告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color w:val="000000"/>
          <w:kern w:val="0"/>
          <w:sz w:val="28"/>
          <w:szCs w:val="28"/>
          <w:highlight w:val="none"/>
          <w:lang w:eastAsia="zh-CN"/>
        </w:rPr>
        <w:t>一）</w:t>
      </w:r>
      <w:r>
        <w:rPr>
          <w:rFonts w:hint="eastAsia" w:ascii="仿宋_GB2312" w:hAnsi="仿宋_GB2312" w:eastAsia="仿宋_GB2312" w:cs="仿宋_GB2312"/>
          <w:color w:val="000000"/>
          <w:kern w:val="0"/>
          <w:sz w:val="28"/>
          <w:szCs w:val="28"/>
          <w:highlight w:val="none"/>
        </w:rPr>
        <w:t>部门概况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机构设置及职责工作任务情况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机构设置：根据《中共北京市委政法委员会中共北京市委机构编制委员会办公室北京市人民检察院关于印发《北京市检察机关内设机构改革方案》的通知》(京政法发&lt;2019&gt;8号)，北京市人民检察院第四分院设置8个内设机构，分别为综合办公室、第一检察部、第二检察部、第三检察部、第四检察部、第五检察部、检务督察部、机关党委(党建工作处)。</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机构职责：北京市人民检察院第四分院本部门职责：跨地区行政诉讼、重大民商事监督案件、走私犯罪案件、重大职务犯罪案件、重大环境资源保护和重大食品药品安全刑事案件、公共交通、机场等领域发生的重大刑事案件，以及原铁检分院管辖的案件，打击和防范在铁路上发生的各种犯罪活动，维护铁路运输秩序、生产秩序和工作秩序，保护铁路财产和运输物资不受侵害，保护旅客和铁路职工的人身权利、民主权利和其他合法权利不受侵害。同时，下辖管理北京、天津、石家庄三个铁路运输检察院。</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单位性质：北京市人民检察院第四分院部门单位性质为法律监督机关。</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人员构成情况：北京市人民检察院第四分院部门行政编制87人，实际8</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人，事业编制0人，实际0人；聘用人员(检察院聘任书记员、聘用制司法警察、其他聘用人员--临时工)29人。离退休人员</w:t>
      </w:r>
      <w:r>
        <w:rPr>
          <w:rFonts w:hint="eastAsia" w:ascii="仿宋_GB2312" w:hAnsi="仿宋_GB2312" w:eastAsia="仿宋_GB2312" w:cs="仿宋_GB2312"/>
          <w:sz w:val="28"/>
          <w:szCs w:val="28"/>
          <w:highlight w:val="none"/>
          <w:lang w:val="en-US" w:eastAsia="zh-CN"/>
        </w:rPr>
        <w:t>31</w:t>
      </w:r>
      <w:r>
        <w:rPr>
          <w:rFonts w:hint="eastAsia" w:ascii="仿宋_GB2312" w:hAnsi="仿宋_GB2312" w:eastAsia="仿宋_GB2312" w:cs="仿宋_GB2312"/>
          <w:sz w:val="28"/>
          <w:szCs w:val="28"/>
          <w:highlight w:val="none"/>
        </w:rPr>
        <w:t>人，其中：离休0人，退休</w:t>
      </w:r>
      <w:r>
        <w:rPr>
          <w:rFonts w:hint="eastAsia" w:ascii="仿宋_GB2312" w:hAnsi="仿宋_GB2312" w:eastAsia="仿宋_GB2312" w:cs="仿宋_GB2312"/>
          <w:sz w:val="28"/>
          <w:szCs w:val="28"/>
          <w:highlight w:val="none"/>
          <w:lang w:val="en-US" w:eastAsia="zh-CN"/>
        </w:rPr>
        <w:t>31</w:t>
      </w:r>
      <w:r>
        <w:rPr>
          <w:rFonts w:hint="eastAsia" w:ascii="仿宋_GB2312" w:hAnsi="仿宋_GB2312" w:eastAsia="仿宋_GB2312" w:cs="仿宋_GB2312"/>
          <w:sz w:val="28"/>
          <w:szCs w:val="28"/>
          <w:highlight w:val="none"/>
        </w:rPr>
        <w:t>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部门整体绩效目标设立情况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绩效目标设立依据：我院预算资金主要用于检察监督职能所必需的各项支出，以保障我院检察工作的正常开展，保障首都检察事业的有序发展。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目标与职责任务匹配情况：数量指标：保障我院检察工作有序开展。质量指标：保障我院办公办案所需场所，保障办公办案安全，保障信息化系统安全、便捷、高效。进度指标：按照年初执行进度计划。效益指标：保障我院检察中心工作，扩大检察工作影响力。服务对象满意度指标：全院检察人员满意度高于90%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目标合理性：根据上述绩效目标设立依据和目标与职责任务匹配情况分析，我们认为设立的目标是合理的。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（二）</w:t>
      </w:r>
      <w:r>
        <w:rPr>
          <w:rFonts w:hint="eastAsia" w:ascii="仿宋_GB2312" w:hAnsi="仿宋_GB2312" w:eastAsia="仿宋_GB2312" w:cs="仿宋_GB2312"/>
          <w:color w:val="000000"/>
          <w:kern w:val="0"/>
          <w:sz w:val="28"/>
          <w:szCs w:val="28"/>
          <w:highlight w:val="none"/>
        </w:rPr>
        <w:t>当年预算执行情况</w:t>
      </w:r>
    </w:p>
    <w:p>
      <w:pPr>
        <w:spacing w:line="600" w:lineRule="exact"/>
        <w:ind w:firstLine="560" w:firstLineChars="200"/>
        <w:rPr>
          <w:rFonts w:ascii="仿宋_GB2312" w:hAnsi="宋体" w:eastAsia="仿宋_GB2312" w:cs="宋体"/>
          <w:color w:val="000000"/>
          <w:kern w:val="0"/>
          <w:sz w:val="32"/>
          <w:szCs w:val="32"/>
          <w:highlight w:val="none"/>
        </w:rPr>
      </w:pPr>
      <w:r>
        <w:rPr>
          <w:rFonts w:hint="eastAsia" w:ascii="仿宋_GB2312" w:hAnsi="仿宋_GB2312" w:eastAsia="仿宋_GB2312" w:cs="仿宋_GB2312"/>
          <w:sz w:val="28"/>
          <w:szCs w:val="28"/>
          <w:highlight w:val="none"/>
        </w:rPr>
        <w:t>2021年全年预算数5,066.14万元，其中，基本支出预算数4,612.49万元，项目支出预算数453.65万元，其他支出预算数0.00万元。资金总体支出4,997.86万元，其中，基本支出4,544.21万元，项目支出453.65万元，其他支出0.00万元。预算执行率为98.65%。</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（三）</w:t>
      </w:r>
      <w:r>
        <w:rPr>
          <w:rFonts w:hint="eastAsia" w:ascii="仿宋_GB2312" w:hAnsi="仿宋_GB2312" w:eastAsia="仿宋_GB2312" w:cs="仿宋_GB2312"/>
          <w:color w:val="000000"/>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产出完成情况分析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产出数量</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rPr>
        <w:t>保障我院检察工作有序开展。</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2</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产出质量</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highlight w:val="none"/>
          <w:lang w:eastAsia="zh-CN"/>
        </w:rPr>
      </w:pPr>
      <w:r>
        <w:rPr>
          <w:rFonts w:hint="eastAsia" w:ascii="仿宋_GB2312" w:hAnsi="仿宋_GB2312" w:eastAsia="仿宋_GB2312" w:cs="仿宋_GB2312"/>
          <w:color w:val="000000"/>
          <w:kern w:val="0"/>
          <w:sz w:val="28"/>
          <w:szCs w:val="28"/>
          <w:highlight w:val="none"/>
        </w:rPr>
        <w:t>保障我院办公办案所需场所，保障办公办案安全，保障信息化系统安全、便捷、高效。</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产出进度</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highlight w:val="none"/>
        </w:rPr>
      </w:pPr>
      <w:r>
        <w:rPr>
          <w:rFonts w:hint="eastAsia" w:ascii="仿宋_GB2312" w:hAnsi="仿宋_GB2312" w:eastAsia="仿宋_GB2312" w:cs="仿宋_GB2312"/>
          <w:color w:val="000000"/>
          <w:kern w:val="0"/>
          <w:sz w:val="28"/>
          <w:szCs w:val="28"/>
          <w:highlight w:val="none"/>
        </w:rPr>
        <w:t>按照年初执行进度计划。</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 xml:space="preserve">产出成本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 xml:space="preserve">上年资金总体决算数4,890.91万元，本年资金总体决算数4,997.86万元，本年资金总体决算数大于上年。                                  </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效果实现情况分析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经济效益</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rPr>
        <w:t>依法独立行使检察权。</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社会效益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_GB2312" w:hAnsi="仿宋_GB2312" w:eastAsia="仿宋_GB2312" w:cs="仿宋_GB2312"/>
          <w:color w:val="000000"/>
          <w:kern w:val="0"/>
          <w:sz w:val="28"/>
          <w:szCs w:val="28"/>
          <w:highlight w:val="none"/>
        </w:rPr>
      </w:pPr>
      <w:r>
        <w:rPr>
          <w:rFonts w:hint="eastAsia"/>
          <w:highlight w:val="non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SA"/>
        </w:rPr>
        <w:t xml:space="preserve">   维护社会治安，扩大检察工作影响力。</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服务对象满意度</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全院检察人员满意度高于90%。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（四）</w:t>
      </w:r>
      <w:r>
        <w:rPr>
          <w:rFonts w:hint="eastAsia" w:ascii="仿宋_GB2312" w:hAnsi="仿宋_GB2312" w:eastAsia="仿宋_GB2312" w:cs="仿宋_GB2312"/>
          <w:color w:val="000000"/>
          <w:kern w:val="0"/>
          <w:sz w:val="28"/>
          <w:szCs w:val="28"/>
          <w:highlight w:val="none"/>
        </w:rPr>
        <w:t>预算管理情况分析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财务管理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财务管理制度健全性</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①预算资金管理办法、绩效跟踪管理办法、资产管理办法等各项制度健全；②部门内部财务管理制度完整、合规；③会计核算制度完整、合规。</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资金使用合规性和安全性</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_GB2312" w:hAnsi="仿宋_GB2312" w:eastAsia="仿宋_GB2312" w:cs="仿宋_GB2312"/>
          <w:color w:val="000000"/>
          <w:kern w:val="0"/>
          <w:sz w:val="28"/>
          <w:szCs w:val="28"/>
          <w:highlight w:val="none"/>
          <w:lang w:val="en-US" w:eastAsia="zh-CN" w:bidi="ar-SA"/>
        </w:rPr>
      </w:pPr>
      <w:r>
        <w:rPr>
          <w:rFonts w:hint="eastAsia"/>
          <w:highlight w:val="none"/>
        </w:rPr>
        <w:t xml:space="preserve"> </w:t>
      </w:r>
      <w:r>
        <w:rPr>
          <w:rFonts w:hint="eastAsia"/>
          <w:highlight w:val="none"/>
          <w:lang w:val="en-US" w:eastAsia="zh-CN"/>
        </w:rPr>
        <w:t xml:space="preserve">    </w:t>
      </w:r>
      <w:r>
        <w:rPr>
          <w:rFonts w:hint="eastAsia" w:ascii="仿宋_GB2312" w:hAnsi="仿宋_GB2312" w:eastAsia="仿宋_GB2312" w:cs="仿宋_GB2312"/>
          <w:color w:val="000000"/>
          <w:kern w:val="0"/>
          <w:sz w:val="28"/>
          <w:szCs w:val="28"/>
          <w:highlight w:val="none"/>
          <w:lang w:val="en-US" w:eastAsia="zh-CN" w:bidi="ar-SA"/>
        </w:rPr>
        <w:t>①符合国家财经法规和财务管理制度规定以及有关专项资金管理办法的规定；②资金的拨付有完整的审批程序和手续；③项目的重大开支经过评估论证；④符合部门预算批复的用途；⑤不存在截留、挤占、挪用情况；⑥资金使用符合政府采购的程序和流程；⑦资金使用符合公务卡结算相关制度和规定。</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会计基础信息完善性</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lang w:val="en-US" w:eastAsia="zh-CN" w:bidi="ar-SA"/>
        </w:rPr>
        <w:t>①基础数据信息和会计信息资料真实；②基础数据信息和会计信息资料完整；③基础数据信息和会计信息资料准确。</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资产管理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lang w:val="en-US" w:eastAsia="zh-CN" w:bidi="ar-SA"/>
        </w:rPr>
        <w:t>资产管理规范性：①不存在因管理不当发生严重资产损失和丢失情况；②不存在超标准配置资产；③资产使用规范，不存在未经批准擅自出租、出借资产行为；④资产处置规范，不存在不按要求进行报批或资产不公开处置行为。</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绩效管理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lang w:val="en-US" w:eastAsia="zh-CN" w:bidi="ar-SA"/>
        </w:rPr>
        <w:t>绩效管理情况：①本院及时对绩效信息进行汇总分析整理；②本院对绩效目标偏离情况及时进行矫正。</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结转结余率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2020年结转结余率=结转结余总额/支出预算数×100%= 49.68万元/ 4,940.60万元×100%=1.01%。</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ascii="仿宋_GB2312" w:hAnsi="仿宋_GB2312" w:eastAsia="仿宋_GB2312" w:cs="仿宋_GB2312"/>
          <w:color w:val="000000"/>
          <w:kern w:val="0"/>
          <w:sz w:val="28"/>
          <w:szCs w:val="28"/>
          <w:highlight w:val="none"/>
          <w:lang w:val="en-US" w:eastAsia="zh-CN" w:bidi="ar-SA"/>
        </w:rPr>
      </w:pPr>
      <w:r>
        <w:rPr>
          <w:rFonts w:hint="eastAsia" w:ascii="仿宋_GB2312" w:hAnsi="仿宋_GB2312" w:eastAsia="仿宋_GB2312" w:cs="仿宋_GB2312"/>
          <w:color w:val="000000"/>
          <w:kern w:val="0"/>
          <w:sz w:val="28"/>
          <w:szCs w:val="28"/>
          <w:highlight w:val="none"/>
          <w:lang w:val="en-US" w:eastAsia="zh-CN" w:bidi="ar-SA"/>
        </w:rPr>
        <w:t>2021年结转结余率=结转结余总额/支出预算数×100%=68.29万元/ 5,066.14万元×100%=1.35%。</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lang w:val="en-US" w:eastAsia="zh-CN" w:bidi="ar-SA"/>
        </w:rPr>
        <w:t>2021年结转结余率比2020年结转结余率高0.34%。</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部门预决算差异率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9"/>
        <w:rPr>
          <w:rFonts w:hint="eastAsia"/>
          <w:highlight w:val="none"/>
        </w:rPr>
      </w:pPr>
      <w:r>
        <w:rPr>
          <w:rFonts w:hint="eastAsia" w:ascii="仿宋_GB2312" w:hAnsi="仿宋_GB2312" w:eastAsia="仿宋_GB2312" w:cs="仿宋_GB2312"/>
          <w:color w:val="000000"/>
          <w:kern w:val="0"/>
          <w:sz w:val="28"/>
          <w:szCs w:val="28"/>
          <w:highlight w:val="none"/>
          <w:lang w:val="en-US" w:eastAsia="zh-CN" w:bidi="ar-SA"/>
        </w:rPr>
        <w:t>部门预决算差异率=年度部门决算/年初部门预算×100%=4,997.86万元/5,145.19万元×100%=97.14%。</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（五）</w:t>
      </w:r>
      <w:r>
        <w:rPr>
          <w:rFonts w:hint="eastAsia" w:ascii="仿宋_GB2312" w:hAnsi="仿宋_GB2312" w:eastAsia="仿宋_GB2312" w:cs="仿宋_GB2312"/>
          <w:sz w:val="28"/>
          <w:szCs w:val="28"/>
          <w:highlight w:val="none"/>
        </w:rPr>
        <w:t>总体评价结论</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评价得分情况</w:t>
      </w:r>
    </w:p>
    <w:tbl>
      <w:tblPr>
        <w:tblStyle w:val="5"/>
        <w:tblW w:w="8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7"/>
        <w:gridCol w:w="2059"/>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评价内容</w:t>
            </w:r>
          </w:p>
        </w:tc>
        <w:tc>
          <w:tcPr>
            <w:tcW w:w="2059"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分值</w:t>
            </w:r>
          </w:p>
        </w:tc>
        <w:tc>
          <w:tcPr>
            <w:tcW w:w="2811"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当年预算执行情况</w:t>
            </w:r>
          </w:p>
        </w:tc>
        <w:tc>
          <w:tcPr>
            <w:tcW w:w="2059"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w:t>
            </w:r>
          </w:p>
        </w:tc>
        <w:tc>
          <w:tcPr>
            <w:tcW w:w="2811"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19.</w:t>
            </w:r>
            <w:r>
              <w:rPr>
                <w:rFonts w:hint="eastAsia" w:ascii="仿宋_GB2312" w:hAnsi="宋体" w:eastAsia="仿宋_GB2312" w:cs="宋体"/>
                <w:color w:val="000000"/>
                <w:kern w:val="0"/>
                <w:sz w:val="28"/>
                <w:szCs w:val="28"/>
                <w:highlight w:val="none"/>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整体绩效目标实现情况</w:t>
            </w:r>
          </w:p>
        </w:tc>
        <w:tc>
          <w:tcPr>
            <w:tcW w:w="2059"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60</w:t>
            </w:r>
          </w:p>
        </w:tc>
        <w:tc>
          <w:tcPr>
            <w:tcW w:w="2811"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预算管理情况</w:t>
            </w:r>
          </w:p>
        </w:tc>
        <w:tc>
          <w:tcPr>
            <w:tcW w:w="2059"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w:t>
            </w:r>
          </w:p>
        </w:tc>
        <w:tc>
          <w:tcPr>
            <w:tcW w:w="2811"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综合得分</w:t>
            </w:r>
          </w:p>
        </w:tc>
        <w:tc>
          <w:tcPr>
            <w:tcW w:w="2059" w:type="dxa"/>
            <w:vAlign w:val="top"/>
          </w:tcPr>
          <w:p>
            <w:pPr>
              <w:spacing w:line="600" w:lineRule="exact"/>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100</w:t>
            </w:r>
          </w:p>
        </w:tc>
        <w:tc>
          <w:tcPr>
            <w:tcW w:w="2811"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fldChar w:fldCharType="begin"/>
            </w:r>
            <w:r>
              <w:rPr>
                <w:rFonts w:ascii="仿宋_GB2312" w:hAnsi="宋体" w:eastAsia="仿宋_GB2312" w:cs="宋体"/>
                <w:color w:val="000000"/>
                <w:kern w:val="0"/>
                <w:sz w:val="28"/>
                <w:szCs w:val="28"/>
                <w:highlight w:val="none"/>
              </w:rPr>
              <w:instrText xml:space="preserve"> =SUM(ABOVE) </w:instrText>
            </w:r>
            <w:r>
              <w:rPr>
                <w:rFonts w:ascii="仿宋_GB2312" w:hAnsi="宋体" w:eastAsia="仿宋_GB2312" w:cs="宋体"/>
                <w:color w:val="000000"/>
                <w:kern w:val="0"/>
                <w:sz w:val="28"/>
                <w:szCs w:val="28"/>
                <w:highlight w:val="none"/>
              </w:rPr>
              <w:fldChar w:fldCharType="separate"/>
            </w:r>
            <w:r>
              <w:rPr>
                <w:rFonts w:ascii="仿宋_GB2312" w:hAnsi="宋体" w:eastAsia="仿宋_GB2312" w:cs="宋体"/>
                <w:color w:val="000000"/>
                <w:kern w:val="0"/>
                <w:sz w:val="28"/>
                <w:szCs w:val="28"/>
                <w:highlight w:val="none"/>
              </w:rPr>
              <w:t>87.73</w:t>
            </w:r>
            <w:r>
              <w:rPr>
                <w:rFonts w:ascii="仿宋_GB2312" w:hAnsi="宋体" w:eastAsia="仿宋_GB2312" w:cs="宋体"/>
                <w:color w:val="000000"/>
                <w:kern w:val="0"/>
                <w:sz w:val="28"/>
                <w:szCs w:val="28"/>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绩效评定级别</w:t>
            </w:r>
          </w:p>
        </w:tc>
        <w:tc>
          <w:tcPr>
            <w:tcW w:w="4870" w:type="dxa"/>
            <w:gridSpan w:val="2"/>
            <w:vAlign w:val="top"/>
          </w:tcPr>
          <w:p>
            <w:pPr>
              <w:spacing w:line="600" w:lineRule="exact"/>
              <w:jc w:val="center"/>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良</w:t>
            </w:r>
          </w:p>
        </w:tc>
      </w:tr>
    </w:tbl>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部分绩效指标难以量化。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ascii="仿宋_GB2312" w:hAnsi="宋体" w:eastAsia="仿宋_GB2312" w:cs="宋体"/>
          <w:color w:val="000000"/>
          <w:kern w:val="0"/>
          <w:sz w:val="32"/>
          <w:szCs w:val="32"/>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绩效自评结果应用不广泛。绩效自评结果未与预算安排挂钩，绩效管理约束机制体现不明显。</w:t>
      </w:r>
    </w:p>
    <w:p>
      <w:pPr>
        <w:pStyle w:val="2"/>
        <w:numPr>
          <w:ilvl w:val="0"/>
          <w:numId w:val="0"/>
        </w:numPr>
        <w:rPr>
          <w:rFonts w:hint="eastAsia"/>
          <w:highlight w:val="none"/>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措施建议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进一步完善项目支出和资金管理办法。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2.将预算绩效工作做在平时，贯彻始终，加强事前绩效评估。</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sz w:val="28"/>
          <w:szCs w:val="28"/>
          <w:highlight w:val="none"/>
        </w:rPr>
        <w:t>3.开展绩效执行监控，同时将项目的绩效评价结果与预算安排挂钩。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2807B0"/>
    <w:multiLevelType w:val="singleLevel"/>
    <w:tmpl w:val="942807B0"/>
    <w:lvl w:ilvl="0" w:tentative="0">
      <w:start w:val="2"/>
      <w:numFmt w:val="decimal"/>
      <w:suff w:val="nothing"/>
      <w:lvlText w:val="（%1）"/>
      <w:lvlJc w:val="left"/>
    </w:lvl>
  </w:abstractNum>
  <w:abstractNum w:abstractNumId="1">
    <w:nsid w:val="A5C5BB7B"/>
    <w:multiLevelType w:val="singleLevel"/>
    <w:tmpl w:val="A5C5BB7B"/>
    <w:lvl w:ilvl="0" w:tentative="0">
      <w:start w:val="2"/>
      <w:numFmt w:val="decimal"/>
      <w:lvlText w:val="%1."/>
      <w:lvlJc w:val="left"/>
      <w:pPr>
        <w:tabs>
          <w:tab w:val="left" w:pos="312"/>
        </w:tabs>
      </w:pPr>
    </w:lvl>
  </w:abstractNum>
  <w:abstractNum w:abstractNumId="2">
    <w:nsid w:val="E1767C14"/>
    <w:multiLevelType w:val="singleLevel"/>
    <w:tmpl w:val="E1767C14"/>
    <w:lvl w:ilvl="0" w:tentative="0">
      <w:start w:val="6"/>
      <w:numFmt w:val="chineseCounting"/>
      <w:suff w:val="nothing"/>
      <w:lvlText w:val="（%1）"/>
      <w:lvlJc w:val="left"/>
      <w:rPr>
        <w:rFonts w:hint="eastAsia"/>
      </w:rPr>
    </w:lvl>
  </w:abstractNum>
  <w:abstractNum w:abstractNumId="3">
    <w:nsid w:val="42F0D60F"/>
    <w:multiLevelType w:val="singleLevel"/>
    <w:tmpl w:val="42F0D60F"/>
    <w:lvl w:ilvl="0" w:tentative="0">
      <w:start w:val="3"/>
      <w:numFmt w:val="decimal"/>
      <w:suff w:val="nothing"/>
      <w:lvlText w:val="（%1）"/>
      <w:lvlJc w:val="left"/>
    </w:lvl>
  </w:abstractNum>
  <w:abstractNum w:abstractNumId="4">
    <w:nsid w:val="4E133CBD"/>
    <w:multiLevelType w:val="singleLevel"/>
    <w:tmpl w:val="4E133CBD"/>
    <w:lvl w:ilvl="0" w:tentative="0">
      <w:start w:val="2"/>
      <w:numFmt w:val="decimal"/>
      <w:lvlText w:val="%1."/>
      <w:lvlJc w:val="left"/>
      <w:pPr>
        <w:tabs>
          <w:tab w:val="left" w:pos="312"/>
        </w:tabs>
      </w:pPr>
    </w:lvl>
  </w:abstractNum>
  <w:abstractNum w:abstractNumId="5">
    <w:nsid w:val="7E28F494"/>
    <w:multiLevelType w:val="singleLevel"/>
    <w:tmpl w:val="7E28F494"/>
    <w:lvl w:ilvl="0" w:tentative="0">
      <w:start w:val="2"/>
      <w:numFmt w:val="decimal"/>
      <w:suff w:val="nothing"/>
      <w:lvlText w:val="（%1）"/>
      <w:lvlJc w:val="left"/>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Y_MEDREF_DOCUID" w:val="{A83BC3E7-234A-479A-A8BF-469FAC3BEA7D}"/>
    <w:docVar w:name="KY_MEDREF_VERSION" w:val="3"/>
  </w:docVars>
  <w:rsids>
    <w:rsidRoot w:val="00000000"/>
    <w:rsid w:val="6027228A"/>
    <w:rsid w:val="69BD0B86"/>
    <w:rsid w:val="7C9E7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2022-08-19T02:21:34Z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