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060" w:type="dxa"/>
        <w:tblInd w:w="-8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501"/>
        <w:gridCol w:w="720"/>
        <w:gridCol w:w="1443"/>
        <w:gridCol w:w="1907"/>
        <w:gridCol w:w="756"/>
        <w:gridCol w:w="945"/>
        <w:gridCol w:w="1449"/>
        <w:gridCol w:w="536"/>
        <w:gridCol w:w="12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0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 w:val="18"/>
                <w:szCs w:val="18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60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02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眼科技术的集成转化与研发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北京市卫生和计划生育委员会</w:t>
            </w:r>
            <w:bookmarkStart w:id="0" w:name="_GoBack"/>
            <w:bookmarkEnd w:id="0"/>
          </w:p>
        </w:tc>
        <w:tc>
          <w:tcPr>
            <w:tcW w:w="31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北京市眼科研究所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40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新增项目</w:t>
            </w:r>
          </w:p>
        </w:tc>
        <w:tc>
          <w:tcPr>
            <w:tcW w:w="31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项目期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4年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项目资金 （万元）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中期资金总额：</w:t>
            </w:r>
          </w:p>
        </w:tc>
        <w:tc>
          <w:tcPr>
            <w:tcW w:w="1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1658.6</w:t>
            </w:r>
          </w:p>
        </w:tc>
        <w:tc>
          <w:tcPr>
            <w:tcW w:w="31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年度资金总额：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342.578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3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1658.6</w:t>
            </w:r>
          </w:p>
        </w:tc>
        <w:tc>
          <w:tcPr>
            <w:tcW w:w="31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342.578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3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总 体 目 标</w:t>
            </w:r>
          </w:p>
        </w:tc>
        <w:tc>
          <w:tcPr>
            <w:tcW w:w="45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中期目标（2016年—2019年）</w:t>
            </w:r>
          </w:p>
        </w:tc>
        <w:tc>
          <w:tcPr>
            <w:tcW w:w="49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年度目标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1、平台建设考核：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1）生物样本库：创建我国常见眼病的基因及临床数据库，形成常见眼病的基因数据库和精准诊断依据。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2）分子诊断平台：病原体分子诊断平台和基因诊断平台，集细胞因子，抗体检测，基因筛查为一体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3）前沿技术转化平台：建立承接相关转载工具、移植技术的生物工程转化中心，进行临床前小动物，大动物试验，构建符合GMP相关标准的临床试验操作实验室。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2、诊疗标准制度考核：制定4大类10种遗传性眼病分子诊断标准及流程；高度近视视网膜病变治疗技术标准，糖网激光治疗原则与标准。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3、新产品与新技术开发考核：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1）新产品：家用视功能检查仪、家用视功能眼压计、眼部靶向介入设备，近转远转化器、活体光纤OCT，视负荷检测仪。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2）新技术：青光眼，糖网、近视、AMD的基因筛查芯片技术，眼遗传病分子诊断基因芯片技术，眼部病原体微创精准取材技术，依据眼部腔隙的靶向介入技术，OCT导航视网膜下移植技术，临床实用级的AAV联合基因治疗技术，新的近视防治技术，糖网眼底图像生物识别技术。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4、临床实验考核：青光眼C3基因治疗、视网膜色素变性的胚胎RPE细胞治疗申请I期临床试验。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规范指南推广考核：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5、体系／模式推广：在北京地区推广标准化近视防治技术，在青光眼患者家庭推广家用随诊设备使用，在基层医院推广糖网分级及判断视网膜激光治疗时机的标准。推广青光眼、近视眼、糖网等眼病的易感基因芯片筛查技术。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6、诊疗规范推广：申请在北京召开相关疾病研究会议或学习班，参加国内外相关疾病的学术交流，获得研究领域的话语权、发言权。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7、科研成果及文章数目考核：申报省部级以上课题不少于4项；申报省部级以上科技成果1-2项；发表SCI论文30篇，在本相关领域最有影响力的刊物上发表论文10篇以上，IF&gt;3的15篇以上，申请专利20项，申请医疗器械注册许可证产品3-5项。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8、专业人才培养考核：培养眼病研究专家、有科研素养的临床医生和有创新意识的临床科学家，成为我单位科研与发展的主要力量。培养眼科科研方面集研究、转化、推广为一体的一流人才，培训相关专业技术人才出国交流学习：国际知名大学或研究机构（如新加坡国立卫生研究院、约翰霍普金斯大学、澳大利亚墨尔本大学眼科研究中心、美国威斯康星大学医学院等），交流培训或学习（阅片或科研学习），每年赴海外交流1-2人次，培养博士生6-8人/年，硕士生8-10人／年。</w:t>
            </w:r>
          </w:p>
        </w:tc>
        <w:tc>
          <w:tcPr>
            <w:tcW w:w="49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240"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完成糖尿病视网膜病变眼底图像分析系统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两类疾病基因筛查芯片（青光眼，视网膜色素变性）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研发眼部靶向介入设备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形成高度近视视网膜病变治疗两项技术标准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依据眼底照相技术判断视网膜激光治疗时机的标准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开展联合基因治疗大动物实验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绩 效 指 标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产 出 指 标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建立眼科生物样本库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完成糖尿病视网膜病变眼底图像分析系统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一套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病原体分子诊断平台和基因诊断平台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青光眼，视网膜色素变性基因筛查芯片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2种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建立承接相关转载工具、移植技术的生物工程转化中心，进行临床前小动物，大动物试验，构建符合GMP相关标准的临床试验操作实验室。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眼部靶向介入设备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一套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遗传性眼病分子诊断标准及流程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10病种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高度近视治疗技术标准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一套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高度近视视网膜病变治疗技术标准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一套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糖尿病视网膜病变诊疗技术标准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一套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家用视功能检查仪、家用视功能眼压计、眼部靶向介入设备，近转远转化器、活体光纤OCT，视负荷检测仪。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分子诊断平台检测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100人次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青光眼C3基因治疗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数字化管理样本库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200例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视网膜色素变性的胚胎RPE细胞治疗申请I期临床试验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参加国际眼科相关会议及学术交流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4人次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在北京地区推广标准化近视防治技术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眼科分子诊断前沿研究交流会议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1次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在青光眼患者家庭推广家用随诊设备使用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眼遗传学研究交流培训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1次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在基层医院推广糖网分级及判断视网膜激光治疗时机的标准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一套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细胞及基因治疗研究交流会议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1次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北京召开相关疾病研究会议或学习班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12次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专利申请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2项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参加国际眼科相关会议及学术交流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12人次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国际论文发表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10篇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进行国外中长期人员培养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6人次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国内论文发表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20篇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SCI论文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30篇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申报省部级以上课题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4项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申请医疗器械注册许可证产品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5项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设备质量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达到国家标准GB/T 16403</w:t>
            </w: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试剂质量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达到国家标准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完成设备购置验收，完善研究平台的建设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≥99%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推广眼底照相技术判断视网膜激光治疗时机的标准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推广糖网高度近视诊疗标准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大动物实验平台能够进行大动物手术，基因治疗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进度指标</w:t>
            </w: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方案制定和前期准备时间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进度指标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方案制定和前期准备时间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2018年2月前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招标采购时间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招标采购时间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2018年3月前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采购物品到位时间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采购物品到位时间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2018年6月前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验收时间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验收时间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2018年7月前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1658.6万</w:t>
            </w: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2018年度完成试剂采购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170万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设备费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 xml:space="preserve">330万 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材料费，测试加工费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220万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材料费，测试加工费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890万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效 果 指 标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基层医院对DR的认识和防治水平的提高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基层医院对DR的认识和防治水平的提高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近视防治技术的推广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近视防治技术的推广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基因诊断平台的推广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基因诊断平台的推广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服务对象 满意度指标</w:t>
            </w:r>
          </w:p>
        </w:tc>
        <w:tc>
          <w:tcPr>
            <w:tcW w:w="3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 xml:space="preserve"> 受益群众满意度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95%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服务对象 满意度指标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 xml:space="preserve"> 受益群众满意度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kern w:val="0"/>
                <w:sz w:val="18"/>
                <w:szCs w:val="18"/>
              </w:rPr>
              <w:t>95%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604F"/>
    <w:rsid w:val="00205313"/>
    <w:rsid w:val="00D8604F"/>
    <w:rsid w:val="7CA8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398</Words>
  <Characters>2271</Characters>
  <Lines>18</Lines>
  <Paragraphs>5</Paragraphs>
  <TotalTime>0</TotalTime>
  <ScaleCrop>false</ScaleCrop>
  <LinksUpToDate>false</LinksUpToDate>
  <CharactersWithSpaces>2664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2018-01-29T08:24:00Z</dcterms:created>
  <dc:creator>LENOVO</dc:creator>
  <cp:lastModifiedBy>Administrator</cp:lastModifiedBy>
  <dcterms:modified xsi:type="dcterms:W3CDTF">2018-02-07T08:33:57Z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