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555" w:tblpY="656"/>
        <w:tblOverlap w:val="never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705"/>
        <w:gridCol w:w="351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北京碧水源科技股份有限公司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组合式污水处理设备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同方威视技术股份有限公司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货物与车辆安检设备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北京大豪科技股份有限公司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缝制设备电控系统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北新集团建材股份有限公司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纸面石膏板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北京碧水源膜科技有限公司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膜生物反应器组器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北京精雕科技集团有限公司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小型精密加工中心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北京天玛智控科技股份有限公司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SAC型液压支架电液控制系统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北汽福田汽车股份有限公司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轻型卡车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中铁高新工业股份有限公司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道岔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北京全路通信信号研究设计院集团有限公司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轨道交通控制系统全套设备的研发与集成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航天长征化学工程股份有限公司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粉煤加压气化装置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北京玻钢院复合材料有限公司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风电叶片模具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49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北自所（北京）科技发展股份有限公司</w:t>
            </w:r>
          </w:p>
        </w:tc>
        <w:tc>
          <w:tcPr>
            <w:tcW w:w="1942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长丝卷装作业智能物流系统</w:t>
            </w:r>
          </w:p>
        </w:tc>
        <w:tc>
          <w:tcPr>
            <w:tcW w:w="57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第五批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第二批、第五批制造业单项冠军企业复核通过公示名单</w:t>
      </w:r>
    </w:p>
    <w:bookmarkEnd w:id="0"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jg4YTRmMTUwYTE1YTg0Y2E4NzYzMWUyN2YxYWMifQ=="/>
  </w:docVars>
  <w:rsids>
    <w:rsidRoot w:val="00000000"/>
    <w:rsid w:val="3E2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bidi w:val="0"/>
      <w:spacing w:beforeLines="0" w:afterLines="0" w:line="560" w:lineRule="exact"/>
      <w:ind w:left="0" w:leftChars="0"/>
      <w:jc w:val="both"/>
      <w:outlineLvl w:val="0"/>
    </w:pPr>
    <w:rPr>
      <w:rFonts w:ascii="仿宋_GB2312" w:hAnsi="仿宋_GB2312" w:eastAsia="仿宋_GB2312" w:cstheme="minorBidi"/>
      <w:kern w:val="44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2024-03-04T06:18:54Z</dcterms:created>
  <dc:creator>quwei</dc:creator>
  <cp:lastModifiedBy>洛彤_192688961</cp:lastModifiedBy>
  <dcterms:modified xsi:type="dcterms:W3CDTF">2024-03-04T06:19:32Z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70FD7133748B4EC38A85BE22BB4A676F_12</vt:lpwstr>
  </property>
</Properties>
</file>