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附件1</w:t>
      </w:r>
    </w:p>
    <w:p>
      <w:pPr>
        <w:rPr>
          <w:rFonts w:ascii="楷体_GB2312" w:eastAsia="楷体_GB2312"/>
          <w:color w:val="auto"/>
        </w:rPr>
      </w:pPr>
    </w:p>
    <w:p>
      <w:pPr>
        <w:snapToGrid w:val="0"/>
        <w:spacing w:line="300" w:lineRule="auto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会议议程安排</w:t>
      </w:r>
    </w:p>
    <w:tbl>
      <w:tblPr>
        <w:tblStyle w:val="3"/>
        <w:tblW w:w="0" w:type="auto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167"/>
        <w:gridCol w:w="2843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时间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主讲题目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主讲人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-14: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两用物项和技术出口管制许可法规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商务部产业安全与进出口管制局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-14: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易制毒化学品进出口许可证管理规定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商务部产业安全与进出口管制局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14: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50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-15: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易制毒化学品进出口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购买备案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办理流程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及要求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北京市公安局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15: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-16: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易制毒化学品有关管理规定解读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应急管理局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>16: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两用物项和技术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进出口许可证发放流程及注意事项</w:t>
            </w:r>
          </w:p>
        </w:tc>
        <w:tc>
          <w:tcPr>
            <w:tcW w:w="2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北京市商务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0EAC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2023-10-13T06:46:19Z</dcterms:created>
  <dc:creator>Administrator</dc:creator>
  <cp:lastModifiedBy>邱钰雯</cp:lastModifiedBy>
  <dcterms:modified xsi:type="dcterms:W3CDTF">2023-10-13T06:46:29Z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7890EDF339B94643BBC495CE30E5D7FB_12</vt:lpwstr>
  </property>
</Properties>
</file>