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2022年北京市知识产权保险试点产品介绍</w:t>
      </w:r>
    </w:p>
    <w:p>
      <w:pPr>
        <w:widowControl w:val="0"/>
        <w:jc w:val="center"/>
        <w:rPr>
          <w:rFonts w:ascii="仿宋_GB2312" w:hAnsi="等线"/>
          <w:b/>
          <w:bCs/>
          <w:sz w:val="44"/>
          <w:szCs w:val="44"/>
        </w:rPr>
      </w:pPr>
      <w:r>
        <w:rPr>
          <w:rFonts w:hint="eastAsia" w:ascii="方正小标宋简体" w:eastAsia="方正小标宋简体" w:hAnsiTheme="minorHAnsi" w:cstheme="minorBidi"/>
          <w:sz w:val="44"/>
          <w:szCs w:val="44"/>
        </w:rPr>
        <w:t>（太平洋财险</w:t>
      </w:r>
      <w:r>
        <w:rPr>
          <w:rFonts w:hint="default" w:ascii="方正小标宋简体" w:eastAsia="方正小标宋简体" w:hAnsiTheme="minorHAnsi" w:cstheme="minorBidi"/>
          <w:sz w:val="44"/>
          <w:szCs w:val="44"/>
        </w:rPr>
        <w:t>，</w:t>
      </w:r>
      <w:r>
        <w:rPr>
          <w:rFonts w:hint="eastAsia" w:ascii="方正小标宋简体" w:eastAsia="方正小标宋简体" w:hAnsiTheme="minorHAnsi" w:cstheme="minorBidi"/>
          <w:sz w:val="44"/>
          <w:szCs w:val="44"/>
          <w:lang w:val="en-US" w:eastAsia="zh-Hans"/>
        </w:rPr>
        <w:t>西部区域</w:t>
      </w:r>
      <w:bookmarkStart w:id="0" w:name="_GoBack"/>
      <w:bookmarkEnd w:id="0"/>
      <w:r>
        <w:rPr>
          <w:rFonts w:hint="eastAsia" w:ascii="方正小标宋简体" w:eastAsia="方正小标宋简体" w:hAnsiTheme="minorHAnsi" w:cstheme="minorBidi"/>
          <w:sz w:val="44"/>
          <w:szCs w:val="44"/>
        </w:rPr>
        <w:t>）</w:t>
      </w:r>
    </w:p>
    <w:p>
      <w:pPr>
        <w:adjustRightInd w:val="0"/>
        <w:snapToGrid w:val="0"/>
        <w:ind w:firstLine="640" w:firstLineChars="200"/>
        <w:jc w:val="both"/>
        <w:rPr>
          <w:rFonts w:ascii="仿宋_GB2312" w:hAnsi="等线"/>
          <w:szCs w:val="22"/>
        </w:rPr>
      </w:pPr>
    </w:p>
    <w:p>
      <w:pPr>
        <w:widowControl w:val="0"/>
        <w:adjustRightInd w:val="0"/>
        <w:snapToGrid w:val="0"/>
        <w:ind w:firstLine="640" w:firstLineChars="200"/>
        <w:jc w:val="both"/>
        <w:rPr>
          <w:rFonts w:ascii="仿宋_GB2312" w:hAnsi="仿宋_GB2312" w:cs="仿宋_GB2312"/>
          <w:color w:val="333333"/>
          <w:szCs w:val="32"/>
        </w:rPr>
      </w:pPr>
      <w:r>
        <w:rPr>
          <w:rFonts w:hint="eastAsia" w:ascii="仿宋_GB2312" w:hAnsi="仿宋_GB2312" w:cs="仿宋_GB2312"/>
          <w:color w:val="333333"/>
          <w:szCs w:val="32"/>
        </w:rPr>
        <w:t>为</w:t>
      </w:r>
      <w:r>
        <w:rPr>
          <w:rFonts w:ascii="仿宋_GB2312" w:hAnsi="仿宋_GB2312" w:cs="仿宋_GB2312"/>
          <w:color w:val="333333"/>
          <w:szCs w:val="32"/>
        </w:rPr>
        <w:t>充分响应</w:t>
      </w:r>
      <w:r>
        <w:rPr>
          <w:rFonts w:hint="eastAsia" w:ascii="仿宋_GB2312" w:hAnsi="仿宋_GB2312" w:cs="仿宋_GB2312"/>
          <w:color w:val="333333"/>
          <w:szCs w:val="32"/>
        </w:rPr>
        <w:t>《北京市知识产权保险试点工作管理办法》的</w:t>
      </w:r>
      <w:r>
        <w:rPr>
          <w:rFonts w:ascii="仿宋_GB2312" w:hAnsi="仿宋_GB2312" w:cs="仿宋_GB2312"/>
          <w:color w:val="333333"/>
          <w:szCs w:val="32"/>
        </w:rPr>
        <w:t>要求</w:t>
      </w:r>
      <w:r>
        <w:rPr>
          <w:rFonts w:hint="eastAsia" w:ascii="仿宋_GB2312" w:hAnsi="仿宋_GB2312" w:cs="仿宋_GB2312"/>
          <w:color w:val="333333"/>
          <w:szCs w:val="32"/>
        </w:rPr>
        <w:t>，做好昌平、房山、怀柔、延庆、门头沟地区企业服务</w:t>
      </w:r>
      <w:r>
        <w:rPr>
          <w:rFonts w:ascii="仿宋_GB2312" w:hAnsi="仿宋_GB2312" w:cs="仿宋_GB2312"/>
          <w:color w:val="333333"/>
          <w:szCs w:val="32"/>
        </w:rPr>
        <w:t>，</w:t>
      </w:r>
      <w:r>
        <w:rPr>
          <w:rFonts w:hint="eastAsia" w:ascii="仿宋_GB2312" w:hAnsi="仿宋_GB2312" w:cs="仿宋_GB2312"/>
          <w:color w:val="333333"/>
          <w:szCs w:val="32"/>
        </w:rPr>
        <w:t>按照办法要求，特制定了“单项冠军企业保障方案”与“重点领域中小微企业保障方案”，</w:t>
      </w:r>
      <w:r>
        <w:rPr>
          <w:rFonts w:ascii="仿宋_GB2312" w:hAnsi="仿宋_GB2312" w:cs="仿宋_GB2312"/>
          <w:color w:val="333333"/>
          <w:szCs w:val="32"/>
        </w:rPr>
        <w:t>包含</w:t>
      </w:r>
      <w:r>
        <w:rPr>
          <w:rFonts w:hint="eastAsia" w:ascii="仿宋_GB2312" w:hAnsi="仿宋_GB2312" w:cs="仿宋_GB2312"/>
          <w:color w:val="333333"/>
          <w:szCs w:val="32"/>
        </w:rPr>
        <w:t>试点</w:t>
      </w:r>
      <w:r>
        <w:rPr>
          <w:rFonts w:ascii="仿宋_GB2312" w:hAnsi="仿宋_GB2312" w:cs="仿宋_GB2312"/>
          <w:color w:val="333333"/>
          <w:szCs w:val="32"/>
        </w:rPr>
        <w:t>项目</w:t>
      </w:r>
      <w:r>
        <w:rPr>
          <w:rFonts w:hint="eastAsia" w:ascii="仿宋_GB2312" w:hAnsi="仿宋_GB2312" w:cs="仿宋_GB2312"/>
          <w:color w:val="333333"/>
          <w:szCs w:val="32"/>
        </w:rPr>
        <w:t>支持的专利执行保险、专利被侵权损失保险，做好企业</w:t>
      </w:r>
      <w:r>
        <w:rPr>
          <w:rFonts w:ascii="仿宋_GB2312" w:hAnsi="仿宋_GB2312" w:cs="仿宋_GB2312"/>
          <w:color w:val="333333"/>
          <w:szCs w:val="32"/>
        </w:rPr>
        <w:t>知识产权</w:t>
      </w:r>
      <w:r>
        <w:rPr>
          <w:rFonts w:hint="eastAsia" w:ascii="仿宋_GB2312" w:hAnsi="仿宋_GB2312" w:cs="仿宋_GB2312"/>
          <w:color w:val="333333"/>
          <w:szCs w:val="32"/>
        </w:rPr>
        <w:t>保护，支持企业</w:t>
      </w:r>
      <w:r>
        <w:rPr>
          <w:rFonts w:ascii="仿宋_GB2312" w:hAnsi="仿宋_GB2312" w:cs="仿宋_GB2312"/>
          <w:color w:val="333333"/>
          <w:szCs w:val="32"/>
        </w:rPr>
        <w:t>科技创新</w:t>
      </w:r>
      <w:r>
        <w:rPr>
          <w:rFonts w:hint="eastAsia" w:ascii="仿宋_GB2312" w:hAnsi="仿宋_GB2312" w:cs="仿宋_GB2312"/>
          <w:color w:val="333333"/>
          <w:szCs w:val="32"/>
        </w:rPr>
        <w:t>。</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一</w:t>
      </w:r>
      <w:r>
        <w:rPr>
          <w:rFonts w:ascii="黑体" w:hAnsi="黑体" w:eastAsia="黑体"/>
          <w:szCs w:val="22"/>
        </w:rPr>
        <w:t>、保险产品</w:t>
      </w:r>
    </w:p>
    <w:p>
      <w:pPr>
        <w:adjustRightInd w:val="0"/>
        <w:snapToGrid w:val="0"/>
        <w:ind w:firstLine="640" w:firstLineChars="200"/>
        <w:jc w:val="both"/>
        <w:rPr>
          <w:rFonts w:ascii="仿宋_GB2312" w:hAnsi="等线"/>
          <w:szCs w:val="22"/>
        </w:rPr>
      </w:pPr>
      <w:r>
        <w:rPr>
          <w:rFonts w:hint="eastAsia" w:ascii="仿宋_GB2312" w:hAnsi="等线"/>
          <w:szCs w:val="22"/>
        </w:rPr>
        <w:t>（一）专利</w:t>
      </w:r>
      <w:r>
        <w:rPr>
          <w:rFonts w:ascii="仿宋_GB2312" w:hAnsi="等线"/>
          <w:szCs w:val="22"/>
        </w:rPr>
        <w:t>执行保险</w:t>
      </w:r>
      <w:r>
        <w:rPr>
          <w:rFonts w:hint="eastAsia" w:ascii="仿宋_GB2312" w:hAnsi="等线"/>
          <w:szCs w:val="22"/>
        </w:rPr>
        <w:t>是指在投保专利遭受第三方侵权时，赔偿被保险人因正常维权而产生的调查费用、法律费用等的保险。</w:t>
      </w:r>
    </w:p>
    <w:p>
      <w:pPr>
        <w:adjustRightInd w:val="0"/>
        <w:snapToGrid w:val="0"/>
        <w:ind w:firstLine="640" w:firstLineChars="200"/>
        <w:jc w:val="both"/>
        <w:rPr>
          <w:rFonts w:ascii="仿宋_GB2312" w:hAnsi="等线"/>
          <w:szCs w:val="22"/>
        </w:rPr>
      </w:pPr>
      <w:r>
        <w:rPr>
          <w:rFonts w:hint="eastAsia" w:ascii="仿宋_GB2312" w:hAnsi="等线"/>
          <w:szCs w:val="22"/>
        </w:rPr>
        <w:t>（二）专利被侵权损失保险是指在投保专利遭受第三方侵权时，赔偿被保险人被侵权直接经济损失的保险。</w:t>
      </w:r>
    </w:p>
    <w:p>
      <w:pPr>
        <w:adjustRightInd w:val="0"/>
        <w:snapToGrid w:val="0"/>
        <w:ind w:firstLine="640" w:firstLineChars="200"/>
        <w:jc w:val="both"/>
        <w:rPr>
          <w:rFonts w:ascii="黑体" w:hAnsi="黑体" w:eastAsia="黑体"/>
          <w:szCs w:val="22"/>
        </w:rPr>
      </w:pPr>
      <w:r>
        <w:rPr>
          <w:rFonts w:hint="eastAsia" w:ascii="黑体" w:hAnsi="黑体" w:eastAsia="黑体"/>
          <w:szCs w:val="22"/>
        </w:rPr>
        <w:t>二</w:t>
      </w:r>
      <w:r>
        <w:rPr>
          <w:rFonts w:ascii="黑体" w:hAnsi="黑体" w:eastAsia="黑体"/>
          <w:szCs w:val="22"/>
        </w:rPr>
        <w:t>、保险责任</w:t>
      </w:r>
      <w:r>
        <w:rPr>
          <w:rFonts w:hint="eastAsia" w:ascii="黑体" w:hAnsi="黑体" w:eastAsia="黑体"/>
          <w:szCs w:val="22"/>
        </w:rPr>
        <w:t>简述</w:t>
      </w:r>
    </w:p>
    <w:p>
      <w:pPr>
        <w:adjustRightInd w:val="0"/>
        <w:snapToGrid w:val="0"/>
        <w:ind w:firstLine="640" w:firstLineChars="200"/>
        <w:jc w:val="both"/>
        <w:rPr>
          <w:rFonts w:hint="eastAsia" w:ascii="楷体_GB2312" w:hAnsi="等线" w:eastAsia="楷体_GB2312"/>
          <w:szCs w:val="22"/>
        </w:rPr>
      </w:pPr>
      <w:r>
        <w:rPr>
          <w:rFonts w:hint="eastAsia" w:ascii="楷体_GB2312" w:hAnsi="等线" w:eastAsia="楷体_GB2312"/>
          <w:szCs w:val="22"/>
        </w:rPr>
        <w:t>（一）专利执行保险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或保险合同约定的追溯期内，第三方未取得授权而首次使用本保险单列明的专利生产、制造、销售产品，被保险人为获取证据在承保区域范围内进行调查，并在保险期间内，就其受到侵犯的专利权向法院提起诉讼请求、或向仲裁机构提出仲裁请求、或向专利行政主管部门提出处理请求，该请求被立案或受理的，对于被保险人的前述请求在立案或受理前发生的必要的、合理的公证费、调查费、交通费、住宿费、伙食补助费以及其他调查费用（含购买涉嫌侵权产品费用）（以下简称“调查费用”），保险人按照本保险合同约定负责赔偿。</w:t>
      </w:r>
    </w:p>
    <w:p>
      <w:pPr>
        <w:adjustRightInd w:val="0"/>
        <w:snapToGrid w:val="0"/>
        <w:ind w:firstLine="640" w:firstLineChars="200"/>
        <w:jc w:val="both"/>
        <w:rPr>
          <w:rFonts w:ascii="仿宋_GB2312" w:hAnsi="等线"/>
          <w:szCs w:val="22"/>
        </w:rPr>
      </w:pPr>
      <w:r>
        <w:rPr>
          <w:rFonts w:hint="eastAsia" w:ascii="仿宋_GB2312" w:hAnsi="等线"/>
          <w:szCs w:val="22"/>
        </w:rPr>
        <w:t>上述保险事故发生后，被保险人就该事故在承保区域内首次提起诉讼、仲裁或行政处理的，对应由被保险人支付的律师费、仲裁、诉讼费用或行政处理费以及事先经保险人书面同意支付的其它必要的、合理的费用（以下简称“法律费用”），保险人按照本保险合同约定也负责赔偿。</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（二）附加专利无效费用损失保险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在保险期间内，如果保单列明的保险专利被提起专利无效宣告请求，且最终被国务院专利行政部门宣告无效，保险人负责赔偿被保险人因保险专利被宣告无效导致的费用损失。</w:t>
      </w:r>
    </w:p>
    <w:p>
      <w:pPr>
        <w:adjustRightInd w:val="0"/>
        <w:snapToGrid w:val="0"/>
        <w:ind w:firstLine="640" w:firstLineChars="200"/>
        <w:jc w:val="both"/>
        <w:rPr>
          <w:rFonts w:ascii="仿宋_GB2312" w:hAnsi="等线"/>
          <w:szCs w:val="22"/>
        </w:rPr>
      </w:pPr>
      <w:r>
        <w:rPr>
          <w:rFonts w:hint="eastAsia" w:ascii="仿宋_GB2312" w:hAnsi="等线"/>
          <w:szCs w:val="22"/>
        </w:rPr>
        <w:t>专利被宣告无效，是指专利权人的专利被宣告无效时，最终生效的无效宣告决定书宣告该专利被全部无效。最终生效的无效宣告决定，指该决定没有被提起行政诉讼，或者虽提起行政诉讼，但被生效行政诉讼判决所维持。费用损失，指专利代理机构或律师事务所进行无效答辩产生的代理费；对无效决定有异议而提请行政诉讼所涉及到的诉讼费、律师代理费。</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（三）附加专利被侵权损失保险</w:t>
      </w:r>
    </w:p>
    <w:p>
      <w:pPr>
        <w:adjustRightInd w:val="0"/>
        <w:snapToGrid w:val="0"/>
        <w:ind w:firstLine="640" w:firstLineChars="200"/>
        <w:jc w:val="both"/>
        <w:rPr>
          <w:rFonts w:ascii="仿宋_GB2312" w:hAnsi="等线"/>
          <w:szCs w:val="22"/>
        </w:rPr>
      </w:pPr>
      <w:r>
        <w:rPr>
          <w:rFonts w:hint="eastAsia" w:ascii="仿宋_GB2312" w:hAnsi="等线"/>
          <w:szCs w:val="22"/>
        </w:rPr>
        <w:t>在本附加险合同的保险期间或约定的追溯期内，第三方未取得有效授权而首次实施保险单中列明的专利，被保险人在保险期间内,就该专利侵权向法院提起诉讼，或向仲裁机构提出仲裁，或向管理专利工作的政府部门请求处理，并被立案或受理，视为保险事故发生。保险事故发生后，根据生效的法院判决、仲裁裁决、政府部门的书面处理结果，或经保险人事先同意的调解书或和解协议，第三方的专利侵权行为造成的被保险人的直接损失，保险人按照本附加险合同的约定负责赔偿。</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三</w:t>
      </w:r>
      <w:r>
        <w:rPr>
          <w:rFonts w:ascii="黑体" w:hAnsi="黑体" w:eastAsia="黑体"/>
          <w:szCs w:val="22"/>
        </w:rPr>
        <w:t>、保险</w:t>
      </w:r>
      <w:r>
        <w:rPr>
          <w:rFonts w:hint="eastAsia" w:ascii="黑体" w:hAnsi="黑体" w:eastAsia="黑体"/>
          <w:szCs w:val="22"/>
        </w:rPr>
        <w:t>方案</w:t>
      </w:r>
    </w:p>
    <w:p>
      <w:pPr>
        <w:adjustRightInd w:val="0"/>
        <w:snapToGrid w:val="0"/>
        <w:ind w:firstLine="640" w:firstLineChars="200"/>
        <w:jc w:val="both"/>
        <w:rPr>
          <w:rFonts w:ascii="仿宋_GB2312" w:hAnsi="等线"/>
          <w:szCs w:val="22"/>
        </w:rPr>
      </w:pPr>
      <w:r>
        <w:rPr>
          <w:rFonts w:hint="eastAsia" w:ascii="仿宋_GB2312" w:hAnsi="等线"/>
          <w:szCs w:val="22"/>
        </w:rPr>
        <w:t>为满足试点政策要求，我司针对“冠军企业”与“重点领域中小微企业”设置了不同类型保障方案，各项保障额度较往年均有提升，保障范围也有一定扩展，同时搭配专属增值服务，帮助企业降低维权成本，提高知识产权运营管理能力。</w:t>
      </w:r>
    </w:p>
    <w:p>
      <w:pPr>
        <w:adjustRightInd w:val="0"/>
        <w:snapToGrid w:val="0"/>
        <w:ind w:firstLine="640" w:firstLineChars="200"/>
        <w:rPr>
          <w:rFonts w:hint="eastAsia" w:ascii="楷体_GB2312" w:hAnsi="等线" w:eastAsia="楷体_GB2312"/>
          <w:szCs w:val="22"/>
        </w:rPr>
      </w:pPr>
      <w:r>
        <w:rPr>
          <w:rFonts w:hint="eastAsia" w:ascii="楷体_GB2312" w:hAnsi="等线" w:eastAsia="楷体_GB2312"/>
          <w:szCs w:val="22"/>
        </w:rPr>
        <w:t>（一）冠军企业保障方案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073"/>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156" w:type="dxa"/>
            <w:vAlign w:val="center"/>
          </w:tcPr>
          <w:p>
            <w:pPr>
              <w:adjustRightInd w:val="0"/>
              <w:snapToGrid w:val="0"/>
              <w:spacing w:line="240" w:lineRule="auto"/>
              <w:ind w:firstLine="643" w:firstLineChars="200"/>
              <w:jc w:val="both"/>
              <w:rPr>
                <w:rFonts w:ascii="仿宋_GB2312" w:hAnsi="等线"/>
                <w:b/>
                <w:szCs w:val="22"/>
              </w:rPr>
            </w:pPr>
            <w:r>
              <w:rPr>
                <w:rFonts w:hint="eastAsia" w:ascii="仿宋_GB2312" w:hAnsi="等线"/>
                <w:b/>
                <w:szCs w:val="22"/>
              </w:rPr>
              <w:t>项目</w:t>
            </w:r>
          </w:p>
        </w:tc>
        <w:tc>
          <w:tcPr>
            <w:tcW w:w="307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内容</w:t>
            </w:r>
          </w:p>
        </w:tc>
        <w:tc>
          <w:tcPr>
            <w:tcW w:w="329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累计及每次赔偿限额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2156" w:type="dxa"/>
            <w:vMerge w:val="restart"/>
            <w:vAlign w:val="center"/>
          </w:tcPr>
          <w:p>
            <w:pPr>
              <w:adjustRightInd w:val="0"/>
              <w:snapToGrid w:val="0"/>
              <w:spacing w:line="240" w:lineRule="auto"/>
              <w:jc w:val="center"/>
              <w:rPr>
                <w:rFonts w:ascii="仿宋_GB2312" w:hAnsi="等线"/>
                <w:szCs w:val="22"/>
              </w:rPr>
            </w:pPr>
            <w:r>
              <w:rPr>
                <w:rFonts w:hint="eastAsia" w:ascii="仿宋_GB2312" w:hAnsi="等线"/>
                <w:szCs w:val="22"/>
              </w:rPr>
              <w:t>专利执行保险</w:t>
            </w: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调查费用</w:t>
            </w:r>
          </w:p>
          <w:p>
            <w:pPr>
              <w:adjustRightInd w:val="0"/>
              <w:snapToGrid w:val="0"/>
              <w:spacing w:line="240" w:lineRule="auto"/>
              <w:jc w:val="center"/>
              <w:rPr>
                <w:rFonts w:ascii="仿宋_GB2312" w:hAnsi="等线"/>
                <w:szCs w:val="22"/>
              </w:rPr>
            </w:pPr>
            <w:r>
              <w:rPr>
                <w:rFonts w:hint="eastAsia" w:ascii="仿宋_GB2312" w:hAnsi="等线"/>
                <w:szCs w:val="22"/>
              </w:rPr>
              <w:t>（含物证费用）</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2156" w:type="dxa"/>
            <w:vMerge w:val="continue"/>
            <w:vAlign w:val="center"/>
          </w:tcPr>
          <w:p>
            <w:pPr>
              <w:adjustRightInd w:val="0"/>
              <w:snapToGrid w:val="0"/>
              <w:spacing w:line="240" w:lineRule="auto"/>
              <w:ind w:firstLine="640" w:firstLineChars="200"/>
              <w:jc w:val="center"/>
              <w:rPr>
                <w:rFonts w:ascii="仿宋_GB2312" w:hAnsi="等线"/>
                <w:szCs w:val="22"/>
              </w:rPr>
            </w:pP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法律费用</w:t>
            </w:r>
          </w:p>
          <w:p>
            <w:pPr>
              <w:adjustRightInd w:val="0"/>
              <w:snapToGrid w:val="0"/>
              <w:spacing w:line="240" w:lineRule="auto"/>
              <w:jc w:val="center"/>
              <w:rPr>
                <w:rFonts w:ascii="仿宋_GB2312" w:hAnsi="等线"/>
                <w:szCs w:val="22"/>
              </w:rPr>
            </w:pPr>
            <w:r>
              <w:rPr>
                <w:rFonts w:hint="eastAsia" w:ascii="仿宋_GB2312" w:hAnsi="等线"/>
                <w:szCs w:val="22"/>
              </w:rPr>
              <w:t>（含无效费用损失）</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专利被侵权</w:t>
            </w:r>
          </w:p>
          <w:p>
            <w:pPr>
              <w:adjustRightInd w:val="0"/>
              <w:snapToGrid w:val="0"/>
              <w:spacing w:line="240" w:lineRule="auto"/>
              <w:jc w:val="center"/>
              <w:rPr>
                <w:rFonts w:ascii="仿宋_GB2312" w:hAnsi="等线"/>
                <w:szCs w:val="22"/>
              </w:rPr>
            </w:pPr>
            <w:r>
              <w:rPr>
                <w:rFonts w:hint="eastAsia" w:ascii="仿宋_GB2312" w:hAnsi="等线"/>
                <w:szCs w:val="22"/>
              </w:rPr>
              <w:t>损失保险</w:t>
            </w: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直接经济损失</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免赔额（率）</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保险期限</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每件专利保费</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2.5万元</w:t>
            </w:r>
          </w:p>
        </w:tc>
      </w:tr>
    </w:tbl>
    <w:p>
      <w:pPr>
        <w:adjustRightInd w:val="0"/>
        <w:snapToGrid w:val="0"/>
        <w:ind w:firstLine="640" w:firstLineChars="200"/>
        <w:rPr>
          <w:rFonts w:ascii="楷体_GB2312" w:hAnsi="等线" w:eastAsia="楷体_GB2312"/>
          <w:szCs w:val="22"/>
        </w:rPr>
      </w:pPr>
      <w:r>
        <w:rPr>
          <w:rFonts w:hint="eastAsia" w:ascii="楷体_GB2312" w:hAnsi="等线" w:eastAsia="楷体_GB2312"/>
          <w:szCs w:val="22"/>
        </w:rPr>
        <w:t>（二）重点领域中小微企业保障方案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193"/>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2156"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项目</w:t>
            </w:r>
          </w:p>
        </w:tc>
        <w:tc>
          <w:tcPr>
            <w:tcW w:w="319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内容</w:t>
            </w:r>
          </w:p>
        </w:tc>
        <w:tc>
          <w:tcPr>
            <w:tcW w:w="317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累计及每次赔偿限额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2156" w:type="dxa"/>
            <w:vMerge w:val="restart"/>
            <w:vAlign w:val="center"/>
          </w:tcPr>
          <w:p>
            <w:pPr>
              <w:adjustRightInd w:val="0"/>
              <w:snapToGrid w:val="0"/>
              <w:spacing w:line="240" w:lineRule="auto"/>
              <w:jc w:val="center"/>
              <w:rPr>
                <w:rFonts w:ascii="仿宋_GB2312" w:hAnsi="等线"/>
                <w:szCs w:val="22"/>
              </w:rPr>
            </w:pPr>
            <w:r>
              <w:rPr>
                <w:rFonts w:hint="eastAsia" w:ascii="仿宋_GB2312" w:hAnsi="等线"/>
                <w:szCs w:val="22"/>
              </w:rPr>
              <w:t>专利执行保险</w:t>
            </w: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调查费用</w:t>
            </w:r>
          </w:p>
          <w:p>
            <w:pPr>
              <w:adjustRightInd w:val="0"/>
              <w:snapToGrid w:val="0"/>
              <w:spacing w:line="240" w:lineRule="auto"/>
              <w:jc w:val="center"/>
              <w:rPr>
                <w:rFonts w:ascii="仿宋_GB2312" w:hAnsi="等线"/>
                <w:szCs w:val="22"/>
              </w:rPr>
            </w:pPr>
            <w:r>
              <w:rPr>
                <w:rFonts w:hint="eastAsia" w:ascii="仿宋_GB2312" w:hAnsi="等线"/>
                <w:szCs w:val="22"/>
              </w:rPr>
              <w:t>（含物证费用）</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2156" w:type="dxa"/>
            <w:vMerge w:val="continue"/>
            <w:vAlign w:val="center"/>
          </w:tcPr>
          <w:p>
            <w:pPr>
              <w:adjustRightInd w:val="0"/>
              <w:snapToGrid w:val="0"/>
              <w:spacing w:line="240" w:lineRule="auto"/>
              <w:jc w:val="center"/>
              <w:rPr>
                <w:rFonts w:ascii="仿宋_GB2312" w:hAnsi="等线"/>
                <w:szCs w:val="22"/>
              </w:rPr>
            </w:pP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法律费用</w:t>
            </w:r>
          </w:p>
          <w:p>
            <w:pPr>
              <w:adjustRightInd w:val="0"/>
              <w:snapToGrid w:val="0"/>
              <w:spacing w:line="240" w:lineRule="auto"/>
              <w:jc w:val="center"/>
              <w:rPr>
                <w:rFonts w:ascii="仿宋_GB2312" w:hAnsi="等线"/>
                <w:szCs w:val="22"/>
              </w:rPr>
            </w:pPr>
            <w:r>
              <w:rPr>
                <w:rFonts w:hint="eastAsia" w:ascii="仿宋_GB2312" w:hAnsi="等线"/>
                <w:szCs w:val="22"/>
              </w:rPr>
              <w:t>（含无效诉讼费用）</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专利被侵权损失保险</w:t>
            </w: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直接损失</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免赔额（率）</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保险期限</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每件专利保费</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1万元</w:t>
            </w:r>
          </w:p>
        </w:tc>
      </w:tr>
    </w:tbl>
    <w:p>
      <w:pPr>
        <w:adjustRightInd w:val="0"/>
        <w:snapToGrid w:val="0"/>
        <w:ind w:firstLine="640" w:firstLineChars="200"/>
        <w:jc w:val="both"/>
        <w:rPr>
          <w:rFonts w:ascii="黑体" w:hAnsi="黑体" w:eastAsia="黑体"/>
          <w:szCs w:val="22"/>
        </w:rPr>
      </w:pPr>
      <w:r>
        <w:rPr>
          <w:rFonts w:hint="eastAsia" w:ascii="黑体" w:hAnsi="黑体" w:eastAsia="黑体"/>
          <w:szCs w:val="22"/>
        </w:rPr>
        <w:t>四</w:t>
      </w:r>
      <w:r>
        <w:rPr>
          <w:rFonts w:ascii="黑体" w:hAnsi="黑体" w:eastAsia="黑体"/>
          <w:szCs w:val="22"/>
        </w:rPr>
        <w:t>、</w:t>
      </w:r>
      <w:r>
        <w:rPr>
          <w:rFonts w:hint="eastAsia" w:ascii="黑体" w:hAnsi="黑体" w:eastAsia="黑体"/>
          <w:szCs w:val="22"/>
        </w:rPr>
        <w:t>理赔流程</w:t>
      </w:r>
    </w:p>
    <w:p>
      <w:pPr>
        <w:adjustRightInd w:val="0"/>
        <w:snapToGrid w:val="0"/>
        <w:ind w:firstLine="640" w:firstLineChars="200"/>
        <w:jc w:val="both"/>
        <w:rPr>
          <w:rFonts w:hint="eastAsia" w:ascii="楷体_GB2312" w:hAnsi="等线" w:eastAsia="楷体_GB2312"/>
          <w:b/>
          <w:bCs/>
          <w:szCs w:val="22"/>
        </w:rPr>
      </w:pPr>
      <w:r>
        <w:rPr>
          <w:rFonts w:hint="eastAsia" w:ascii="楷体_GB2312" w:hAnsi="等线" w:eastAsia="楷体_GB2312"/>
          <w:szCs w:val="22"/>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13970</wp:posOffset>
            </wp:positionV>
            <wp:extent cx="5775325" cy="2196465"/>
            <wp:effectExtent l="0" t="0" r="15875" b="13335"/>
            <wp:wrapTopAndBottom/>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5775325" cy="2196465"/>
                    </a:xfrm>
                    <a:prstGeom prst="rect">
                      <a:avLst/>
                    </a:prstGeom>
                  </pic:spPr>
                </pic:pic>
              </a:graphicData>
            </a:graphic>
          </wp:anchor>
        </w:drawing>
      </w:r>
      <w:r>
        <w:rPr>
          <w:rFonts w:hint="eastAsia" w:ascii="楷体_GB2312" w:hAnsi="等线" w:eastAsia="楷体_GB2312"/>
          <w:szCs w:val="22"/>
        </w:rPr>
        <w:t>（一）出险报案</w:t>
      </w:r>
    </w:p>
    <w:p>
      <w:pPr>
        <w:adjustRightInd w:val="0"/>
        <w:snapToGrid w:val="0"/>
        <w:ind w:firstLine="640" w:firstLineChars="200"/>
        <w:jc w:val="both"/>
        <w:rPr>
          <w:rFonts w:ascii="仿宋_GB2312" w:hAnsi="等线"/>
          <w:szCs w:val="22"/>
        </w:rPr>
      </w:pPr>
      <w:r>
        <w:rPr>
          <w:rFonts w:hint="eastAsia" w:ascii="仿宋_GB2312" w:hAnsi="等线"/>
          <w:szCs w:val="22"/>
        </w:rPr>
        <w:t>被保障企业发现侵权问题后，向保险公司进行电话报案情况说明，太平洋财险公司设置了7*24小时95500报案专线，同时也可向各属地知识产权服务专员进行报案沟通。</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（二）诉讼服务</w:t>
      </w:r>
    </w:p>
    <w:p>
      <w:pPr>
        <w:adjustRightInd w:val="0"/>
        <w:snapToGrid w:val="0"/>
        <w:ind w:firstLine="640" w:firstLineChars="200"/>
        <w:jc w:val="both"/>
        <w:rPr>
          <w:rFonts w:ascii="仿宋_GB2312" w:hAnsi="等线"/>
          <w:szCs w:val="22"/>
        </w:rPr>
      </w:pPr>
      <w:r>
        <w:rPr>
          <w:rFonts w:hint="eastAsia" w:ascii="仿宋_GB2312" w:hAnsi="等线"/>
          <w:szCs w:val="22"/>
        </w:rPr>
        <w:t>当企业有指定服务律所，将由指定律所进行诉前评估，保险公司将跟进诉讼情况。</w:t>
      </w:r>
    </w:p>
    <w:p>
      <w:pPr>
        <w:adjustRightInd w:val="0"/>
        <w:snapToGrid w:val="0"/>
        <w:ind w:firstLine="640" w:firstLineChars="200"/>
        <w:jc w:val="both"/>
        <w:rPr>
          <w:rFonts w:ascii="仿宋_GB2312" w:hAnsi="等线"/>
          <w:szCs w:val="22"/>
        </w:rPr>
      </w:pPr>
      <w:r>
        <w:rPr>
          <w:rFonts w:hint="eastAsia" w:ascii="仿宋_GB2312" w:hAnsi="等线"/>
          <w:szCs w:val="22"/>
        </w:rPr>
        <w:t>如企业无知识产权服务律所，保险公司将推荐专业知识产权服务律所，帮助企业进行诉讼咨询与维权。</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（三）执行保险赔付</w:t>
      </w:r>
    </w:p>
    <w:p>
      <w:pPr>
        <w:adjustRightInd w:val="0"/>
        <w:snapToGrid w:val="0"/>
        <w:ind w:firstLine="640" w:firstLineChars="200"/>
        <w:jc w:val="both"/>
        <w:rPr>
          <w:rFonts w:ascii="仿宋_GB2312" w:hAnsi="等线"/>
          <w:szCs w:val="22"/>
        </w:rPr>
      </w:pPr>
      <w:r>
        <w:rPr>
          <w:rFonts w:hint="eastAsia" w:ascii="仿宋_GB2312" w:hAnsi="等线"/>
          <w:szCs w:val="22"/>
        </w:rPr>
        <w:t>当维权请求受到行政主管部门立案或受理后，企业可提供立案证明及相关诉讼、调查费用等相关凭证，保险公司将按照保险合同约定进行专利执行保险赔付。</w:t>
      </w:r>
    </w:p>
    <w:p>
      <w:pPr>
        <w:adjustRightInd w:val="0"/>
        <w:snapToGrid w:val="0"/>
        <w:ind w:firstLine="640" w:firstLineChars="200"/>
        <w:jc w:val="both"/>
        <w:rPr>
          <w:rFonts w:ascii="仿宋_GB2312" w:hAnsi="等线"/>
          <w:szCs w:val="22"/>
        </w:rPr>
      </w:pPr>
      <w:r>
        <w:rPr>
          <w:rFonts w:hint="eastAsia" w:ascii="仿宋_GB2312" w:hAnsi="等线"/>
          <w:szCs w:val="22"/>
        </w:rPr>
        <w:t>若在维权过程中专利被提起专利无效宣告请求，且最终被国务院专利行政部门宣告无效，保险公司将按照合同约定，对专利被宣告无效导致的费用损失进行赔付。</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（四）被侵权损失保险赔付</w:t>
      </w:r>
    </w:p>
    <w:p>
      <w:pPr>
        <w:adjustRightInd w:val="0"/>
        <w:snapToGrid w:val="0"/>
        <w:ind w:firstLine="640" w:firstLineChars="200"/>
        <w:jc w:val="both"/>
        <w:rPr>
          <w:rFonts w:ascii="仿宋_GB2312" w:hAnsi="等线"/>
          <w:szCs w:val="22"/>
        </w:rPr>
      </w:pPr>
      <w:r>
        <w:rPr>
          <w:rFonts w:hint="eastAsia" w:ascii="仿宋_GB2312" w:hAnsi="等线"/>
          <w:szCs w:val="22"/>
        </w:rPr>
        <w:t>当最终侵权损失裁定结果生效后，企业可提供法院判决、裁决书书面处理结果等相关证明材料，保险公司按照保险合同约定进行专利被侵权损失保险赔付。</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（五）代位追偿</w:t>
      </w:r>
    </w:p>
    <w:p>
      <w:pPr>
        <w:adjustRightInd w:val="0"/>
        <w:snapToGrid w:val="0"/>
        <w:ind w:firstLine="640" w:firstLineChars="200"/>
        <w:jc w:val="both"/>
        <w:rPr>
          <w:rFonts w:hint="eastAsia" w:ascii="仿宋_GB2312" w:hAnsi="等线"/>
          <w:szCs w:val="22"/>
        </w:rPr>
      </w:pPr>
      <w:r>
        <w:rPr>
          <w:rFonts w:hint="eastAsia" w:ascii="仿宋_GB2312" w:hAnsi="等线"/>
          <w:szCs w:val="22"/>
        </w:rPr>
        <w:t>为充分保障企业权益，震慑侵权方，企业需提供权益转让书并协助保险公司进行追偿，打击不法侵权行为，避免再次进行侵权。</w:t>
      </w:r>
    </w:p>
    <w:p>
      <w:pPr>
        <w:widowControl w:val="0"/>
        <w:adjustRightInd w:val="0"/>
        <w:snapToGrid w:val="0"/>
        <w:ind w:firstLine="640" w:firstLineChars="200"/>
        <w:jc w:val="both"/>
        <w:rPr>
          <w:rFonts w:ascii="黑体" w:hAnsi="黑体" w:eastAsia="黑体"/>
          <w:szCs w:val="22"/>
        </w:rPr>
      </w:pPr>
      <w:r>
        <w:rPr>
          <w:rFonts w:hint="eastAsia" w:ascii="黑体" w:hAnsi="黑体" w:eastAsia="黑体"/>
          <w:szCs w:val="22"/>
        </w:rPr>
        <w:t>五</w:t>
      </w:r>
      <w:r>
        <w:rPr>
          <w:rFonts w:ascii="黑体" w:hAnsi="黑体" w:eastAsia="黑体"/>
          <w:szCs w:val="22"/>
        </w:rPr>
        <w:t>、咨询方式</w:t>
      </w:r>
    </w:p>
    <w:p>
      <w:pPr>
        <w:adjustRightInd w:val="0"/>
        <w:snapToGrid w:val="0"/>
        <w:ind w:firstLine="640" w:firstLineChars="200"/>
        <w:jc w:val="both"/>
        <w:rPr>
          <w:rFonts w:ascii="仿宋_GB2312" w:hAnsi="等线"/>
          <w:szCs w:val="22"/>
        </w:rPr>
      </w:pPr>
      <w:r>
        <w:rPr>
          <w:rFonts w:hint="eastAsia" w:ascii="仿宋_GB2312" w:hAnsi="等线"/>
          <w:szCs w:val="22"/>
        </w:rPr>
        <w:t>昌平区、延庆区负责人：史亚楠</w:t>
      </w:r>
    </w:p>
    <w:p>
      <w:pPr>
        <w:adjustRightInd w:val="0"/>
        <w:snapToGrid w:val="0"/>
        <w:ind w:firstLine="640" w:firstLineChars="200"/>
        <w:jc w:val="both"/>
        <w:rPr>
          <w:rFonts w:ascii="仿宋_GB2312" w:hAnsi="等线"/>
          <w:szCs w:val="22"/>
        </w:rPr>
      </w:pPr>
      <w:r>
        <w:rPr>
          <w:rFonts w:hint="eastAsia" w:ascii="仿宋_GB2312" w:hAnsi="等线"/>
          <w:szCs w:val="22"/>
        </w:rPr>
        <w:t>联系电话：18600871456</w:t>
      </w:r>
    </w:p>
    <w:p>
      <w:pPr>
        <w:adjustRightInd w:val="0"/>
        <w:snapToGrid w:val="0"/>
        <w:ind w:firstLine="640" w:firstLineChars="200"/>
        <w:jc w:val="both"/>
        <w:rPr>
          <w:rFonts w:ascii="仿宋_GB2312" w:hAnsi="等线"/>
          <w:szCs w:val="22"/>
        </w:rPr>
      </w:pPr>
      <w:r>
        <w:rPr>
          <w:rFonts w:hint="eastAsia" w:ascii="仿宋_GB2312" w:hAnsi="等线"/>
          <w:szCs w:val="22"/>
        </w:rPr>
        <w:t>电子邮箱：shiyanan@cpic.com.cn</w:t>
      </w:r>
    </w:p>
    <w:p>
      <w:pPr>
        <w:adjustRightInd w:val="0"/>
        <w:snapToGrid w:val="0"/>
        <w:ind w:firstLine="640" w:firstLineChars="200"/>
        <w:jc w:val="both"/>
        <w:rPr>
          <w:rFonts w:ascii="仿宋_GB2312" w:hAnsi="等线"/>
          <w:szCs w:val="22"/>
        </w:rPr>
      </w:pPr>
      <w:r>
        <w:rPr>
          <w:rFonts w:hint="eastAsia" w:ascii="仿宋_GB2312" w:hAnsi="等线"/>
          <w:szCs w:val="22"/>
        </w:rPr>
        <w:t>地址：北京市房山区良乡超级蜂巢7号楼601</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房山区、门头沟区负责人：段晴微</w:t>
      </w:r>
    </w:p>
    <w:p>
      <w:pPr>
        <w:adjustRightInd w:val="0"/>
        <w:snapToGrid w:val="0"/>
        <w:ind w:firstLine="640" w:firstLineChars="200"/>
        <w:jc w:val="both"/>
        <w:rPr>
          <w:rFonts w:ascii="仿宋_GB2312" w:hAnsi="等线"/>
          <w:szCs w:val="22"/>
        </w:rPr>
      </w:pPr>
      <w:r>
        <w:rPr>
          <w:rFonts w:hint="eastAsia" w:ascii="仿宋_GB2312" w:hAnsi="等线"/>
          <w:szCs w:val="22"/>
        </w:rPr>
        <w:t>联系电话：13811098894</w:t>
      </w:r>
    </w:p>
    <w:p>
      <w:pPr>
        <w:adjustRightInd w:val="0"/>
        <w:snapToGrid w:val="0"/>
        <w:ind w:firstLine="640" w:firstLineChars="200"/>
        <w:jc w:val="both"/>
        <w:rPr>
          <w:rFonts w:ascii="仿宋_GB2312" w:hAnsi="等线"/>
          <w:szCs w:val="22"/>
        </w:rPr>
      </w:pPr>
      <w:r>
        <w:rPr>
          <w:rFonts w:hint="eastAsia" w:ascii="仿宋_GB2312" w:hAnsi="等线"/>
          <w:szCs w:val="22"/>
        </w:rPr>
        <w:t>电子邮箱：</w:t>
      </w:r>
      <w:r>
        <w:fldChar w:fldCharType="begin"/>
      </w:r>
      <w:r>
        <w:instrText xml:space="preserve"> HYPERLINK "mailto:duanqingwei@cpic.com.cn" </w:instrText>
      </w:r>
      <w:r>
        <w:fldChar w:fldCharType="separate"/>
      </w:r>
      <w:r>
        <w:rPr>
          <w:rFonts w:hint="eastAsia" w:ascii="仿宋_GB2312" w:hAnsi="等线"/>
          <w:szCs w:val="22"/>
        </w:rPr>
        <w:t>duanqingwei@cpic.com.cn</w:t>
      </w:r>
      <w:r>
        <w:rPr>
          <w:rFonts w:hint="eastAsia" w:ascii="仿宋_GB2312" w:hAnsi="等线"/>
          <w:szCs w:val="22"/>
        </w:rPr>
        <w:fldChar w:fldCharType="end"/>
      </w:r>
    </w:p>
    <w:p>
      <w:pPr>
        <w:adjustRightInd w:val="0"/>
        <w:snapToGrid w:val="0"/>
        <w:ind w:firstLine="640" w:firstLineChars="200"/>
        <w:jc w:val="both"/>
        <w:rPr>
          <w:rFonts w:ascii="仿宋_GB2312" w:hAnsi="等线"/>
          <w:szCs w:val="22"/>
        </w:rPr>
      </w:pPr>
      <w:r>
        <w:rPr>
          <w:rFonts w:hint="eastAsia" w:ascii="仿宋_GB2312" w:hAnsi="等线"/>
          <w:szCs w:val="22"/>
        </w:rPr>
        <w:t>地址：北京市房山区良乡超级蜂巢7号楼601</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怀柔区负责人：郝琪</w:t>
      </w:r>
    </w:p>
    <w:p>
      <w:pPr>
        <w:adjustRightInd w:val="0"/>
        <w:snapToGrid w:val="0"/>
        <w:ind w:firstLine="640" w:firstLineChars="200"/>
        <w:jc w:val="both"/>
        <w:rPr>
          <w:rFonts w:ascii="仿宋_GB2312" w:hAnsi="等线"/>
          <w:szCs w:val="22"/>
        </w:rPr>
      </w:pPr>
      <w:r>
        <w:rPr>
          <w:rFonts w:hint="eastAsia" w:ascii="仿宋_GB2312" w:hAnsi="等线"/>
          <w:szCs w:val="22"/>
        </w:rPr>
        <w:t>联系电话：13466604850</w:t>
      </w:r>
    </w:p>
    <w:p>
      <w:pPr>
        <w:adjustRightInd w:val="0"/>
        <w:snapToGrid w:val="0"/>
        <w:ind w:firstLine="640" w:firstLineChars="200"/>
        <w:jc w:val="both"/>
        <w:rPr>
          <w:rFonts w:ascii="仿宋_GB2312" w:hAnsi="等线"/>
          <w:szCs w:val="22"/>
        </w:rPr>
      </w:pPr>
      <w:r>
        <w:rPr>
          <w:rFonts w:hint="eastAsia" w:ascii="仿宋_GB2312" w:hAnsi="等线"/>
          <w:szCs w:val="22"/>
        </w:rPr>
        <w:t>电子邮箱：haoqibj@cpic.com.cn</w:t>
      </w:r>
    </w:p>
    <w:p>
      <w:pPr>
        <w:adjustRightInd w:val="0"/>
        <w:snapToGrid w:val="0"/>
        <w:ind w:firstLine="640" w:firstLineChars="200"/>
        <w:jc w:val="both"/>
        <w:rPr>
          <w:rFonts w:ascii="仿宋_GB2312" w:hAnsi="等线"/>
          <w:szCs w:val="22"/>
        </w:rPr>
      </w:pPr>
      <w:r>
        <w:rPr>
          <w:rFonts w:hint="eastAsia" w:ascii="仿宋_GB2312" w:hAnsi="等线"/>
          <w:szCs w:val="22"/>
        </w:rPr>
        <w:t>地址：丰台区南四环西路汉威国际广场三区3号楼5层</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产品负责人：吴迪</w:t>
      </w:r>
    </w:p>
    <w:p>
      <w:pPr>
        <w:adjustRightInd w:val="0"/>
        <w:snapToGrid w:val="0"/>
        <w:ind w:firstLine="640" w:firstLineChars="200"/>
        <w:jc w:val="both"/>
        <w:rPr>
          <w:rFonts w:ascii="仿宋_GB2312" w:hAnsi="等线"/>
          <w:szCs w:val="22"/>
        </w:rPr>
      </w:pPr>
      <w:r>
        <w:rPr>
          <w:rFonts w:hint="eastAsia" w:ascii="仿宋_GB2312" w:hAnsi="等线"/>
          <w:szCs w:val="22"/>
        </w:rPr>
        <w:t>联系电话：15822246209</w:t>
      </w:r>
    </w:p>
    <w:p>
      <w:pPr>
        <w:adjustRightInd w:val="0"/>
        <w:snapToGrid w:val="0"/>
        <w:ind w:firstLine="640" w:firstLineChars="200"/>
        <w:jc w:val="both"/>
        <w:rPr>
          <w:rFonts w:ascii="仿宋_GB2312" w:hAnsi="等线"/>
          <w:szCs w:val="22"/>
        </w:rPr>
      </w:pPr>
      <w:r>
        <w:rPr>
          <w:rFonts w:hint="eastAsia" w:ascii="仿宋_GB2312" w:hAnsi="等线"/>
          <w:szCs w:val="22"/>
        </w:rPr>
        <w:t>电子邮箱：wudi-054@cpic.com.cn</w:t>
      </w:r>
    </w:p>
    <w:p>
      <w:pPr>
        <w:adjustRightInd w:val="0"/>
        <w:snapToGrid w:val="0"/>
        <w:ind w:firstLine="640" w:firstLineChars="200"/>
        <w:jc w:val="both"/>
        <w:rPr>
          <w:rFonts w:ascii="仿宋_GB2312" w:hAnsi="等线"/>
          <w:szCs w:val="22"/>
        </w:rPr>
      </w:pPr>
      <w:r>
        <w:rPr>
          <w:rFonts w:hint="eastAsia" w:ascii="仿宋_GB2312" w:hAnsi="等线"/>
          <w:szCs w:val="22"/>
        </w:rPr>
        <w:t>地址：西城区复兴门内大街1</w:t>
      </w:r>
      <w:r>
        <w:rPr>
          <w:rFonts w:ascii="仿宋_GB2312" w:hAnsi="等线"/>
          <w:szCs w:val="22"/>
        </w:rPr>
        <w:t>58号</w:t>
      </w:r>
      <w:r>
        <w:rPr>
          <w:rFonts w:hint="eastAsia" w:ascii="仿宋_GB2312" w:hAnsi="等线"/>
          <w:szCs w:val="22"/>
        </w:rPr>
        <w:t>远洋大厦F6层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EC"/>
    <w:rsid w:val="002B4FEC"/>
    <w:rsid w:val="00907A2E"/>
    <w:rsid w:val="00E0667C"/>
    <w:rsid w:val="2BDF1726"/>
    <w:rsid w:val="53FD9875"/>
    <w:rsid w:val="6DD3A6C3"/>
    <w:rsid w:val="E3D9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imes New Roman"/>
      <w:kern w:val="2"/>
      <w:sz w:val="32"/>
      <w:szCs w:val="4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qFormat/>
    <w:uiPriority w:val="0"/>
    <w:rPr>
      <w:color w:val="0000FF"/>
      <w:u w:val="single"/>
    </w:rPr>
  </w:style>
  <w:style w:type="table" w:customStyle="1" w:styleId="7">
    <w:name w:val="网格型1"/>
    <w:basedOn w:val="4"/>
    <w:qFormat/>
    <w:uiPriority w:val="39"/>
    <w:rPr>
      <w:rFonts w:eastAsia="仿宋_GB2312"/>
      <w:sz w:val="32"/>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5"/>
    <w:link w:val="3"/>
    <w:qFormat/>
    <w:uiPriority w:val="0"/>
    <w:rPr>
      <w:rFonts w:eastAsia="仿宋_GB2312"/>
      <w:kern w:val="2"/>
      <w:sz w:val="18"/>
      <w:szCs w:val="18"/>
    </w:rPr>
  </w:style>
  <w:style w:type="character" w:customStyle="1" w:styleId="9">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356</Words>
  <Characters>2033</Characters>
  <Lines>16</Lines>
  <Paragraphs>4</Paragraphs>
  <TotalTime>13</TotalTime>
  <ScaleCrop>false</ScaleCrop>
  <LinksUpToDate>false</LinksUpToDate>
  <CharactersWithSpaces>2385</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2022-06-03T04:03:00Z</dcterms:created>
  <dc:creator>CPIC</dc:creator>
  <cp:lastModifiedBy>WPS_1652845608</cp:lastModifiedBy>
  <dcterms:modified xsi:type="dcterms:W3CDTF">2022-06-02T21:39:44Z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BB44B944FD5DC4A27EBC9862238C04CB</vt:lpwstr>
  </property>
</Properties>
</file>