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outlineLvl w:val="1"/>
        <w:rPr>
          <w:rFonts w:ascii="黑体" w:hAnsi="黑体" w:eastAsia="黑体" w:cs="Times New Roman"/>
          <w:sz w:val="32"/>
          <w:szCs w:val="32"/>
        </w:rPr>
      </w:pPr>
      <w:r>
        <w:rPr>
          <w:rFonts w:hint="eastAsia" w:ascii="黑体" w:hAnsi="黑体" w:eastAsia="黑体" w:cs="Times New Roman"/>
          <w:sz w:val="32"/>
          <w:szCs w:val="32"/>
        </w:rPr>
        <w:t>附件</w:t>
      </w:r>
      <w:r>
        <w:rPr>
          <w:rFonts w:ascii="黑体" w:hAnsi="黑体" w:eastAsia="黑体" w:cs="Times New Roman"/>
          <w:sz w:val="32"/>
          <w:szCs w:val="32"/>
        </w:rPr>
        <w:t>2</w:t>
      </w:r>
    </w:p>
    <w:p>
      <w:pPr>
        <w:jc w:val="center"/>
        <w:rPr>
          <w:sz w:val="44"/>
          <w:szCs w:val="44"/>
        </w:rPr>
      </w:pPr>
    </w:p>
    <w:p>
      <w:pPr>
        <w:jc w:val="center"/>
        <w:rPr>
          <w:sz w:val="44"/>
          <w:szCs w:val="44"/>
        </w:rPr>
      </w:pPr>
    </w:p>
    <w:p>
      <w:pPr>
        <w:jc w:val="center"/>
        <w:rPr>
          <w:rFonts w:eastAsia="仿宋_GB2312"/>
          <w:sz w:val="44"/>
          <w:szCs w:val="44"/>
        </w:rPr>
      </w:pPr>
    </w:p>
    <w:p>
      <w:pPr>
        <w:widowControl/>
        <w:autoSpaceDE w:val="0"/>
        <w:autoSpaceDN w:val="0"/>
        <w:adjustRightInd w:val="0"/>
        <w:snapToGrid w:val="0"/>
        <w:spacing w:line="700" w:lineRule="exact"/>
        <w:jc w:val="center"/>
        <w:outlineLvl w:val="0"/>
        <w:rPr>
          <w:rFonts w:ascii="方正小标宋简体" w:hAnsi="方正小标宋简体" w:eastAsia="方正小标宋简体" w:cs="方正小标宋简体"/>
          <w:bCs/>
          <w:caps/>
          <w:sz w:val="44"/>
          <w:szCs w:val="44"/>
        </w:rPr>
      </w:pPr>
      <w:r>
        <w:rPr>
          <w:rFonts w:hint="eastAsia" w:ascii="方正小标宋简体" w:hAnsi="方正小标宋简体" w:eastAsia="方正小标宋简体" w:cs="方正小标宋简体"/>
          <w:bCs/>
          <w:caps/>
          <w:sz w:val="44"/>
          <w:szCs w:val="44"/>
        </w:rPr>
        <w:t>北京市2</w:t>
      </w:r>
      <w:r>
        <w:rPr>
          <w:rFonts w:ascii="方正小标宋简体" w:hAnsi="方正小标宋简体" w:eastAsia="方正小标宋简体" w:cs="方正小标宋简体"/>
          <w:bCs/>
          <w:caps/>
          <w:sz w:val="44"/>
          <w:szCs w:val="44"/>
        </w:rPr>
        <w:t>02</w:t>
      </w:r>
      <w:r>
        <w:rPr>
          <w:rFonts w:hint="eastAsia" w:ascii="方正小标宋简体" w:hAnsi="方正小标宋简体" w:eastAsia="方正小标宋简体" w:cs="方正小标宋简体"/>
          <w:bCs/>
          <w:caps/>
          <w:sz w:val="44"/>
          <w:szCs w:val="44"/>
          <w:lang w:val="en-US" w:eastAsia="zh-CN"/>
        </w:rPr>
        <w:t>2</w:t>
      </w:r>
      <w:r>
        <w:rPr>
          <w:rFonts w:hint="eastAsia" w:ascii="方正小标宋简体" w:hAnsi="方正小标宋简体" w:eastAsia="方正小标宋简体" w:cs="方正小标宋简体"/>
          <w:bCs/>
          <w:caps/>
          <w:sz w:val="44"/>
          <w:szCs w:val="44"/>
        </w:rPr>
        <w:t>年供应链金融服务</w:t>
      </w:r>
      <w:r>
        <w:rPr>
          <w:rFonts w:hint="eastAsia" w:ascii="方正小标宋简体" w:hAnsi="方正小标宋简体" w:eastAsia="方正小标宋简体" w:cs="方正小标宋简体"/>
          <w:bCs/>
          <w:caps/>
          <w:sz w:val="44"/>
          <w:szCs w:val="44"/>
          <w:lang w:eastAsia="zh-CN"/>
        </w:rPr>
        <w:t>合作</w:t>
      </w:r>
      <w:r>
        <w:rPr>
          <w:rFonts w:hint="eastAsia" w:ascii="方正小标宋简体" w:hAnsi="方正小标宋简体" w:eastAsia="方正小标宋简体" w:cs="方正小标宋简体"/>
          <w:bCs/>
          <w:caps/>
          <w:sz w:val="44"/>
          <w:szCs w:val="44"/>
        </w:rPr>
        <w:t>平台</w:t>
      </w:r>
    </w:p>
    <w:p>
      <w:pPr>
        <w:widowControl/>
        <w:autoSpaceDE w:val="0"/>
        <w:autoSpaceDN w:val="0"/>
        <w:adjustRightInd w:val="0"/>
        <w:snapToGrid w:val="0"/>
        <w:spacing w:line="700" w:lineRule="exact"/>
        <w:jc w:val="center"/>
        <w:outlineLvl w:val="0"/>
        <w:rPr>
          <w:rFonts w:ascii="方正小标宋简体" w:hAnsi="方正小标宋简体" w:eastAsia="方正小标宋简体" w:cs="方正小标宋简体"/>
          <w:bCs/>
          <w:caps/>
          <w:sz w:val="44"/>
          <w:szCs w:val="44"/>
        </w:rPr>
      </w:pPr>
      <w:r>
        <w:rPr>
          <w:rFonts w:hint="eastAsia" w:ascii="方正小标宋简体" w:hAnsi="方正小标宋简体" w:eastAsia="方正小标宋简体" w:cs="方正小标宋简体"/>
          <w:bCs/>
          <w:caps/>
          <w:sz w:val="44"/>
          <w:szCs w:val="44"/>
        </w:rPr>
        <w:t>支持北京市重点产业链供应链高质量发展</w:t>
      </w:r>
    </w:p>
    <w:p>
      <w:pPr>
        <w:widowControl/>
        <w:autoSpaceDE w:val="0"/>
        <w:autoSpaceDN w:val="0"/>
        <w:adjustRightInd w:val="0"/>
        <w:snapToGrid w:val="0"/>
        <w:spacing w:line="700" w:lineRule="exact"/>
        <w:jc w:val="center"/>
        <w:outlineLvl w:val="0"/>
        <w:rPr>
          <w:rFonts w:ascii="方正小标宋简体" w:hAnsi="方正小标宋简体" w:eastAsia="方正小标宋简体" w:cs="方正小标宋简体"/>
          <w:bCs/>
          <w:caps/>
          <w:sz w:val="44"/>
          <w:szCs w:val="44"/>
        </w:rPr>
      </w:pPr>
      <w:r>
        <w:rPr>
          <w:rFonts w:hint="eastAsia" w:ascii="方正小标宋简体" w:hAnsi="方正小标宋简体" w:eastAsia="方正小标宋简体" w:cs="方正小标宋简体"/>
          <w:bCs/>
          <w:caps/>
          <w:sz w:val="44"/>
          <w:szCs w:val="44"/>
        </w:rPr>
        <w:t>平台服务方案</w:t>
      </w:r>
    </w:p>
    <w:p>
      <w:pPr>
        <w:jc w:val="center"/>
        <w:rPr>
          <w:rFonts w:eastAsia="楷体_GB2312"/>
          <w:b/>
          <w:sz w:val="72"/>
          <w:szCs w:val="20"/>
        </w:rPr>
      </w:pPr>
    </w:p>
    <w:p>
      <w:pPr>
        <w:jc w:val="center"/>
        <w:rPr>
          <w:rFonts w:eastAsia="楷体_GB2312"/>
          <w:b/>
          <w:sz w:val="24"/>
          <w:szCs w:val="20"/>
        </w:rPr>
      </w:pPr>
    </w:p>
    <w:p>
      <w:pPr>
        <w:jc w:val="center"/>
        <w:rPr>
          <w:rFonts w:eastAsia="楷体_GB2312"/>
          <w:b/>
          <w:sz w:val="24"/>
          <w:szCs w:val="20"/>
        </w:rPr>
      </w:pPr>
    </w:p>
    <w:p>
      <w:pPr>
        <w:jc w:val="center"/>
        <w:rPr>
          <w:rFonts w:eastAsia="楷体_GB2312"/>
          <w:b/>
          <w:sz w:val="24"/>
          <w:szCs w:val="20"/>
        </w:rPr>
      </w:pPr>
    </w:p>
    <w:p>
      <w:pPr>
        <w:jc w:val="center"/>
        <w:rPr>
          <w:rFonts w:eastAsia="楷体_GB2312"/>
          <w:b/>
          <w:sz w:val="24"/>
          <w:szCs w:val="20"/>
        </w:rPr>
      </w:pPr>
    </w:p>
    <w:p>
      <w:pPr>
        <w:jc w:val="center"/>
        <w:rPr>
          <w:rFonts w:eastAsia="楷体_GB2312"/>
          <w:b/>
          <w:sz w:val="24"/>
          <w:szCs w:val="20"/>
        </w:rPr>
      </w:pPr>
    </w:p>
    <w:p>
      <w:pPr>
        <w:jc w:val="center"/>
        <w:rPr>
          <w:rFonts w:eastAsia="楷体_GB2312"/>
          <w:b/>
          <w:sz w:val="24"/>
          <w:szCs w:val="20"/>
        </w:rPr>
      </w:pPr>
    </w:p>
    <w:p>
      <w:pPr>
        <w:rPr>
          <w:rFonts w:eastAsia="楷体_GB2312"/>
          <w:b/>
          <w:sz w:val="24"/>
          <w:szCs w:val="20"/>
        </w:rPr>
      </w:pPr>
    </w:p>
    <w:p>
      <w:pPr>
        <w:rPr>
          <w:rFonts w:eastAsia="楷体_GB2312"/>
          <w:b/>
          <w:sz w:val="24"/>
          <w:szCs w:val="20"/>
        </w:rPr>
      </w:pPr>
    </w:p>
    <w:p>
      <w:pPr>
        <w:rPr>
          <w:rFonts w:eastAsia="楷体_GB2312"/>
          <w:b/>
          <w:sz w:val="24"/>
          <w:szCs w:val="20"/>
        </w:rPr>
      </w:pPr>
    </w:p>
    <w:p>
      <w:pPr>
        <w:rPr>
          <w:rFonts w:eastAsia="楷体_GB2312"/>
          <w:b/>
          <w:sz w:val="24"/>
          <w:szCs w:val="20"/>
        </w:rPr>
      </w:pPr>
    </w:p>
    <w:p>
      <w:pPr>
        <w:spacing w:line="900" w:lineRule="exact"/>
        <w:ind w:firstLine="960" w:firstLineChars="300"/>
        <w:jc w:val="left"/>
        <w:rPr>
          <w:rFonts w:ascii="华文仿宋" w:hAnsi="华文仿宋" w:eastAsia="华文仿宋"/>
          <w:sz w:val="32"/>
          <w:szCs w:val="32"/>
          <w:u w:val="single"/>
        </w:rPr>
      </w:pPr>
      <w:r>
        <w:rPr>
          <w:rFonts w:hint="eastAsia" w:ascii="华文仿宋" w:hAnsi="华文仿宋" w:eastAsia="华文仿宋"/>
          <w:sz w:val="32"/>
          <w:szCs w:val="32"/>
        </w:rPr>
        <w:t>申报</w:t>
      </w:r>
      <w:r>
        <w:rPr>
          <w:rFonts w:ascii="华文仿宋" w:hAnsi="华文仿宋" w:eastAsia="华文仿宋"/>
          <w:sz w:val="32"/>
          <w:szCs w:val="32"/>
        </w:rPr>
        <mc:AlternateContent>
          <mc:Choice Requires="wps">
            <w:drawing>
              <wp:anchor distT="0" distB="0" distL="114300" distR="114300" simplePos="0" relativeHeight="251659264" behindDoc="0" locked="0" layoutInCell="0" allowOverlap="1">
                <wp:simplePos x="0" y="0"/>
                <wp:positionH relativeFrom="column">
                  <wp:posOffset>2333625</wp:posOffset>
                </wp:positionH>
                <wp:positionV relativeFrom="paragraph">
                  <wp:posOffset>160655</wp:posOffset>
                </wp:positionV>
                <wp:extent cx="635" cy="635"/>
                <wp:effectExtent l="0" t="0" r="18415" b="18415"/>
                <wp:wrapNone/>
                <wp:docPr id="1" name="Line 2"/>
                <wp:cNvGraphicFramePr/>
                <a:graphic xmlns:a="http://schemas.openxmlformats.org/drawingml/2006/main">
                  <a:graphicData uri="http://schemas.microsoft.com/office/word/2010/wordprocessingShape">
                    <wps:wsp>
                      <wps:cNvCnPr/>
                      <wps:spPr>
                        <a:xfrm>
                          <a:off x="0" y="0"/>
                          <a:ext cx="635"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2" o:spid="_x0000_s1026" o:spt="20" style="position:absolute;left:0pt;margin-left:183.75pt;margin-top:12.65pt;height:0.05pt;width:0.05pt;z-index:251659264;mso-width-relative:page;mso-height-relative:page;" filled="f" stroked="t" coordsize="21600,21600" o:allowincell="f" o:gfxdata="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WAAAA&#10;ZHJzL1BLAQIUABQAAAAIAIdO4kA1mH111gAAAAkBAAAPAAAAAAAAAAEAIAAAADgAAABkcnMvZG93&#10;bnJldi54bWxQSwECFAAUAAAACACHTuJAZqykvLMBAAB9AwAADgAAAAAAAAABACAAAAA7AQAAZHJz&#10;L2Uyb0RvYy54bWxQSwUGAAAAAAYABgBZAQAAYAUAAAAA&#10;">
                <v:fill on="f" focussize="0,0"/>
                <v:stroke color="#000000" joinstyle="round"/>
                <v:imagedata o:title=""/>
                <o:lock v:ext="edit" aspectratio="f"/>
              </v:line>
            </w:pict>
          </mc:Fallback>
        </mc:AlternateContent>
      </w:r>
      <w:r>
        <w:rPr>
          <w:rFonts w:hint="eastAsia" w:ascii="华文仿宋" w:hAnsi="华文仿宋" w:eastAsia="华文仿宋"/>
          <w:sz w:val="32"/>
          <w:szCs w:val="32"/>
        </w:rPr>
        <w:t>单位名称（盖章）：</w:t>
      </w:r>
      <w:r>
        <w:rPr>
          <w:rFonts w:hint="eastAsia" w:ascii="华文仿宋" w:hAnsi="华文仿宋" w:eastAsia="华文仿宋"/>
          <w:sz w:val="32"/>
          <w:szCs w:val="32"/>
          <w:u w:val="single"/>
        </w:rPr>
        <w:t xml:space="preserve">                       </w:t>
      </w:r>
    </w:p>
    <w:p>
      <w:pPr>
        <w:spacing w:line="360" w:lineRule="auto"/>
        <w:ind w:firstLine="960" w:firstLineChars="300"/>
        <w:rPr>
          <w:rFonts w:ascii="仿宋_GB2312" w:eastAsia="仿宋_GB2312"/>
          <w:sz w:val="32"/>
          <w:szCs w:val="32"/>
        </w:rPr>
      </w:pPr>
    </w:p>
    <w:p>
      <w:pPr>
        <w:spacing w:line="360" w:lineRule="auto"/>
        <w:rPr>
          <w:rFonts w:ascii="仿宋_GB2312" w:eastAsia="仿宋_GB2312"/>
          <w:sz w:val="32"/>
          <w:szCs w:val="32"/>
        </w:rPr>
      </w:pPr>
    </w:p>
    <w:p>
      <w:pPr>
        <w:spacing w:line="360" w:lineRule="auto"/>
        <w:ind w:firstLine="960" w:firstLineChars="300"/>
        <w:rPr>
          <w:rFonts w:ascii="仿宋_GB2312" w:eastAsia="仿宋_GB2312"/>
          <w:sz w:val="32"/>
          <w:szCs w:val="32"/>
        </w:rPr>
      </w:pPr>
      <w:r>
        <w:rPr>
          <w:rFonts w:hint="eastAsia" w:ascii="仿宋_GB2312" w:eastAsia="仿宋_GB2312"/>
          <w:sz w:val="32"/>
          <w:szCs w:val="32"/>
        </w:rPr>
        <w:t>填报日期：</w:t>
      </w:r>
      <w:r>
        <w:rPr>
          <w:rFonts w:ascii="仿宋_GB2312" w:eastAsia="仿宋_GB2312"/>
          <w:sz w:val="32"/>
          <w:szCs w:val="32"/>
        </w:rPr>
        <w:t xml:space="preserve">    </w:t>
      </w: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年</w:t>
      </w:r>
      <w:r>
        <w:rPr>
          <w:rFonts w:ascii="仿宋_GB2312" w:eastAsia="仿宋_GB2312"/>
          <w:sz w:val="32"/>
          <w:szCs w:val="32"/>
        </w:rPr>
        <w:t xml:space="preserve">  </w:t>
      </w:r>
      <w:r>
        <w:rPr>
          <w:rFonts w:hint="eastAsia" w:ascii="仿宋_GB2312" w:eastAsia="仿宋_GB2312"/>
          <w:sz w:val="32"/>
          <w:szCs w:val="32"/>
        </w:rPr>
        <w:t xml:space="preserve">  月</w:t>
      </w:r>
      <w:r>
        <w:rPr>
          <w:rFonts w:ascii="仿宋_GB2312" w:eastAsia="仿宋_GB2312"/>
          <w:sz w:val="32"/>
          <w:szCs w:val="32"/>
        </w:rPr>
        <w:t xml:space="preserve">  </w:t>
      </w:r>
      <w:r>
        <w:rPr>
          <w:rFonts w:hint="eastAsia" w:ascii="仿宋_GB2312" w:eastAsia="仿宋_GB2312"/>
          <w:sz w:val="32"/>
          <w:szCs w:val="32"/>
        </w:rPr>
        <w:t xml:space="preserve">  日</w:t>
      </w:r>
    </w:p>
    <w:p>
      <w:pPr>
        <w:spacing w:line="360" w:lineRule="auto"/>
        <w:rPr>
          <w:rFonts w:ascii="黑体" w:eastAsia="黑体"/>
          <w:spacing w:val="20"/>
          <w:szCs w:val="20"/>
        </w:rPr>
      </w:pPr>
    </w:p>
    <w:p>
      <w:pPr>
        <w:spacing w:line="360" w:lineRule="auto"/>
        <w:rPr>
          <w:rFonts w:ascii="黑体" w:eastAsia="黑体"/>
          <w:spacing w:val="20"/>
          <w:szCs w:val="20"/>
        </w:rPr>
      </w:pPr>
    </w:p>
    <w:p>
      <w:pPr>
        <w:adjustRightInd w:val="0"/>
        <w:snapToGrid w:val="0"/>
        <w:spacing w:line="360" w:lineRule="auto"/>
        <w:rPr>
          <w:rFonts w:eastAsia="仿宋"/>
          <w:sz w:val="36"/>
          <w:szCs w:val="36"/>
        </w:rPr>
        <w:sectPr>
          <w:headerReference r:id="rId3" w:type="first"/>
          <w:footerReference r:id="rId4" w:type="default"/>
          <w:pgSz w:w="11906" w:h="16838"/>
          <w:pgMar w:top="1440" w:right="1800" w:bottom="1440" w:left="1800" w:header="851" w:footer="992" w:gutter="0"/>
          <w:cols w:space="425" w:num="1"/>
          <w:titlePg/>
          <w:docGrid w:type="lines" w:linePitch="312" w:charSpace="0"/>
        </w:sectPr>
      </w:pPr>
    </w:p>
    <w:p>
      <w:pPr>
        <w:adjustRightInd w:val="0"/>
        <w:snapToGrid w:val="0"/>
        <w:spacing w:line="560" w:lineRule="exact"/>
        <w:jc w:val="center"/>
        <w:rPr>
          <w:rFonts w:ascii="方正小标宋简体" w:hAnsi="黑体" w:eastAsia="方正小标宋简体"/>
          <w:sz w:val="40"/>
          <w:szCs w:val="36"/>
        </w:rPr>
      </w:pPr>
    </w:p>
    <w:p>
      <w:pPr>
        <w:adjustRightInd w:val="0"/>
        <w:snapToGrid w:val="0"/>
        <w:spacing w:line="560" w:lineRule="exact"/>
        <w:jc w:val="center"/>
        <w:rPr>
          <w:rFonts w:ascii="方正小标宋简体" w:hAnsi="黑体" w:eastAsia="方正小标宋简体"/>
          <w:sz w:val="40"/>
          <w:szCs w:val="36"/>
        </w:rPr>
      </w:pPr>
      <w:r>
        <w:rPr>
          <w:rFonts w:hint="eastAsia" w:ascii="方正小标宋简体" w:hAnsi="黑体" w:eastAsia="方正小标宋简体"/>
          <w:sz w:val="44"/>
          <w:szCs w:val="44"/>
        </w:rPr>
        <w:t>服务方案编制要点</w:t>
      </w:r>
    </w:p>
    <w:p>
      <w:pPr>
        <w:spacing w:line="560" w:lineRule="exact"/>
        <w:jc w:val="center"/>
        <w:rPr>
          <w:rFonts w:cs="Times New Roman"/>
        </w:rPr>
      </w:pPr>
    </w:p>
    <w:p>
      <w:pPr>
        <w:overflowPunct w:val="0"/>
        <w:topLinePunct/>
        <w:spacing w:before="156" w:beforeLines="50" w:after="156" w:afterLines="50" w:line="560" w:lineRule="exact"/>
        <w:ind w:firstLine="640" w:firstLineChars="200"/>
        <w:outlineLvl w:val="0"/>
        <w:rPr>
          <w:rFonts w:ascii="黑体" w:hAnsi="黑体" w:eastAsia="黑体" w:cs="Times New Roman"/>
          <w:bCs/>
          <w:kern w:val="0"/>
          <w:sz w:val="32"/>
          <w:szCs w:val="32"/>
        </w:rPr>
      </w:pPr>
      <w:r>
        <w:rPr>
          <w:rFonts w:hint="eastAsia" w:ascii="黑体" w:hAnsi="黑体" w:eastAsia="黑体" w:cs="Times New Roman"/>
          <w:bCs/>
          <w:kern w:val="0"/>
          <w:sz w:val="32"/>
          <w:szCs w:val="32"/>
        </w:rPr>
        <w:t>一、项目理解</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根据服务经验，论述对供应链金融服务平台支持北京市重点产业链供应链高质量发展的相关政策理解、工作要求理解；论述支持北京市重点产业链供应链发展的相关主管部门政策制定、服务理念、服务思路等方面的理解；论述对企业服务工作的理解，从产业链上下游特点、产业发展、服务发展等维度，论述对北京市重点产业链供应链的服务内容、服务方式、服务目标、服务效果的理解。</w:t>
      </w:r>
    </w:p>
    <w:p>
      <w:pPr>
        <w:overflowPunct w:val="0"/>
        <w:topLinePunct/>
        <w:spacing w:before="156" w:beforeLines="50" w:after="156" w:afterLines="50" w:line="560" w:lineRule="exact"/>
        <w:ind w:firstLine="640" w:firstLineChars="200"/>
        <w:outlineLvl w:val="0"/>
        <w:rPr>
          <w:rFonts w:ascii="黑体" w:hAnsi="黑体" w:eastAsia="黑体" w:cs="Times New Roman"/>
          <w:b/>
          <w:kern w:val="0"/>
          <w:sz w:val="32"/>
          <w:szCs w:val="32"/>
        </w:rPr>
      </w:pPr>
      <w:r>
        <w:rPr>
          <w:rFonts w:hint="eastAsia" w:ascii="黑体" w:hAnsi="黑体" w:eastAsia="黑体" w:cs="Times New Roman"/>
          <w:bCs/>
          <w:kern w:val="0"/>
          <w:sz w:val="32"/>
          <w:szCs w:val="32"/>
        </w:rPr>
        <w:t>二、供应链金融服务平台工作基础</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1.申报单位基本情况</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包括经营范围、单位简介、管理制度、服务场地面积、政府委托服务经验、产业研究经验、财务情况、管理体系认证情况等。</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ascii="仿宋_GB2312" w:hAnsi="Times New Roman" w:eastAsia="仿宋_GB2312" w:cs="Times New Roman"/>
          <w:kern w:val="0"/>
          <w:sz w:val="32"/>
          <w:szCs w:val="32"/>
        </w:rPr>
        <w:t>2</w:t>
      </w:r>
      <w:r>
        <w:rPr>
          <w:rFonts w:hint="eastAsia" w:ascii="仿宋_GB2312" w:hAnsi="Times New Roman" w:eastAsia="仿宋_GB2312" w:cs="Times New Roman"/>
          <w:kern w:val="0"/>
          <w:sz w:val="32"/>
          <w:szCs w:val="32"/>
        </w:rPr>
        <w:t>.申报单位服务能力及业绩情况</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描述服务北京市重点产业链供应链情况，包括但不限于开展服务内容、总体情况、服务类别、服务人员情况、服务组织能力（近两年各类活动组织场次，活动类别）、服务企业数量、服务资源（合作服务机构资源）、服务影响力等。</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ascii="仿宋_GB2312" w:hAnsi="Times New Roman" w:eastAsia="仿宋_GB2312" w:cs="Times New Roman"/>
          <w:kern w:val="0"/>
          <w:sz w:val="32"/>
          <w:szCs w:val="32"/>
        </w:rPr>
        <w:t>3</w:t>
      </w:r>
      <w:r>
        <w:rPr>
          <w:rFonts w:hint="eastAsia" w:ascii="仿宋_GB2312" w:hAnsi="Times New Roman" w:eastAsia="仿宋_GB2312" w:cs="Times New Roman"/>
          <w:kern w:val="0"/>
          <w:sz w:val="32"/>
          <w:szCs w:val="32"/>
        </w:rPr>
        <w:t>.信息化服务能力</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 xml:space="preserve">线上信息系统具有集聚资源，为北京市重点产业链供应链提供服务的服务能力。对应各服务功能的信息化建设方案。现有线上信息系统知识库建设情况。  </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5.供金平台历史服务北京市重点产业链供应链情况。</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6.供金平台服务北京市重点产业链供应链优势。</w:t>
      </w:r>
    </w:p>
    <w:p>
      <w:pPr>
        <w:overflowPunct w:val="0"/>
        <w:topLinePunct/>
        <w:spacing w:before="156" w:beforeLines="50" w:after="156" w:afterLines="50" w:line="560" w:lineRule="exact"/>
        <w:ind w:firstLine="640" w:firstLineChars="200"/>
        <w:outlineLvl w:val="0"/>
        <w:rPr>
          <w:rFonts w:ascii="黑体" w:hAnsi="黑体" w:eastAsia="黑体" w:cs="Times New Roman"/>
          <w:b/>
          <w:kern w:val="0"/>
          <w:sz w:val="32"/>
          <w:szCs w:val="32"/>
        </w:rPr>
      </w:pPr>
      <w:r>
        <w:rPr>
          <w:rFonts w:hint="eastAsia" w:ascii="黑体" w:hAnsi="黑体" w:eastAsia="黑体" w:cs="Times New Roman"/>
          <w:bCs/>
          <w:kern w:val="0"/>
          <w:sz w:val="32"/>
          <w:szCs w:val="32"/>
        </w:rPr>
        <w:t>三、重点领域产业链供应链服务需求分析</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1.北京市X</w:t>
      </w:r>
      <w:r>
        <w:rPr>
          <w:rFonts w:ascii="仿宋_GB2312" w:hAnsi="Times New Roman" w:eastAsia="仿宋_GB2312" w:cs="Times New Roman"/>
          <w:kern w:val="0"/>
          <w:sz w:val="32"/>
          <w:szCs w:val="32"/>
        </w:rPr>
        <w:t>X</w:t>
      </w:r>
      <w:r>
        <w:rPr>
          <w:rFonts w:hint="eastAsia" w:ascii="仿宋_GB2312" w:hAnsi="Times New Roman" w:eastAsia="仿宋_GB2312" w:cs="Times New Roman"/>
          <w:kern w:val="0"/>
          <w:sz w:val="32"/>
          <w:szCs w:val="32"/>
        </w:rPr>
        <w:t>领域</w:t>
      </w:r>
      <w:bookmarkStart w:id="0" w:name="_Hlk88660676"/>
      <w:r>
        <w:rPr>
          <w:rFonts w:hint="eastAsia" w:ascii="仿宋_GB2312" w:hAnsi="Times New Roman" w:eastAsia="仿宋_GB2312" w:cs="Times New Roman"/>
          <w:kern w:val="0"/>
          <w:sz w:val="32"/>
          <w:szCs w:val="32"/>
        </w:rPr>
        <w:t>产业链供应链</w:t>
      </w:r>
      <w:bookmarkEnd w:id="0"/>
      <w:r>
        <w:rPr>
          <w:rFonts w:hint="eastAsia" w:ascii="仿宋_GB2312" w:hAnsi="Times New Roman" w:eastAsia="仿宋_GB2312" w:cs="Times New Roman"/>
          <w:kern w:val="0"/>
          <w:sz w:val="32"/>
          <w:szCs w:val="32"/>
        </w:rPr>
        <w:t>整体情况分析。</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分析X</w:t>
      </w:r>
      <w:r>
        <w:rPr>
          <w:rFonts w:ascii="仿宋_GB2312" w:hAnsi="Times New Roman" w:eastAsia="仿宋_GB2312" w:cs="Times New Roman"/>
          <w:kern w:val="0"/>
          <w:sz w:val="32"/>
          <w:szCs w:val="32"/>
        </w:rPr>
        <w:t>X</w:t>
      </w:r>
      <w:r>
        <w:rPr>
          <w:rFonts w:hint="eastAsia" w:ascii="仿宋_GB2312" w:hAnsi="Times New Roman" w:eastAsia="仿宋_GB2312" w:cs="Times New Roman"/>
          <w:kern w:val="0"/>
          <w:sz w:val="32"/>
          <w:szCs w:val="32"/>
        </w:rPr>
        <w:t>产业链特点及上下游企业整体情况，内容包括但不限于企业所涵盖细分产业领域分布、产业导向、专业化程度、创新能力、经营管理情况、上市情况、融资情况、成长性等。</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 X</w:t>
      </w:r>
      <w:r>
        <w:rPr>
          <w:rFonts w:ascii="仿宋_GB2312" w:hAnsi="Times New Roman" w:eastAsia="仿宋_GB2312" w:cs="Times New Roman"/>
          <w:kern w:val="0"/>
          <w:sz w:val="32"/>
          <w:szCs w:val="32"/>
        </w:rPr>
        <w:t>X</w:t>
      </w:r>
      <w:r>
        <w:rPr>
          <w:rFonts w:hint="eastAsia" w:ascii="仿宋_GB2312" w:hAnsi="Times New Roman" w:eastAsia="仿宋_GB2312" w:cs="Times New Roman"/>
          <w:kern w:val="0"/>
          <w:sz w:val="32"/>
          <w:szCs w:val="32"/>
        </w:rPr>
        <w:t>领域企业服务需求分析。</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分析</w:t>
      </w:r>
      <w:r>
        <w:rPr>
          <w:rFonts w:ascii="仿宋_GB2312" w:hAnsi="Times New Roman" w:eastAsia="仿宋_GB2312" w:cs="Times New Roman"/>
          <w:kern w:val="0"/>
          <w:sz w:val="32"/>
          <w:szCs w:val="32"/>
        </w:rPr>
        <w:t>XX</w:t>
      </w:r>
      <w:r>
        <w:rPr>
          <w:rFonts w:hint="eastAsia" w:ascii="仿宋_GB2312" w:hAnsi="Times New Roman" w:eastAsia="仿宋_GB2312" w:cs="Times New Roman"/>
          <w:kern w:val="0"/>
          <w:sz w:val="32"/>
          <w:szCs w:val="32"/>
        </w:rPr>
        <w:t>领域企业经营发展中遇到的困难及服务需求，结合实际提出针对性解决思路。结合企业实际需求，明确该领域企业所需要的服务措施类别。</w:t>
      </w:r>
    </w:p>
    <w:p>
      <w:pPr>
        <w:overflowPunct w:val="0"/>
        <w:topLinePunct/>
        <w:spacing w:before="156" w:beforeLines="50" w:after="156" w:afterLines="50" w:line="560" w:lineRule="exact"/>
        <w:ind w:firstLine="640" w:firstLineChars="200"/>
        <w:outlineLvl w:val="0"/>
        <w:rPr>
          <w:rFonts w:ascii="黑体" w:hAnsi="黑体" w:eastAsia="黑体" w:cs="Times New Roman"/>
          <w:bCs/>
          <w:kern w:val="0"/>
          <w:sz w:val="32"/>
          <w:szCs w:val="32"/>
        </w:rPr>
      </w:pPr>
      <w:r>
        <w:rPr>
          <w:rFonts w:hint="eastAsia" w:ascii="黑体" w:hAnsi="黑体" w:eastAsia="黑体" w:cs="Times New Roman"/>
          <w:bCs/>
          <w:kern w:val="0"/>
          <w:sz w:val="32"/>
          <w:szCs w:val="32"/>
        </w:rPr>
        <w:t>四</w:t>
      </w:r>
      <w:r>
        <w:rPr>
          <w:rFonts w:ascii="黑体" w:hAnsi="黑体" w:eastAsia="黑体" w:cs="Times New Roman"/>
          <w:bCs/>
          <w:kern w:val="0"/>
          <w:sz w:val="32"/>
          <w:szCs w:val="32"/>
        </w:rPr>
        <w:t>、</w:t>
      </w:r>
      <w:r>
        <w:rPr>
          <w:rFonts w:hint="eastAsia" w:ascii="黑体" w:hAnsi="黑体" w:eastAsia="黑体" w:cs="Times New Roman"/>
          <w:bCs/>
          <w:kern w:val="0"/>
          <w:sz w:val="32"/>
          <w:szCs w:val="32"/>
        </w:rPr>
        <w:t>重点领域产业链供应链服务措施</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1.具体服务措施</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集聚技术、资金和人才等创新资源，为重点领域企业提供点对点的针对性强、可取得明显成效的近期帮扶和长期推动具体服务类别及对应举措，结合实际可包括：创新能力提升行动，融</w:t>
      </w:r>
      <w:r>
        <w:rPr>
          <w:rFonts w:hint="eastAsia" w:ascii="仿宋_GB2312" w:hAnsi="Times New Roman" w:eastAsia="仿宋_GB2312" w:cs="Times New Roman"/>
          <w:kern w:val="0"/>
          <w:sz w:val="32"/>
          <w:szCs w:val="32"/>
          <w:lang w:val="en"/>
        </w:rPr>
        <w:t>资</w:t>
      </w:r>
      <w:r>
        <w:rPr>
          <w:rFonts w:hint="eastAsia" w:ascii="仿宋_GB2312" w:hAnsi="Times New Roman" w:eastAsia="仿宋_GB2312" w:cs="Times New Roman"/>
          <w:kern w:val="0"/>
          <w:sz w:val="32"/>
          <w:szCs w:val="32"/>
        </w:rPr>
        <w:t>解决方案，创新堵点服务解决清单等；以点带面，为北京市重点领域产业链供应链服务，示范带动并建立健全重点领域企业公共服务体系。</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具体服务类别须至少包括下列其中一项：创新供应链金融服务、综合金融服务、数字化网络化智能化服务等。</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对应服务类别，论述具体服务措施。服务措施须列明主要服务产品方案，包括但不限于服务产品名称、服务具体内容、服务工作流程、服务方式、服务目标、服务成效等。</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2.沟通汇报方案</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面向政府端，深入理解政府服务企业要求，充分借助政府服务优势，为企业提供服务，同时提出向政府报送服务进展等沟通、汇报方案。</w:t>
      </w:r>
    </w:p>
    <w:p>
      <w:pPr>
        <w:overflowPunct w:val="0"/>
        <w:topLinePunct/>
        <w:spacing w:before="156" w:beforeLines="50" w:after="156" w:afterLines="50" w:line="560" w:lineRule="exact"/>
        <w:ind w:firstLine="640" w:firstLineChars="200"/>
        <w:outlineLvl w:val="0"/>
        <w:rPr>
          <w:rFonts w:ascii="黑体" w:hAnsi="黑体" w:eastAsia="黑体" w:cs="Times New Roman"/>
          <w:bCs/>
          <w:kern w:val="0"/>
          <w:sz w:val="32"/>
          <w:szCs w:val="32"/>
        </w:rPr>
      </w:pPr>
      <w:r>
        <w:rPr>
          <w:rFonts w:hint="eastAsia" w:ascii="黑体" w:hAnsi="黑体" w:eastAsia="黑体" w:cs="Times New Roman"/>
          <w:bCs/>
          <w:kern w:val="0"/>
          <w:sz w:val="32"/>
          <w:szCs w:val="32"/>
        </w:rPr>
        <w:t>五</w:t>
      </w:r>
      <w:r>
        <w:rPr>
          <w:rFonts w:ascii="黑体" w:hAnsi="黑体" w:eastAsia="黑体" w:cs="Times New Roman"/>
          <w:bCs/>
          <w:kern w:val="0"/>
          <w:sz w:val="32"/>
          <w:szCs w:val="32"/>
        </w:rPr>
        <w:t>、</w:t>
      </w:r>
      <w:r>
        <w:rPr>
          <w:rFonts w:hint="eastAsia" w:ascii="黑体" w:hAnsi="黑体" w:eastAsia="黑体" w:cs="Times New Roman"/>
          <w:bCs/>
          <w:kern w:val="0"/>
          <w:sz w:val="32"/>
          <w:szCs w:val="32"/>
        </w:rPr>
        <w:t>分年度服务工作目标与实施计划</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1.分年度服务工作目标</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集聚创新资源，点对点服务北京市重点产业链供应链的预期目标及成效。对照服务内容列明起始年，202</w:t>
      </w:r>
      <w:r>
        <w:rPr>
          <w:rFonts w:ascii="仿宋_GB2312" w:hAnsi="Times New Roman" w:eastAsia="仿宋_GB2312" w:cs="Times New Roman"/>
          <w:kern w:val="0"/>
          <w:sz w:val="32"/>
          <w:szCs w:val="32"/>
        </w:rPr>
        <w:t>2</w:t>
      </w:r>
      <w:r>
        <w:rPr>
          <w:rFonts w:hint="eastAsia" w:ascii="仿宋_GB2312" w:hAnsi="Times New Roman" w:eastAsia="仿宋_GB2312" w:cs="Times New Roman"/>
          <w:kern w:val="0"/>
          <w:sz w:val="32"/>
          <w:szCs w:val="32"/>
        </w:rPr>
        <w:t>底、202</w:t>
      </w:r>
      <w:r>
        <w:rPr>
          <w:rFonts w:ascii="仿宋_GB2312" w:hAnsi="Times New Roman" w:eastAsia="仿宋_GB2312" w:cs="Times New Roman"/>
          <w:kern w:val="0"/>
          <w:sz w:val="32"/>
          <w:szCs w:val="32"/>
        </w:rPr>
        <w:t>3</w:t>
      </w:r>
      <w:r>
        <w:rPr>
          <w:rFonts w:hint="eastAsia" w:ascii="仿宋_GB2312" w:hAnsi="Times New Roman" w:eastAsia="仿宋_GB2312" w:cs="Times New Roman"/>
          <w:kern w:val="0"/>
          <w:sz w:val="32"/>
          <w:szCs w:val="32"/>
        </w:rPr>
        <w:t>底达到的服务绩效目标。</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2.分年度工作实施计划</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分年度服务实施计划，如服务方式、服务方法、服务频次、实施的服务内容等。</w:t>
      </w:r>
    </w:p>
    <w:p>
      <w:pPr>
        <w:overflowPunct w:val="0"/>
        <w:topLinePunct/>
        <w:spacing w:before="156" w:beforeLines="50" w:after="156" w:afterLines="50" w:line="560" w:lineRule="exact"/>
        <w:ind w:firstLine="640" w:firstLineChars="200"/>
        <w:outlineLvl w:val="0"/>
        <w:rPr>
          <w:rFonts w:ascii="黑体" w:hAnsi="黑体" w:eastAsia="黑体" w:cs="Times New Roman"/>
          <w:bCs/>
          <w:kern w:val="0"/>
          <w:sz w:val="32"/>
          <w:szCs w:val="32"/>
        </w:rPr>
      </w:pPr>
      <w:r>
        <w:rPr>
          <w:rFonts w:hint="eastAsia" w:ascii="黑体" w:hAnsi="黑体" w:eastAsia="黑体" w:cs="Times New Roman"/>
          <w:bCs/>
          <w:kern w:val="0"/>
          <w:sz w:val="32"/>
          <w:szCs w:val="32"/>
          <w:lang w:eastAsia="zh-CN"/>
        </w:rPr>
        <w:t>六</w:t>
      </w:r>
      <w:bookmarkStart w:id="1" w:name="_GoBack"/>
      <w:bookmarkEnd w:id="1"/>
      <w:r>
        <w:rPr>
          <w:rFonts w:ascii="黑体" w:hAnsi="黑体" w:eastAsia="黑体" w:cs="Times New Roman"/>
          <w:bCs/>
          <w:kern w:val="0"/>
          <w:sz w:val="32"/>
          <w:szCs w:val="32"/>
        </w:rPr>
        <w:t>、</w:t>
      </w:r>
      <w:r>
        <w:rPr>
          <w:rFonts w:hint="eastAsia" w:ascii="黑体" w:hAnsi="黑体" w:eastAsia="黑体" w:cs="Times New Roman"/>
          <w:bCs/>
          <w:kern w:val="0"/>
          <w:sz w:val="32"/>
          <w:szCs w:val="32"/>
        </w:rPr>
        <w:t>组织管理与保障措施</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1.组织管理</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介绍申报单位服务重点产业链供应链的整体组织安排情况，如组织机构、人员配备、内控机制等。</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2.运营服务保障机制</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介绍申报服务单位服务重点产业链供应链的运营服务保障机制。</w:t>
      </w:r>
    </w:p>
    <w:p>
      <w:pPr>
        <w:overflowPunct w:val="0"/>
        <w:topLinePunct/>
        <w:adjustRightInd w:val="0"/>
        <w:snapToGrid w:val="0"/>
        <w:spacing w:line="560" w:lineRule="exact"/>
        <w:ind w:firstLine="640" w:firstLineChars="200"/>
        <w:outlineLvl w:val="1"/>
        <w:rPr>
          <w:rFonts w:ascii="仿宋_GB2312" w:hAnsi="Times New Roman" w:eastAsia="仿宋_GB2312" w:cs="Times New Roman"/>
          <w:kern w:val="0"/>
          <w:sz w:val="32"/>
          <w:szCs w:val="32"/>
        </w:rPr>
      </w:pPr>
    </w:p>
    <w:sectPr>
      <w:footerReference r:id="rId5" w:type="default"/>
      <w:pgSz w:w="11906" w:h="16838"/>
      <w:pgMar w:top="1440" w:right="1286" w:bottom="1440" w:left="16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5006367"/>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42552748"/>
    </w:sdtPr>
    <w:sdtContent>
      <w:p>
        <w:pPr>
          <w:pStyle w:val="6"/>
          <w:jc w:val="center"/>
        </w:pPr>
        <w:r>
          <w:fldChar w:fldCharType="begin"/>
        </w:r>
        <w:r>
          <w:instrText xml:space="preserve">PAGE   \* MERGEFORMAT</w:instrText>
        </w:r>
        <w:r>
          <w:fldChar w:fldCharType="separate"/>
        </w:r>
        <w:r>
          <w:rPr>
            <w:lang w:val="zh-CN"/>
          </w:rPr>
          <w:t>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363"/>
    <w:rsid w:val="00005919"/>
    <w:rsid w:val="00011D4A"/>
    <w:rsid w:val="00013070"/>
    <w:rsid w:val="00015A83"/>
    <w:rsid w:val="000251F8"/>
    <w:rsid w:val="00027448"/>
    <w:rsid w:val="00032955"/>
    <w:rsid w:val="00042917"/>
    <w:rsid w:val="00044F16"/>
    <w:rsid w:val="00062CED"/>
    <w:rsid w:val="000669DC"/>
    <w:rsid w:val="00070F42"/>
    <w:rsid w:val="000821EC"/>
    <w:rsid w:val="0009005F"/>
    <w:rsid w:val="00090530"/>
    <w:rsid w:val="000A43DB"/>
    <w:rsid w:val="000B7478"/>
    <w:rsid w:val="000D25D2"/>
    <w:rsid w:val="000D678D"/>
    <w:rsid w:val="000F36D1"/>
    <w:rsid w:val="001002C8"/>
    <w:rsid w:val="001074D7"/>
    <w:rsid w:val="00107DE3"/>
    <w:rsid w:val="00121DEF"/>
    <w:rsid w:val="001274B1"/>
    <w:rsid w:val="001278D2"/>
    <w:rsid w:val="00130096"/>
    <w:rsid w:val="00142A6F"/>
    <w:rsid w:val="001509FC"/>
    <w:rsid w:val="00174135"/>
    <w:rsid w:val="001977DF"/>
    <w:rsid w:val="001B2144"/>
    <w:rsid w:val="001B38C7"/>
    <w:rsid w:val="001B6141"/>
    <w:rsid w:val="001D3FE3"/>
    <w:rsid w:val="001F7D4B"/>
    <w:rsid w:val="0020263C"/>
    <w:rsid w:val="00207A61"/>
    <w:rsid w:val="00220BC0"/>
    <w:rsid w:val="002358BC"/>
    <w:rsid w:val="002670DA"/>
    <w:rsid w:val="002A3F7E"/>
    <w:rsid w:val="002A5AE5"/>
    <w:rsid w:val="002B65C5"/>
    <w:rsid w:val="002D44BE"/>
    <w:rsid w:val="002E775F"/>
    <w:rsid w:val="003000FE"/>
    <w:rsid w:val="00304636"/>
    <w:rsid w:val="0030587A"/>
    <w:rsid w:val="00306C73"/>
    <w:rsid w:val="003136FE"/>
    <w:rsid w:val="00322351"/>
    <w:rsid w:val="0035413D"/>
    <w:rsid w:val="00362026"/>
    <w:rsid w:val="00381351"/>
    <w:rsid w:val="00382393"/>
    <w:rsid w:val="0039199F"/>
    <w:rsid w:val="0039221E"/>
    <w:rsid w:val="00397C1C"/>
    <w:rsid w:val="003A3FE3"/>
    <w:rsid w:val="003A4398"/>
    <w:rsid w:val="003C7DCD"/>
    <w:rsid w:val="003E76CD"/>
    <w:rsid w:val="003F1D14"/>
    <w:rsid w:val="003F393E"/>
    <w:rsid w:val="00410B0C"/>
    <w:rsid w:val="00414942"/>
    <w:rsid w:val="0042283F"/>
    <w:rsid w:val="00431140"/>
    <w:rsid w:val="00445FB8"/>
    <w:rsid w:val="0045575D"/>
    <w:rsid w:val="00462F2D"/>
    <w:rsid w:val="00463543"/>
    <w:rsid w:val="00471E27"/>
    <w:rsid w:val="00473C23"/>
    <w:rsid w:val="004D3EC8"/>
    <w:rsid w:val="004E24FC"/>
    <w:rsid w:val="004F03BC"/>
    <w:rsid w:val="004F5363"/>
    <w:rsid w:val="004F6A79"/>
    <w:rsid w:val="00500798"/>
    <w:rsid w:val="00522D0A"/>
    <w:rsid w:val="00530798"/>
    <w:rsid w:val="0053564B"/>
    <w:rsid w:val="00535CC9"/>
    <w:rsid w:val="00554CC5"/>
    <w:rsid w:val="00555FE9"/>
    <w:rsid w:val="0056769C"/>
    <w:rsid w:val="005C51E4"/>
    <w:rsid w:val="005F38DD"/>
    <w:rsid w:val="005F5CFE"/>
    <w:rsid w:val="006024FC"/>
    <w:rsid w:val="00605D1D"/>
    <w:rsid w:val="00611244"/>
    <w:rsid w:val="00613223"/>
    <w:rsid w:val="00643DED"/>
    <w:rsid w:val="00646EB6"/>
    <w:rsid w:val="006521A1"/>
    <w:rsid w:val="00662D70"/>
    <w:rsid w:val="00663345"/>
    <w:rsid w:val="006716C7"/>
    <w:rsid w:val="00684DDA"/>
    <w:rsid w:val="006A5E5F"/>
    <w:rsid w:val="006C2A91"/>
    <w:rsid w:val="006D354C"/>
    <w:rsid w:val="006D57B0"/>
    <w:rsid w:val="00701288"/>
    <w:rsid w:val="0070226F"/>
    <w:rsid w:val="00723E92"/>
    <w:rsid w:val="00744E57"/>
    <w:rsid w:val="00751EA1"/>
    <w:rsid w:val="00757EAC"/>
    <w:rsid w:val="007646D1"/>
    <w:rsid w:val="00770B87"/>
    <w:rsid w:val="0078181C"/>
    <w:rsid w:val="0078747A"/>
    <w:rsid w:val="00795B6B"/>
    <w:rsid w:val="00796404"/>
    <w:rsid w:val="007A2415"/>
    <w:rsid w:val="007B146D"/>
    <w:rsid w:val="007E66CB"/>
    <w:rsid w:val="007E674C"/>
    <w:rsid w:val="007F3EBB"/>
    <w:rsid w:val="00800F9B"/>
    <w:rsid w:val="00804B39"/>
    <w:rsid w:val="00816689"/>
    <w:rsid w:val="008246AB"/>
    <w:rsid w:val="00840114"/>
    <w:rsid w:val="00840DA4"/>
    <w:rsid w:val="00843F6F"/>
    <w:rsid w:val="0086172F"/>
    <w:rsid w:val="00871810"/>
    <w:rsid w:val="0087492B"/>
    <w:rsid w:val="008A073A"/>
    <w:rsid w:val="008D7EAD"/>
    <w:rsid w:val="008E143A"/>
    <w:rsid w:val="008F08F1"/>
    <w:rsid w:val="008F2768"/>
    <w:rsid w:val="00904D3C"/>
    <w:rsid w:val="00914236"/>
    <w:rsid w:val="00927938"/>
    <w:rsid w:val="009356A0"/>
    <w:rsid w:val="00943549"/>
    <w:rsid w:val="00944173"/>
    <w:rsid w:val="009954AB"/>
    <w:rsid w:val="009A28C6"/>
    <w:rsid w:val="009B3A37"/>
    <w:rsid w:val="009D25EB"/>
    <w:rsid w:val="009D4EEE"/>
    <w:rsid w:val="00A038AE"/>
    <w:rsid w:val="00A04613"/>
    <w:rsid w:val="00A04E30"/>
    <w:rsid w:val="00A16D5E"/>
    <w:rsid w:val="00A23651"/>
    <w:rsid w:val="00A32532"/>
    <w:rsid w:val="00A53850"/>
    <w:rsid w:val="00A57DC9"/>
    <w:rsid w:val="00A80083"/>
    <w:rsid w:val="00A82B2A"/>
    <w:rsid w:val="00A8542B"/>
    <w:rsid w:val="00A8579A"/>
    <w:rsid w:val="00A94921"/>
    <w:rsid w:val="00A970AD"/>
    <w:rsid w:val="00AB1D2B"/>
    <w:rsid w:val="00AB473A"/>
    <w:rsid w:val="00AC7B0D"/>
    <w:rsid w:val="00AE3E45"/>
    <w:rsid w:val="00B00FED"/>
    <w:rsid w:val="00B072BA"/>
    <w:rsid w:val="00B13B9D"/>
    <w:rsid w:val="00B35F8B"/>
    <w:rsid w:val="00B4224E"/>
    <w:rsid w:val="00B71543"/>
    <w:rsid w:val="00B75C52"/>
    <w:rsid w:val="00B82F9E"/>
    <w:rsid w:val="00BA12BE"/>
    <w:rsid w:val="00BA73D2"/>
    <w:rsid w:val="00BB2782"/>
    <w:rsid w:val="00BB3440"/>
    <w:rsid w:val="00BB5F4C"/>
    <w:rsid w:val="00BC785D"/>
    <w:rsid w:val="00BD7C76"/>
    <w:rsid w:val="00BE3E20"/>
    <w:rsid w:val="00BF4167"/>
    <w:rsid w:val="00BF5E3D"/>
    <w:rsid w:val="00C140FB"/>
    <w:rsid w:val="00C26059"/>
    <w:rsid w:val="00C3701D"/>
    <w:rsid w:val="00C40C12"/>
    <w:rsid w:val="00C4317B"/>
    <w:rsid w:val="00C52EFD"/>
    <w:rsid w:val="00C72949"/>
    <w:rsid w:val="00C9693E"/>
    <w:rsid w:val="00CA03CA"/>
    <w:rsid w:val="00CA4395"/>
    <w:rsid w:val="00CC627F"/>
    <w:rsid w:val="00CE1D30"/>
    <w:rsid w:val="00CE51CD"/>
    <w:rsid w:val="00CF4013"/>
    <w:rsid w:val="00CF466E"/>
    <w:rsid w:val="00D05C9C"/>
    <w:rsid w:val="00D15ED7"/>
    <w:rsid w:val="00D240CB"/>
    <w:rsid w:val="00D40D68"/>
    <w:rsid w:val="00D412F3"/>
    <w:rsid w:val="00D43CE7"/>
    <w:rsid w:val="00D53A67"/>
    <w:rsid w:val="00D61D67"/>
    <w:rsid w:val="00D9194D"/>
    <w:rsid w:val="00DA0F42"/>
    <w:rsid w:val="00DB2B45"/>
    <w:rsid w:val="00DB5A3A"/>
    <w:rsid w:val="00DB6F95"/>
    <w:rsid w:val="00DC005B"/>
    <w:rsid w:val="00DF1168"/>
    <w:rsid w:val="00E0709A"/>
    <w:rsid w:val="00E12088"/>
    <w:rsid w:val="00E1260D"/>
    <w:rsid w:val="00E67998"/>
    <w:rsid w:val="00E86DDC"/>
    <w:rsid w:val="00E87D78"/>
    <w:rsid w:val="00E97662"/>
    <w:rsid w:val="00EA037B"/>
    <w:rsid w:val="00EA572D"/>
    <w:rsid w:val="00EC2C26"/>
    <w:rsid w:val="00EC6B92"/>
    <w:rsid w:val="00ED5F91"/>
    <w:rsid w:val="00EE2977"/>
    <w:rsid w:val="00EF4F60"/>
    <w:rsid w:val="00F02CBF"/>
    <w:rsid w:val="00F1676A"/>
    <w:rsid w:val="00F243CF"/>
    <w:rsid w:val="00F272A5"/>
    <w:rsid w:val="00F62E0A"/>
    <w:rsid w:val="00F73691"/>
    <w:rsid w:val="00F75D15"/>
    <w:rsid w:val="00F865F4"/>
    <w:rsid w:val="00F86B2E"/>
    <w:rsid w:val="00FA37E6"/>
    <w:rsid w:val="00FC4488"/>
    <w:rsid w:val="00FC4B25"/>
    <w:rsid w:val="00FC5AAD"/>
    <w:rsid w:val="00FC6774"/>
    <w:rsid w:val="00FE0003"/>
    <w:rsid w:val="00FE0702"/>
    <w:rsid w:val="00FE0BD9"/>
    <w:rsid w:val="00FE382F"/>
    <w:rsid w:val="00FE565A"/>
    <w:rsid w:val="00FE7A93"/>
    <w:rsid w:val="0CCC5B7E"/>
    <w:rsid w:val="10D07A04"/>
    <w:rsid w:val="27B952B8"/>
    <w:rsid w:val="2BF755EF"/>
    <w:rsid w:val="2C223A06"/>
    <w:rsid w:val="2DFD31E6"/>
    <w:rsid w:val="302C6548"/>
    <w:rsid w:val="316F7999"/>
    <w:rsid w:val="347767BD"/>
    <w:rsid w:val="3BCF6C01"/>
    <w:rsid w:val="432D6DBF"/>
    <w:rsid w:val="47627093"/>
    <w:rsid w:val="47FF90D5"/>
    <w:rsid w:val="4E8E2EB6"/>
    <w:rsid w:val="4F2E461F"/>
    <w:rsid w:val="53016FC9"/>
    <w:rsid w:val="540A2A98"/>
    <w:rsid w:val="5F7525B1"/>
    <w:rsid w:val="61802019"/>
    <w:rsid w:val="623C4CED"/>
    <w:rsid w:val="670F78CA"/>
    <w:rsid w:val="68F76FFB"/>
    <w:rsid w:val="737914D8"/>
    <w:rsid w:val="7503162A"/>
    <w:rsid w:val="BD65AA1D"/>
    <w:rsid w:val="CFBFA262"/>
    <w:rsid w:val="DF4DF6FC"/>
    <w:rsid w:val="DFFDD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3"/>
    <w:basedOn w:val="1"/>
    <w:next w:val="1"/>
    <w:unhideWhenUsed/>
    <w:qFormat/>
    <w:uiPriority w:val="9"/>
    <w:pPr>
      <w:adjustRightInd w:val="0"/>
      <w:snapToGrid w:val="0"/>
      <w:spacing w:beforeLines="100" w:afterLines="50" w:line="360" w:lineRule="auto"/>
      <w:textAlignment w:val="baseline"/>
      <w:outlineLvl w:val="2"/>
    </w:pPr>
    <w:rPr>
      <w:rFonts w:ascii="仿宋_GB2312" w:hAnsi="宋体" w:eastAsia="仿宋_GB2312"/>
      <w:b/>
      <w:bCs/>
      <w:color w:val="000000"/>
      <w:sz w:val="32"/>
      <w:szCs w:val="30"/>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17"/>
    <w:unhideWhenUsed/>
    <w:qFormat/>
    <w:uiPriority w:val="99"/>
    <w:rPr>
      <w:rFonts w:ascii="宋体"/>
      <w:sz w:val="18"/>
      <w:szCs w:val="18"/>
    </w:rPr>
  </w:style>
  <w:style w:type="paragraph" w:styleId="4">
    <w:name w:val="Body Text"/>
    <w:basedOn w:val="1"/>
    <w:unhideWhenUsed/>
    <w:qFormat/>
    <w:uiPriority w:val="99"/>
    <w:rPr>
      <w:rFonts w:ascii="华文新魏" w:hAnsi="Times New Roman" w:eastAsia="华文新魏"/>
      <w:sz w:val="36"/>
      <w:szCs w:val="24"/>
    </w:rPr>
  </w:style>
  <w:style w:type="paragraph" w:styleId="5">
    <w:name w:val="Balloon Text"/>
    <w:basedOn w:val="1"/>
    <w:link w:val="16"/>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列出段落1"/>
    <w:basedOn w:val="1"/>
    <w:qFormat/>
    <w:uiPriority w:val="34"/>
    <w:pPr>
      <w:ind w:firstLine="420" w:firstLineChars="200"/>
    </w:pPr>
    <w:rPr>
      <w:rFonts w:ascii="Times New Roman" w:hAnsi="Times New Roman" w:eastAsia="仿宋_GB2312" w:cs="Times New Roman"/>
      <w:sz w:val="32"/>
    </w:rPr>
  </w:style>
  <w:style w:type="character" w:customStyle="1" w:styleId="12">
    <w:name w:val="页眉 字符"/>
    <w:basedOn w:val="8"/>
    <w:link w:val="7"/>
    <w:qFormat/>
    <w:uiPriority w:val="99"/>
    <w:rPr>
      <w:rFonts w:ascii="Calibri" w:hAnsi="Calibri" w:eastAsia="宋体" w:cs="黑体"/>
      <w:sz w:val="18"/>
      <w:szCs w:val="18"/>
    </w:rPr>
  </w:style>
  <w:style w:type="character" w:customStyle="1" w:styleId="13">
    <w:name w:val="页脚 字符"/>
    <w:basedOn w:val="8"/>
    <w:link w:val="6"/>
    <w:qFormat/>
    <w:uiPriority w:val="99"/>
    <w:rPr>
      <w:rFonts w:ascii="Calibri" w:hAnsi="Calibri" w:eastAsia="宋体" w:cs="黑体"/>
      <w:sz w:val="18"/>
      <w:szCs w:val="18"/>
    </w:rPr>
  </w:style>
  <w:style w:type="paragraph" w:customStyle="1" w:styleId="14">
    <w:name w:val="列出段落2"/>
    <w:basedOn w:val="1"/>
    <w:qFormat/>
    <w:uiPriority w:val="34"/>
    <w:pPr>
      <w:ind w:firstLine="420" w:firstLineChars="200"/>
    </w:pPr>
  </w:style>
  <w:style w:type="paragraph" w:customStyle="1" w:styleId="15">
    <w:name w:val="样式1"/>
    <w:basedOn w:val="1"/>
    <w:qFormat/>
    <w:uiPriority w:val="0"/>
    <w:pPr>
      <w:adjustRightInd w:val="0"/>
      <w:snapToGrid w:val="0"/>
      <w:spacing w:beforeLines="50"/>
      <w:jc w:val="left"/>
    </w:pPr>
    <w:rPr>
      <w:rFonts w:ascii="宋体" w:hAnsi="宋体"/>
      <w:snapToGrid w:val="0"/>
      <w:kern w:val="0"/>
      <w:szCs w:val="30"/>
    </w:rPr>
  </w:style>
  <w:style w:type="character" w:customStyle="1" w:styleId="16">
    <w:name w:val="批注框文本 字符"/>
    <w:basedOn w:val="8"/>
    <w:link w:val="5"/>
    <w:semiHidden/>
    <w:qFormat/>
    <w:uiPriority w:val="99"/>
    <w:rPr>
      <w:rFonts w:ascii="Calibri" w:hAnsi="Calibri" w:cs="黑体"/>
      <w:kern w:val="2"/>
      <w:sz w:val="18"/>
      <w:szCs w:val="18"/>
    </w:rPr>
  </w:style>
  <w:style w:type="character" w:customStyle="1" w:styleId="17">
    <w:name w:val="文档结构图 字符"/>
    <w:basedOn w:val="8"/>
    <w:link w:val="3"/>
    <w:semiHidden/>
    <w:qFormat/>
    <w:uiPriority w:val="99"/>
    <w:rPr>
      <w:rFonts w:ascii="宋体" w:hAnsi="Calibri" w:cs="黑体"/>
      <w:kern w:val="2"/>
      <w:sz w:val="18"/>
      <w:szCs w:val="18"/>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1518</Words>
  <Characters>132</Characters>
  <Lines>1</Lines>
  <Paragraphs>3</Paragraphs>
  <TotalTime>55</TotalTime>
  <ScaleCrop>false</ScaleCrop>
  <LinksUpToDate>false</LinksUpToDate>
  <CharactersWithSpaces>1647</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2021-02-27T02:34:00Z</dcterms:created>
  <dc:creator>xiaofu</dc:creator>
  <cp:lastModifiedBy>彭雪海</cp:lastModifiedBy>
  <dcterms:modified xsi:type="dcterms:W3CDTF">2021-12-14T10:48:45Z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