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sz w:val="32"/>
          <w:szCs w:val="32"/>
        </w:rPr>
      </w:pPr>
      <w:bookmarkStart w:id="0" w:name="_Toc34322699"/>
      <w:bookmarkStart w:id="1" w:name="_Toc36127029"/>
      <w:r>
        <w:rPr>
          <w:rFonts w:hint="eastAsia" w:ascii="黑体" w:hAnsi="黑体" w:eastAsia="黑体" w:cs="黑体"/>
          <w:color w:val="000000"/>
          <w:sz w:val="32"/>
          <w:szCs w:val="32"/>
        </w:rPr>
        <w:t>京环发〔</w:t>
      </w:r>
      <w:r>
        <w:rPr>
          <w:rFonts w:hint="eastAsia" w:ascii="黑体" w:hAnsi="黑体" w:eastAsia="黑体" w:cs="黑体"/>
          <w:sz w:val="32"/>
          <w:szCs w:val="32"/>
        </w:rPr>
        <w:t>20</w:t>
      </w:r>
      <w:r>
        <w:rPr>
          <w:rFonts w:hint="eastAsia" w:ascii="黑体" w:hAnsi="黑体" w:eastAsia="黑体" w:cs="黑体"/>
          <w:sz w:val="32"/>
          <w:szCs w:val="32"/>
          <w:lang w:val="en-US" w:eastAsia="zh-CN"/>
        </w:rPr>
        <w:t>26</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7</w:t>
      </w:r>
      <w:r>
        <w:rPr>
          <w:rFonts w:hint="eastAsia" w:ascii="黑体" w:hAnsi="黑体" w:eastAsia="黑体" w:cs="黑体"/>
          <w:color w:val="000000"/>
          <w:sz w:val="32"/>
          <w:szCs w:val="32"/>
        </w:rPr>
        <w:t>号</w:t>
      </w:r>
      <w:r>
        <w:rPr>
          <w:rFonts w:hint="eastAsia" w:ascii="黑体" w:hAnsi="黑体" w:eastAsia="黑体" w:cs="黑体"/>
          <w:sz w:val="32"/>
          <w:szCs w:val="32"/>
        </w:rPr>
        <w:t>附件1</w:t>
      </w:r>
      <w:r>
        <w:rPr>
          <w:rFonts w:hint="eastAsia" w:ascii="黑体" w:hAnsi="黑体" w:eastAsia="黑体" w:cs="黑体"/>
          <w:b/>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b/>
          <w:sz w:val="32"/>
          <w:szCs w:val="32"/>
        </w:rPr>
        <w:instrText xml:space="preserve">ADDIN CNKISM.UserStyle</w:instrText>
      </w:r>
      <w:r>
        <w:rPr>
          <w:rFonts w:hint="eastAsia" w:ascii="黑体" w:hAnsi="黑体" w:eastAsia="黑体" w:cs="黑体"/>
          <w:b/>
          <w:sz w:val="32"/>
          <w:szCs w:val="32"/>
        </w:rPr>
        <w:fldChar w:fldCharType="end"/>
      </w:r>
    </w:p>
    <w:p>
      <w:pPr>
        <w:ind w:firstLine="658"/>
        <w:jc w:val="center"/>
        <w:rPr>
          <w:b/>
          <w:sz w:val="44"/>
          <w:szCs w:val="44"/>
        </w:rPr>
      </w:pPr>
    </w:p>
    <w:p>
      <w:pPr>
        <w:spacing w:line="560" w:lineRule="exact"/>
        <w:jc w:val="center"/>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北京市碳排放单位二氧化碳排放</w:t>
      </w:r>
    </w:p>
    <w:p>
      <w:pPr>
        <w:spacing w:line="560" w:lineRule="exact"/>
        <w:jc w:val="center"/>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核算和报告要求</w:t>
      </w:r>
    </w:p>
    <w:p>
      <w:pPr>
        <w:spacing w:line="560" w:lineRule="exact"/>
        <w:jc w:val="center"/>
        <w:rPr>
          <w:rFonts w:hint="eastAsia" w:ascii="方正公文小标宋" w:hAnsi="方正公文小标宋" w:eastAsia="方正公文小标宋" w:cs="方正公文小标宋"/>
          <w:bCs/>
          <w:sz w:val="44"/>
          <w:szCs w:val="44"/>
        </w:rPr>
      </w:pP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二氧化碳排放核算和报告是指碳排放单位按照所在行业二氧化碳排放核算和报告要求系列标准，报告能源消费等相关活动水平数据，及生产、服务相关行业典型参数等信息，核算二氧化碳排放量并提交二氧化碳排放报告。为切实提升本市碳排放权交易相关数据的科学性和规范性，对碳排放核算和报告提出如下要求：</w:t>
      </w:r>
    </w:p>
    <w:bookmarkEnd w:id="0"/>
    <w:bookmarkEnd w:id="1"/>
    <w:p>
      <w:pPr>
        <w:spacing w:line="560" w:lineRule="exact"/>
        <w:ind w:firstLine="640" w:firstLineChars="200"/>
        <w:rPr>
          <w:rFonts w:ascii="黑体" w:hAnsi="黑体" w:eastAsia="黑体" w:cs="黑体"/>
          <w:b w:val="0"/>
          <w:bCs w:val="0"/>
          <w:sz w:val="32"/>
          <w:szCs w:val="32"/>
        </w:rPr>
      </w:pPr>
      <w:bookmarkStart w:id="2" w:name="_Toc34322700"/>
      <w:bookmarkStart w:id="3" w:name="_Toc334015614"/>
      <w:bookmarkStart w:id="4" w:name="_Toc36127030"/>
      <w:r>
        <w:rPr>
          <w:rFonts w:hint="eastAsia" w:ascii="黑体" w:hAnsi="黑体" w:eastAsia="黑体" w:cs="黑体"/>
          <w:b w:val="0"/>
          <w:bCs w:val="0"/>
          <w:sz w:val="32"/>
          <w:szCs w:val="32"/>
        </w:rPr>
        <w:t>一、核算原则</w:t>
      </w:r>
      <w:bookmarkEnd w:id="2"/>
      <w:bookmarkEnd w:id="3"/>
      <w:bookmarkEnd w:id="4"/>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北京市二氧化碳排放报告制度遵循“谁排放谁报告”原则，设施所有者按照法人边界报告本单位二氧化碳排放，包括直接排放和间接排放。二氧化碳排放核算和报告还应遵循完整性、一致性、客观性和可溯源等原则。</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完整性是指碳排放单位所核算的二氧化碳排放量包括边界内直接排放和间接排放，具体为边界内化石燃料燃烧、工业生产过程和废弃物处理等产生的二氧化碳直接排放，使用外购电力和热力等对应的间接排放。</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一致性是指碳排放单位开展碳排放核算时，应确保年际间采用的核算方法及数据处理方法保持一致。</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客观性是指碳排放单位应保证排放量核算数据和相关活动水平数据客观准确，能够反映报告单位的相关活动水平和碳排放实际情况。</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可溯源是指碳排放单位对二氧化碳排放相关数据，包括活动水平数据、排放因子等的原始凭证、计算过程，进行全流程的记录留存，从而确保核查人员和主管机构能够溯源二氧化碳排放量。</w:t>
      </w:r>
    </w:p>
    <w:p>
      <w:pPr>
        <w:spacing w:line="560" w:lineRule="exact"/>
        <w:ind w:firstLine="640" w:firstLineChars="200"/>
        <w:rPr>
          <w:rFonts w:ascii="黑体" w:hAnsi="黑体" w:eastAsia="黑体" w:cs="黑体"/>
          <w:b w:val="0"/>
          <w:bCs w:val="0"/>
          <w:sz w:val="32"/>
          <w:szCs w:val="32"/>
        </w:rPr>
      </w:pPr>
      <w:bookmarkStart w:id="5" w:name="_Toc334015615"/>
      <w:bookmarkStart w:id="6" w:name="_Toc34322701"/>
      <w:bookmarkStart w:id="7" w:name="_Toc36127031"/>
      <w:r>
        <w:rPr>
          <w:rFonts w:hint="eastAsia" w:ascii="黑体" w:hAnsi="黑体" w:eastAsia="黑体" w:cs="黑体"/>
          <w:b w:val="0"/>
          <w:bCs w:val="0"/>
          <w:sz w:val="32"/>
          <w:szCs w:val="32"/>
        </w:rPr>
        <w:t>二、二氧化碳排放核算和报告要求</w:t>
      </w:r>
      <w:bookmarkEnd w:id="5"/>
      <w:bookmarkEnd w:id="6"/>
      <w:bookmarkEnd w:id="7"/>
    </w:p>
    <w:p>
      <w:pPr>
        <w:spacing w:line="56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（一）核算和报告要求</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碳排放单位按照所在行业二氧化碳排放核算和报告要求系列标准开展二氧化碳核算和报告工作，各行业对应的标准见下表。</w:t>
      </w:r>
    </w:p>
    <w:p>
      <w:pPr>
        <w:spacing w:line="560" w:lineRule="exact"/>
        <w:ind w:firstLine="560" w:firstLineChars="200"/>
        <w:jc w:val="center"/>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各行业对应的核算和报告要求标准</w:t>
      </w:r>
    </w:p>
    <w:tbl>
      <w:tblPr>
        <w:tblStyle w:val="33"/>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43"/>
        <w:gridCol w:w="5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90" w:type="dxa"/>
            <w:vAlign w:val="center"/>
          </w:tcPr>
          <w:p>
            <w:pPr>
              <w:spacing w:line="360" w:lineRule="exact"/>
              <w:jc w:val="center"/>
              <w:rPr>
                <w:rFonts w:eastAsia="仿宋_GB2312"/>
                <w:b w:val="0"/>
                <w:bCs w:val="0"/>
                <w:sz w:val="24"/>
                <w:szCs w:val="24"/>
              </w:rPr>
            </w:pPr>
            <w:r>
              <w:rPr>
                <w:rFonts w:hint="eastAsia" w:eastAsia="仿宋_GB2312"/>
                <w:b w:val="0"/>
                <w:bCs w:val="0"/>
                <w:sz w:val="24"/>
                <w:szCs w:val="24"/>
              </w:rPr>
              <w:t>序号</w:t>
            </w:r>
          </w:p>
        </w:tc>
        <w:tc>
          <w:tcPr>
            <w:tcW w:w="2143" w:type="dxa"/>
            <w:vAlign w:val="center"/>
          </w:tcPr>
          <w:p>
            <w:pPr>
              <w:spacing w:line="360" w:lineRule="exact"/>
              <w:jc w:val="center"/>
              <w:rPr>
                <w:rFonts w:eastAsia="仿宋_GB2312"/>
                <w:b w:val="0"/>
                <w:bCs w:val="0"/>
                <w:sz w:val="24"/>
                <w:szCs w:val="24"/>
              </w:rPr>
            </w:pPr>
            <w:r>
              <w:rPr>
                <w:rFonts w:hint="eastAsia" w:eastAsia="仿宋_GB2312"/>
                <w:b w:val="0"/>
                <w:bCs w:val="0"/>
                <w:sz w:val="24"/>
                <w:szCs w:val="24"/>
              </w:rPr>
              <w:t>行业</w:t>
            </w:r>
          </w:p>
        </w:tc>
        <w:tc>
          <w:tcPr>
            <w:tcW w:w="5792" w:type="dxa"/>
            <w:vAlign w:val="center"/>
          </w:tcPr>
          <w:p>
            <w:pPr>
              <w:spacing w:line="360" w:lineRule="exact"/>
              <w:jc w:val="center"/>
              <w:rPr>
                <w:rFonts w:eastAsia="仿宋_GB2312"/>
                <w:b w:val="0"/>
                <w:bCs w:val="0"/>
                <w:sz w:val="24"/>
                <w:szCs w:val="24"/>
              </w:rPr>
            </w:pPr>
            <w:r>
              <w:rPr>
                <w:rFonts w:hint="eastAsia" w:eastAsia="仿宋_GB2312"/>
                <w:b w:val="0"/>
                <w:bCs w:val="0"/>
                <w:sz w:val="24"/>
                <w:szCs w:val="24"/>
              </w:rPr>
              <w:t>核算标准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Align w:val="center"/>
          </w:tcPr>
          <w:p>
            <w:pPr>
              <w:spacing w:line="360" w:lineRule="exact"/>
              <w:jc w:val="center"/>
              <w:rPr>
                <w:rFonts w:eastAsia="仿宋_GB2312"/>
                <w:b w:val="0"/>
                <w:bCs w:val="0"/>
                <w:sz w:val="24"/>
                <w:szCs w:val="24"/>
              </w:rPr>
            </w:pPr>
            <w:r>
              <w:rPr>
                <w:rFonts w:eastAsia="仿宋_GB2312"/>
                <w:b w:val="0"/>
                <w:bCs w:val="0"/>
                <w:sz w:val="24"/>
                <w:szCs w:val="24"/>
              </w:rPr>
              <w:t>1</w:t>
            </w:r>
          </w:p>
        </w:tc>
        <w:tc>
          <w:tcPr>
            <w:tcW w:w="2143" w:type="dxa"/>
            <w:vAlign w:val="center"/>
          </w:tcPr>
          <w:p>
            <w:pPr>
              <w:spacing w:line="360" w:lineRule="exact"/>
              <w:jc w:val="center"/>
              <w:rPr>
                <w:rFonts w:eastAsia="仿宋_GB2312"/>
                <w:b w:val="0"/>
                <w:bCs w:val="0"/>
                <w:sz w:val="24"/>
                <w:szCs w:val="24"/>
              </w:rPr>
            </w:pPr>
            <w:r>
              <w:rPr>
                <w:rFonts w:hint="eastAsia" w:eastAsia="仿宋_GB2312"/>
                <w:b w:val="0"/>
                <w:bCs w:val="0"/>
                <w:sz w:val="24"/>
                <w:szCs w:val="24"/>
              </w:rPr>
              <w:t>电力生产业</w:t>
            </w:r>
          </w:p>
        </w:tc>
        <w:tc>
          <w:tcPr>
            <w:tcW w:w="5792" w:type="dxa"/>
            <w:vAlign w:val="center"/>
          </w:tcPr>
          <w:p>
            <w:pPr>
              <w:spacing w:line="360" w:lineRule="exact"/>
              <w:jc w:val="center"/>
              <w:rPr>
                <w:rFonts w:eastAsia="仿宋_GB2312"/>
                <w:b w:val="0"/>
                <w:bCs w:val="0"/>
                <w:sz w:val="24"/>
                <w:szCs w:val="24"/>
              </w:rPr>
            </w:pPr>
            <w:r>
              <w:rPr>
                <w:rFonts w:hint="eastAsia" w:eastAsia="仿宋_GB2312"/>
                <w:b w:val="0"/>
                <w:bCs w:val="0"/>
                <w:sz w:val="24"/>
                <w:szCs w:val="24"/>
              </w:rPr>
              <w:t>《二氧化碳排放核算和报告要求</w:t>
            </w:r>
            <w:r>
              <w:rPr>
                <w:rFonts w:eastAsia="仿宋_GB2312"/>
                <w:b w:val="0"/>
                <w:bCs w:val="0"/>
                <w:sz w:val="24"/>
                <w:szCs w:val="24"/>
              </w:rPr>
              <w:t xml:space="preserve"> </w:t>
            </w:r>
            <w:r>
              <w:rPr>
                <w:rFonts w:hint="eastAsia" w:eastAsia="仿宋_GB2312"/>
                <w:b w:val="0"/>
                <w:bCs w:val="0"/>
                <w:sz w:val="24"/>
                <w:szCs w:val="24"/>
              </w:rPr>
              <w:t>电力生产业》</w:t>
            </w:r>
          </w:p>
          <w:p>
            <w:pPr>
              <w:spacing w:line="360" w:lineRule="exact"/>
              <w:jc w:val="center"/>
              <w:rPr>
                <w:rFonts w:eastAsia="仿宋_GB2312"/>
                <w:b w:val="0"/>
                <w:bCs w:val="0"/>
                <w:sz w:val="24"/>
                <w:szCs w:val="24"/>
              </w:rPr>
            </w:pPr>
            <w:r>
              <w:rPr>
                <w:rFonts w:hint="eastAsia" w:eastAsia="仿宋_GB2312"/>
                <w:b w:val="0"/>
                <w:bCs w:val="0"/>
                <w:sz w:val="24"/>
                <w:szCs w:val="24"/>
              </w:rPr>
              <w:t>（</w:t>
            </w:r>
            <w:r>
              <w:rPr>
                <w:rFonts w:eastAsia="仿宋_GB2312"/>
                <w:b w:val="0"/>
                <w:bCs w:val="0"/>
                <w:sz w:val="24"/>
                <w:szCs w:val="24"/>
              </w:rPr>
              <w:t>DB11/T 1781-2020</w:t>
            </w:r>
            <w:r>
              <w:rPr>
                <w:rFonts w:hint="eastAsia" w:eastAsia="仿宋_GB2312"/>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90" w:type="dxa"/>
            <w:vAlign w:val="center"/>
          </w:tcPr>
          <w:p>
            <w:pPr>
              <w:spacing w:line="360" w:lineRule="exact"/>
              <w:jc w:val="center"/>
              <w:rPr>
                <w:rFonts w:eastAsia="仿宋_GB2312"/>
                <w:b w:val="0"/>
                <w:bCs w:val="0"/>
                <w:sz w:val="24"/>
                <w:szCs w:val="24"/>
              </w:rPr>
            </w:pPr>
            <w:r>
              <w:rPr>
                <w:rFonts w:eastAsia="仿宋_GB2312"/>
                <w:b w:val="0"/>
                <w:bCs w:val="0"/>
                <w:sz w:val="24"/>
                <w:szCs w:val="24"/>
              </w:rPr>
              <w:t>2</w:t>
            </w:r>
          </w:p>
        </w:tc>
        <w:tc>
          <w:tcPr>
            <w:tcW w:w="2143" w:type="dxa"/>
            <w:shd w:val="clear" w:color="auto" w:fill="auto"/>
            <w:vAlign w:val="center"/>
          </w:tcPr>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石油化工生产业</w:t>
            </w:r>
          </w:p>
        </w:tc>
        <w:tc>
          <w:tcPr>
            <w:tcW w:w="5792" w:type="dxa"/>
            <w:shd w:val="clear" w:color="auto" w:fill="auto"/>
            <w:vAlign w:val="center"/>
          </w:tcPr>
          <w:p>
            <w:pPr>
              <w:spacing w:line="360" w:lineRule="exact"/>
              <w:jc w:val="center"/>
              <w:rPr>
                <w:rFonts w:eastAsia="仿宋_GB2312"/>
                <w:b w:val="0"/>
                <w:bCs w:val="0"/>
                <w:sz w:val="24"/>
                <w:szCs w:val="24"/>
              </w:rPr>
            </w:pPr>
            <w:r>
              <w:rPr>
                <w:rFonts w:hint="eastAsia" w:eastAsia="仿宋_GB2312"/>
                <w:b w:val="0"/>
                <w:bCs w:val="0"/>
                <w:sz w:val="24"/>
                <w:szCs w:val="24"/>
              </w:rPr>
              <w:t>《二氧化碳排放核算和报告要求</w:t>
            </w:r>
            <w:r>
              <w:rPr>
                <w:rFonts w:eastAsia="仿宋_GB2312"/>
                <w:b w:val="0"/>
                <w:bCs w:val="0"/>
                <w:sz w:val="24"/>
                <w:szCs w:val="24"/>
              </w:rPr>
              <w:t xml:space="preserve"> </w:t>
            </w:r>
            <w:r>
              <w:rPr>
                <w:rFonts w:hint="eastAsia" w:eastAsia="仿宋_GB2312"/>
                <w:b w:val="0"/>
                <w:bCs w:val="0"/>
                <w:sz w:val="24"/>
                <w:szCs w:val="24"/>
              </w:rPr>
              <w:t>石油化工生产业》</w:t>
            </w:r>
          </w:p>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w:t>
            </w:r>
            <w:r>
              <w:rPr>
                <w:rFonts w:eastAsia="仿宋_GB2312"/>
                <w:b w:val="0"/>
                <w:bCs w:val="0"/>
                <w:sz w:val="24"/>
                <w:szCs w:val="24"/>
              </w:rPr>
              <w:t>DB11/T 1783-2020</w:t>
            </w:r>
            <w:r>
              <w:rPr>
                <w:rFonts w:hint="eastAsia" w:eastAsia="仿宋_GB2312"/>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790" w:type="dxa"/>
            <w:vAlign w:val="center"/>
          </w:tcPr>
          <w:p>
            <w:pPr>
              <w:spacing w:line="360" w:lineRule="exact"/>
              <w:jc w:val="center"/>
              <w:rPr>
                <w:rFonts w:eastAsia="仿宋_GB2312"/>
                <w:b w:val="0"/>
                <w:bCs w:val="0"/>
                <w:sz w:val="24"/>
                <w:szCs w:val="24"/>
              </w:rPr>
            </w:pPr>
            <w:r>
              <w:rPr>
                <w:rFonts w:eastAsia="仿宋_GB2312"/>
                <w:b w:val="0"/>
                <w:bCs w:val="0"/>
                <w:sz w:val="24"/>
                <w:szCs w:val="24"/>
              </w:rPr>
              <w:t>3</w:t>
            </w:r>
          </w:p>
        </w:tc>
        <w:tc>
          <w:tcPr>
            <w:tcW w:w="2143" w:type="dxa"/>
            <w:shd w:val="clear" w:color="auto" w:fill="auto"/>
            <w:vAlign w:val="center"/>
          </w:tcPr>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热力生产和供应业</w:t>
            </w:r>
          </w:p>
        </w:tc>
        <w:tc>
          <w:tcPr>
            <w:tcW w:w="5792" w:type="dxa"/>
            <w:shd w:val="clear" w:color="auto" w:fill="auto"/>
            <w:vAlign w:val="center"/>
          </w:tcPr>
          <w:p>
            <w:pPr>
              <w:spacing w:line="360" w:lineRule="exact"/>
              <w:jc w:val="center"/>
              <w:rPr>
                <w:rFonts w:eastAsia="仿宋_GB2312"/>
                <w:b w:val="0"/>
                <w:bCs w:val="0"/>
                <w:sz w:val="24"/>
                <w:szCs w:val="24"/>
              </w:rPr>
            </w:pPr>
            <w:r>
              <w:rPr>
                <w:rFonts w:hint="eastAsia" w:eastAsia="仿宋_GB2312"/>
                <w:b w:val="0"/>
                <w:bCs w:val="0"/>
                <w:sz w:val="24"/>
                <w:szCs w:val="24"/>
              </w:rPr>
              <w:t>《二氧化碳排放核算和报告要求</w:t>
            </w:r>
            <w:r>
              <w:rPr>
                <w:rFonts w:eastAsia="仿宋_GB2312"/>
                <w:b w:val="0"/>
                <w:bCs w:val="0"/>
                <w:sz w:val="24"/>
                <w:szCs w:val="24"/>
              </w:rPr>
              <w:t xml:space="preserve"> </w:t>
            </w:r>
            <w:r>
              <w:rPr>
                <w:rFonts w:hint="eastAsia" w:eastAsia="仿宋_GB2312"/>
                <w:b w:val="0"/>
                <w:bCs w:val="0"/>
                <w:sz w:val="24"/>
                <w:szCs w:val="24"/>
              </w:rPr>
              <w:t>热力生产和供应业》</w:t>
            </w:r>
          </w:p>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w:t>
            </w:r>
            <w:r>
              <w:rPr>
                <w:rFonts w:eastAsia="仿宋_GB2312"/>
                <w:b w:val="0"/>
                <w:bCs w:val="0"/>
                <w:sz w:val="24"/>
                <w:szCs w:val="24"/>
              </w:rPr>
              <w:t>DB11/T 1784-2020</w:t>
            </w:r>
            <w:r>
              <w:rPr>
                <w:rFonts w:hint="eastAsia" w:eastAsia="仿宋_GB2312"/>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0" w:type="dxa"/>
            <w:vAlign w:val="center"/>
          </w:tcPr>
          <w:p>
            <w:pPr>
              <w:spacing w:line="360" w:lineRule="exact"/>
              <w:jc w:val="center"/>
              <w:rPr>
                <w:rFonts w:eastAsia="仿宋_GB2312"/>
                <w:b w:val="0"/>
                <w:bCs w:val="0"/>
                <w:sz w:val="24"/>
                <w:szCs w:val="24"/>
              </w:rPr>
            </w:pPr>
            <w:r>
              <w:rPr>
                <w:rFonts w:eastAsia="仿宋_GB2312"/>
                <w:b w:val="0"/>
                <w:bCs w:val="0"/>
                <w:sz w:val="24"/>
                <w:szCs w:val="24"/>
              </w:rPr>
              <w:t>4</w:t>
            </w:r>
          </w:p>
        </w:tc>
        <w:tc>
          <w:tcPr>
            <w:tcW w:w="2143" w:type="dxa"/>
            <w:shd w:val="clear" w:color="auto" w:fill="auto"/>
            <w:vAlign w:val="center"/>
          </w:tcPr>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服务业</w:t>
            </w:r>
          </w:p>
        </w:tc>
        <w:tc>
          <w:tcPr>
            <w:tcW w:w="5792" w:type="dxa"/>
            <w:shd w:val="clear" w:color="auto" w:fill="auto"/>
            <w:vAlign w:val="center"/>
          </w:tcPr>
          <w:p>
            <w:pPr>
              <w:spacing w:line="360" w:lineRule="exact"/>
              <w:jc w:val="center"/>
              <w:rPr>
                <w:rFonts w:eastAsia="仿宋_GB2312"/>
                <w:b w:val="0"/>
                <w:bCs w:val="0"/>
                <w:sz w:val="24"/>
                <w:szCs w:val="24"/>
              </w:rPr>
            </w:pPr>
            <w:r>
              <w:rPr>
                <w:rFonts w:hint="eastAsia" w:eastAsia="仿宋_GB2312"/>
                <w:b w:val="0"/>
                <w:bCs w:val="0"/>
                <w:sz w:val="24"/>
                <w:szCs w:val="24"/>
              </w:rPr>
              <w:t>《二氧化碳排放核算和报告要求</w:t>
            </w:r>
            <w:r>
              <w:rPr>
                <w:rFonts w:eastAsia="仿宋_GB2312"/>
                <w:b w:val="0"/>
                <w:bCs w:val="0"/>
                <w:sz w:val="24"/>
                <w:szCs w:val="24"/>
              </w:rPr>
              <w:t xml:space="preserve"> </w:t>
            </w:r>
            <w:r>
              <w:rPr>
                <w:rFonts w:hint="eastAsia" w:eastAsia="仿宋_GB2312"/>
                <w:b w:val="0"/>
                <w:bCs w:val="0"/>
                <w:sz w:val="24"/>
                <w:szCs w:val="24"/>
              </w:rPr>
              <w:t>服务业》</w:t>
            </w:r>
          </w:p>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w:t>
            </w:r>
            <w:r>
              <w:rPr>
                <w:rFonts w:eastAsia="仿宋_GB2312"/>
                <w:b w:val="0"/>
                <w:bCs w:val="0"/>
                <w:sz w:val="24"/>
                <w:szCs w:val="24"/>
              </w:rPr>
              <w:t>DB11/T 1785-2020</w:t>
            </w:r>
            <w:r>
              <w:rPr>
                <w:rFonts w:hint="eastAsia" w:eastAsia="仿宋_GB2312"/>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90" w:type="dxa"/>
            <w:vAlign w:val="center"/>
          </w:tcPr>
          <w:p>
            <w:pPr>
              <w:spacing w:line="360" w:lineRule="exact"/>
              <w:jc w:val="center"/>
              <w:rPr>
                <w:rFonts w:eastAsia="仿宋_GB2312"/>
                <w:b w:val="0"/>
                <w:bCs w:val="0"/>
                <w:sz w:val="24"/>
                <w:szCs w:val="24"/>
              </w:rPr>
            </w:pPr>
            <w:r>
              <w:rPr>
                <w:rFonts w:eastAsia="仿宋_GB2312"/>
                <w:b w:val="0"/>
                <w:bCs w:val="0"/>
                <w:sz w:val="24"/>
                <w:szCs w:val="24"/>
              </w:rPr>
              <w:t>5</w:t>
            </w:r>
          </w:p>
        </w:tc>
        <w:tc>
          <w:tcPr>
            <w:tcW w:w="2143" w:type="dxa"/>
            <w:shd w:val="clear" w:color="auto" w:fill="auto"/>
            <w:vAlign w:val="center"/>
          </w:tcPr>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道路运输和邮政业</w:t>
            </w:r>
          </w:p>
        </w:tc>
        <w:tc>
          <w:tcPr>
            <w:tcW w:w="5792" w:type="dxa"/>
            <w:shd w:val="clear" w:color="auto" w:fill="auto"/>
            <w:vAlign w:val="center"/>
          </w:tcPr>
          <w:p>
            <w:pPr>
              <w:spacing w:line="360" w:lineRule="exact"/>
              <w:jc w:val="center"/>
              <w:rPr>
                <w:rFonts w:eastAsia="仿宋_GB2312"/>
                <w:b w:val="0"/>
                <w:bCs w:val="0"/>
                <w:sz w:val="24"/>
                <w:szCs w:val="24"/>
              </w:rPr>
            </w:pPr>
            <w:r>
              <w:rPr>
                <w:rFonts w:hint="eastAsia" w:eastAsia="仿宋_GB2312"/>
                <w:b w:val="0"/>
                <w:bCs w:val="0"/>
                <w:sz w:val="24"/>
                <w:szCs w:val="24"/>
              </w:rPr>
              <w:t>《二氧化碳排放核算和报告要求</w:t>
            </w:r>
            <w:r>
              <w:rPr>
                <w:rFonts w:eastAsia="仿宋_GB2312"/>
                <w:b w:val="0"/>
                <w:bCs w:val="0"/>
                <w:sz w:val="24"/>
                <w:szCs w:val="24"/>
              </w:rPr>
              <w:t xml:space="preserve"> </w:t>
            </w:r>
            <w:r>
              <w:rPr>
                <w:rFonts w:hint="eastAsia" w:eastAsia="仿宋_GB2312"/>
                <w:b w:val="0"/>
                <w:bCs w:val="0"/>
                <w:sz w:val="24"/>
                <w:szCs w:val="24"/>
              </w:rPr>
              <w:t>道路运输业》</w:t>
            </w:r>
          </w:p>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w:t>
            </w:r>
            <w:r>
              <w:rPr>
                <w:rFonts w:eastAsia="仿宋_GB2312"/>
                <w:b w:val="0"/>
                <w:bCs w:val="0"/>
                <w:sz w:val="24"/>
                <w:szCs w:val="24"/>
              </w:rPr>
              <w:t>DB11/T 1786-2020</w:t>
            </w:r>
            <w:r>
              <w:rPr>
                <w:rFonts w:hint="eastAsia" w:eastAsia="仿宋_GB2312"/>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90" w:type="dxa"/>
            <w:vAlign w:val="center"/>
          </w:tcPr>
          <w:p>
            <w:pPr>
              <w:spacing w:line="360" w:lineRule="exact"/>
              <w:jc w:val="center"/>
              <w:rPr>
                <w:rFonts w:eastAsia="仿宋_GB2312"/>
                <w:b w:val="0"/>
                <w:bCs w:val="0"/>
                <w:sz w:val="24"/>
                <w:szCs w:val="24"/>
              </w:rPr>
            </w:pPr>
            <w:r>
              <w:rPr>
                <w:rFonts w:eastAsia="仿宋_GB2312"/>
                <w:b w:val="0"/>
                <w:bCs w:val="0"/>
                <w:sz w:val="24"/>
                <w:szCs w:val="24"/>
              </w:rPr>
              <w:t>6</w:t>
            </w:r>
          </w:p>
        </w:tc>
        <w:tc>
          <w:tcPr>
            <w:tcW w:w="2143" w:type="dxa"/>
            <w:shd w:val="clear" w:color="auto" w:fill="auto"/>
            <w:vAlign w:val="center"/>
          </w:tcPr>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其他行业</w:t>
            </w:r>
          </w:p>
        </w:tc>
        <w:tc>
          <w:tcPr>
            <w:tcW w:w="5792" w:type="dxa"/>
            <w:shd w:val="clear" w:color="auto" w:fill="auto"/>
            <w:vAlign w:val="center"/>
          </w:tcPr>
          <w:p>
            <w:pPr>
              <w:spacing w:line="360" w:lineRule="exact"/>
              <w:jc w:val="center"/>
              <w:rPr>
                <w:rFonts w:eastAsia="仿宋_GB2312"/>
                <w:b w:val="0"/>
                <w:bCs w:val="0"/>
                <w:sz w:val="24"/>
                <w:szCs w:val="24"/>
              </w:rPr>
            </w:pPr>
            <w:r>
              <w:rPr>
                <w:rFonts w:hint="eastAsia" w:eastAsia="仿宋_GB2312"/>
                <w:b w:val="0"/>
                <w:bCs w:val="0"/>
                <w:sz w:val="24"/>
                <w:szCs w:val="24"/>
              </w:rPr>
              <w:t>《二氧化碳排放核算和报告要求</w:t>
            </w:r>
            <w:r>
              <w:rPr>
                <w:rFonts w:eastAsia="仿宋_GB2312"/>
                <w:b w:val="0"/>
                <w:bCs w:val="0"/>
                <w:sz w:val="24"/>
                <w:szCs w:val="24"/>
              </w:rPr>
              <w:t xml:space="preserve"> </w:t>
            </w:r>
            <w:r>
              <w:rPr>
                <w:rFonts w:hint="eastAsia" w:eastAsia="仿宋_GB2312"/>
                <w:b w:val="0"/>
                <w:bCs w:val="0"/>
                <w:sz w:val="24"/>
                <w:szCs w:val="24"/>
              </w:rPr>
              <w:t>其他行业》</w:t>
            </w:r>
          </w:p>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w:t>
            </w:r>
            <w:r>
              <w:rPr>
                <w:rFonts w:eastAsia="仿宋_GB2312"/>
                <w:b w:val="0"/>
                <w:bCs w:val="0"/>
                <w:sz w:val="24"/>
                <w:szCs w:val="24"/>
              </w:rPr>
              <w:t>DB11/T 1787-2020</w:t>
            </w:r>
            <w:r>
              <w:rPr>
                <w:rFonts w:hint="eastAsia" w:eastAsia="仿宋_GB2312"/>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jc w:val="center"/>
        </w:trPr>
        <w:tc>
          <w:tcPr>
            <w:tcW w:w="790" w:type="dxa"/>
            <w:vAlign w:val="center"/>
          </w:tcPr>
          <w:p>
            <w:pPr>
              <w:spacing w:line="360" w:lineRule="exact"/>
              <w:jc w:val="center"/>
              <w:rPr>
                <w:rFonts w:eastAsia="仿宋_GB2312"/>
                <w:b w:val="0"/>
                <w:bCs w:val="0"/>
                <w:sz w:val="24"/>
                <w:szCs w:val="24"/>
              </w:rPr>
            </w:pPr>
            <w:r>
              <w:rPr>
                <w:rFonts w:eastAsia="仿宋_GB2312"/>
                <w:b w:val="0"/>
                <w:bCs w:val="0"/>
                <w:sz w:val="24"/>
                <w:szCs w:val="24"/>
              </w:rPr>
              <w:t>7</w:t>
            </w:r>
          </w:p>
        </w:tc>
        <w:tc>
          <w:tcPr>
            <w:tcW w:w="2143" w:type="dxa"/>
            <w:shd w:val="clear" w:color="auto" w:fill="auto"/>
            <w:vAlign w:val="center"/>
          </w:tcPr>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航空运输业</w:t>
            </w:r>
          </w:p>
        </w:tc>
        <w:tc>
          <w:tcPr>
            <w:tcW w:w="5792" w:type="dxa"/>
            <w:shd w:val="clear" w:color="auto" w:fill="auto"/>
            <w:vAlign w:val="center"/>
          </w:tcPr>
          <w:p>
            <w:pPr>
              <w:spacing w:line="360" w:lineRule="exact"/>
              <w:jc w:val="center"/>
              <w:rPr>
                <w:rFonts w:eastAsia="仿宋_GB2312"/>
                <w:b w:val="0"/>
                <w:bCs w:val="0"/>
                <w:sz w:val="24"/>
                <w:szCs w:val="24"/>
              </w:rPr>
            </w:pPr>
            <w:r>
              <w:rPr>
                <w:rFonts w:hint="eastAsia" w:eastAsia="仿宋_GB2312"/>
                <w:b w:val="0"/>
                <w:bCs w:val="0"/>
                <w:sz w:val="24"/>
                <w:szCs w:val="24"/>
              </w:rPr>
              <w:t>《二氧化碳排放核算和报告要求</w:t>
            </w:r>
            <w:r>
              <w:rPr>
                <w:rFonts w:eastAsia="仿宋_GB2312"/>
                <w:b w:val="0"/>
                <w:bCs w:val="0"/>
                <w:sz w:val="24"/>
                <w:szCs w:val="24"/>
              </w:rPr>
              <w:t xml:space="preserve"> </w:t>
            </w:r>
            <w:r>
              <w:rPr>
                <w:rFonts w:hint="eastAsia" w:eastAsia="仿宋_GB2312"/>
                <w:b w:val="0"/>
                <w:bCs w:val="0"/>
                <w:sz w:val="24"/>
                <w:szCs w:val="24"/>
              </w:rPr>
              <w:t>民用航空运输业》</w:t>
            </w:r>
          </w:p>
          <w:p>
            <w:pPr>
              <w:spacing w:line="360" w:lineRule="exact"/>
              <w:jc w:val="center"/>
              <w:rPr>
                <w:rFonts w:ascii="Times New Roman" w:hAnsi="Times New Roman" w:eastAsia="仿宋_GB2312" w:cs="Times New Roman"/>
                <w:b w:val="0"/>
                <w:bCs w:val="0"/>
                <w:kern w:val="2"/>
                <w:sz w:val="24"/>
                <w:szCs w:val="24"/>
                <w:lang w:val="en-US" w:eastAsia="zh-CN" w:bidi="ar-SA"/>
              </w:rPr>
            </w:pPr>
            <w:r>
              <w:rPr>
                <w:rFonts w:hint="eastAsia" w:eastAsia="仿宋_GB2312"/>
                <w:b w:val="0"/>
                <w:bCs w:val="0"/>
                <w:sz w:val="24"/>
                <w:szCs w:val="24"/>
              </w:rPr>
              <w:t>（</w:t>
            </w:r>
            <w:r>
              <w:rPr>
                <w:rFonts w:eastAsia="仿宋_GB2312"/>
                <w:b w:val="0"/>
                <w:bCs w:val="0"/>
                <w:sz w:val="24"/>
                <w:szCs w:val="24"/>
              </w:rPr>
              <w:t>DB11/T 2057-2022</w:t>
            </w:r>
            <w:r>
              <w:rPr>
                <w:rFonts w:hint="eastAsia" w:eastAsia="仿宋_GB2312"/>
                <w:b w:val="0"/>
                <w:bCs w:val="0"/>
                <w:sz w:val="24"/>
                <w:szCs w:val="24"/>
              </w:rPr>
              <w:t>）</w:t>
            </w:r>
          </w:p>
        </w:tc>
      </w:tr>
    </w:tbl>
    <w:p>
      <w:pPr>
        <w:spacing w:line="56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（备注：各行业标准文本可在</w:t>
      </w:r>
      <w:bookmarkStart w:id="8" w:name="OLE_LINK3"/>
      <w:bookmarkStart w:id="9" w:name="OLE_LINK4"/>
      <w:r>
        <w:rPr>
          <w:rFonts w:hint="eastAsia" w:ascii="仿宋_GB2312" w:hAnsi="仿宋_GB2312" w:eastAsia="仿宋_GB2312" w:cs="仿宋_GB2312"/>
          <w:b w:val="0"/>
          <w:bCs w:val="0"/>
          <w:sz w:val="28"/>
          <w:szCs w:val="28"/>
        </w:rPr>
        <w:t>北京市生态环境局政府网站-政务公开-地方标准</w:t>
      </w:r>
      <w:bookmarkEnd w:id="8"/>
      <w:bookmarkEnd w:id="9"/>
      <w:r>
        <w:rPr>
          <w:rFonts w:hint="eastAsia" w:ascii="仿宋_GB2312" w:hAnsi="仿宋_GB2312" w:eastAsia="仿宋_GB2312" w:cs="仿宋_GB2312"/>
          <w:b w:val="0"/>
          <w:bCs w:val="0"/>
          <w:sz w:val="28"/>
          <w:szCs w:val="28"/>
        </w:rPr>
        <w:t>或北京市碳排放权交易管理平台通知公告中查询）</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（二）重点说明事项</w:t>
      </w:r>
    </w:p>
    <w:p>
      <w:pPr>
        <w:numPr>
          <w:ilvl w:val="-1"/>
          <w:numId w:val="0"/>
        </w:numPr>
        <w:spacing w:line="560" w:lineRule="exact"/>
        <w:ind w:firstLine="640" w:firstLineChars="200"/>
        <w:jc w:val="left"/>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关于</w:t>
      </w:r>
      <w:r>
        <w:rPr>
          <w:rFonts w:hint="eastAsia" w:ascii="仿宋_GB2312" w:eastAsia="仿宋_GB2312" w:cs="Times New Roman"/>
          <w:b w:val="0"/>
          <w:bCs w:val="0"/>
          <w:sz w:val="32"/>
          <w:szCs w:val="32"/>
          <w:highlight w:val="none"/>
          <w:lang w:val="en-US" w:eastAsia="zh-CN"/>
        </w:rPr>
        <w:t>消费电力间接排放</w:t>
      </w:r>
      <w:r>
        <w:rPr>
          <w:rFonts w:hint="eastAsia" w:ascii="仿宋_GB2312" w:hAnsi="Times New Roman" w:eastAsia="仿宋_GB2312" w:cs="Times New Roman"/>
          <w:b w:val="0"/>
          <w:bCs w:val="0"/>
          <w:sz w:val="32"/>
          <w:szCs w:val="32"/>
          <w:highlight w:val="none"/>
          <w:lang w:val="en-US" w:eastAsia="zh-CN"/>
        </w:rPr>
        <w:t>核算</w:t>
      </w:r>
      <w:r>
        <w:rPr>
          <w:rFonts w:hint="eastAsia" w:ascii="仿宋_GB2312" w:eastAsia="仿宋_GB2312" w:cs="Times New Roman"/>
          <w:b w:val="0"/>
          <w:bCs w:val="0"/>
          <w:sz w:val="32"/>
          <w:szCs w:val="32"/>
          <w:highlight w:val="none"/>
          <w:lang w:val="en-US" w:eastAsia="zh-CN"/>
        </w:rPr>
        <w:t>方法</w:t>
      </w:r>
      <w:r>
        <w:rPr>
          <w:rFonts w:hint="eastAsia" w:ascii="仿宋_GB2312" w:hAnsi="Times New Roman" w:eastAsia="仿宋_GB2312" w:cs="Times New Roman"/>
          <w:b w:val="0"/>
          <w:bCs w:val="0"/>
          <w:sz w:val="32"/>
          <w:szCs w:val="32"/>
          <w:highlight w:val="none"/>
          <w:lang w:val="en-US" w:eastAsia="zh-CN"/>
        </w:rPr>
        <w:t>。</w:t>
      </w:r>
      <w:r>
        <w:rPr>
          <w:rFonts w:hint="eastAsia" w:ascii="仿宋_GB2312" w:eastAsia="仿宋_GB2312" w:cs="Times New Roman"/>
          <w:b w:val="0"/>
          <w:bCs w:val="0"/>
          <w:sz w:val="32"/>
          <w:szCs w:val="32"/>
          <w:highlight w:val="none"/>
          <w:lang w:val="en-US" w:eastAsia="zh-CN"/>
        </w:rPr>
        <w:t>对于</w:t>
      </w:r>
      <w:r>
        <w:rPr>
          <w:rFonts w:hint="eastAsia" w:ascii="仿宋_GB2312" w:hAnsi="Times New Roman" w:eastAsia="仿宋_GB2312" w:cs="Times New Roman"/>
          <w:b w:val="0"/>
          <w:bCs w:val="0"/>
          <w:sz w:val="32"/>
          <w:szCs w:val="32"/>
          <w:highlight w:val="none"/>
        </w:rPr>
        <w:t>直接电力市场化</w:t>
      </w:r>
      <w:r>
        <w:rPr>
          <w:rFonts w:hint="eastAsia" w:ascii="仿宋_GB2312" w:hAnsi="Times New Roman" w:eastAsia="仿宋_GB2312" w:cs="Times New Roman"/>
          <w:b w:val="0"/>
          <w:bCs w:val="0"/>
          <w:sz w:val="32"/>
          <w:szCs w:val="32"/>
          <w:highlight w:val="none"/>
          <w:lang w:val="en-US" w:eastAsia="zh-CN"/>
        </w:rPr>
        <w:t>购电</w:t>
      </w:r>
      <w:r>
        <w:rPr>
          <w:rFonts w:hint="eastAsia" w:ascii="仿宋_GB2312" w:hAnsi="Times New Roman" w:eastAsia="仿宋_GB2312" w:cs="Times New Roman"/>
          <w:b w:val="0"/>
          <w:bCs w:val="0"/>
          <w:sz w:val="32"/>
          <w:szCs w:val="32"/>
          <w:highlight w:val="none"/>
        </w:rPr>
        <w:t>的碳排放单位</w:t>
      </w:r>
      <w:r>
        <w:rPr>
          <w:rFonts w:hint="eastAsia" w:ascii="仿宋_GB2312" w:hAnsi="Times New Roman" w:eastAsia="仿宋_GB2312" w:cs="Times New Roman"/>
          <w:b w:val="0"/>
          <w:bCs w:val="0"/>
          <w:sz w:val="32"/>
          <w:szCs w:val="32"/>
          <w:highlight w:val="none"/>
          <w:lang w:eastAsia="zh-CN"/>
        </w:rPr>
        <w:t>，</w:t>
      </w:r>
      <w:r>
        <w:rPr>
          <w:rFonts w:hint="eastAsia" w:ascii="仿宋_GB2312" w:hAnsi="Times New Roman" w:eastAsia="仿宋_GB2312" w:cs="Times New Roman"/>
          <w:b w:val="0"/>
          <w:bCs w:val="0"/>
          <w:sz w:val="32"/>
          <w:szCs w:val="32"/>
          <w:highlight w:val="none"/>
          <w:lang w:val="en-US" w:eastAsia="zh-CN"/>
        </w:rPr>
        <w:t>其购买绿色电力碳排放核算为零，其购买火电按照</w:t>
      </w:r>
      <w:r>
        <w:rPr>
          <w:rFonts w:hint="eastAsia" w:ascii="仿宋_GB2312" w:eastAsia="仿宋_GB2312" w:cs="Times New Roman"/>
          <w:b w:val="0"/>
          <w:bCs w:val="0"/>
          <w:sz w:val="32"/>
          <w:szCs w:val="32"/>
          <w:highlight w:val="none"/>
          <w:lang w:val="en-US" w:eastAsia="zh-CN"/>
        </w:rPr>
        <w:t>全国</w:t>
      </w:r>
      <w:r>
        <w:rPr>
          <w:rFonts w:hint="eastAsia" w:ascii="仿宋_GB2312" w:hAnsi="Times New Roman" w:eastAsia="仿宋_GB2312" w:cs="Times New Roman"/>
          <w:b w:val="0"/>
          <w:bCs w:val="0"/>
          <w:sz w:val="32"/>
          <w:szCs w:val="32"/>
          <w:highlight w:val="none"/>
          <w:lang w:val="en-US" w:eastAsia="zh-CN"/>
        </w:rPr>
        <w:t>化石能源电力排放因子核算</w:t>
      </w:r>
      <w:r>
        <w:rPr>
          <w:rFonts w:hint="eastAsia" w:ascii="仿宋_GB2312" w:eastAsia="仿宋_GB2312" w:cs="Times New Roman"/>
          <w:b w:val="0"/>
          <w:bCs w:val="0"/>
          <w:sz w:val="32"/>
          <w:szCs w:val="32"/>
          <w:highlight w:val="none"/>
          <w:lang w:val="en-US" w:eastAsia="zh-CN"/>
        </w:rPr>
        <w:t>，全国化石能源电力排放因子为开展年度碳排放报告时，国家公布最新因子（化石能源电力因子为0.8273tCO</w:t>
      </w:r>
      <w:r>
        <w:rPr>
          <w:rFonts w:hint="eastAsia" w:ascii="仿宋_GB2312" w:eastAsia="仿宋_GB2312" w:cs="Times New Roman"/>
          <w:b w:val="0"/>
          <w:bCs w:val="0"/>
          <w:sz w:val="32"/>
          <w:szCs w:val="32"/>
          <w:highlight w:val="none"/>
          <w:vertAlign w:val="subscript"/>
          <w:lang w:val="en-US" w:eastAsia="zh-CN"/>
        </w:rPr>
        <w:t>2</w:t>
      </w:r>
      <w:r>
        <w:rPr>
          <w:rFonts w:hint="eastAsia" w:ascii="仿宋_GB2312" w:eastAsia="仿宋_GB2312" w:cs="Times New Roman"/>
          <w:b w:val="0"/>
          <w:bCs w:val="0"/>
          <w:sz w:val="32"/>
          <w:szCs w:val="32"/>
          <w:highlight w:val="none"/>
          <w:lang w:val="en-US" w:eastAsia="zh-CN"/>
        </w:rPr>
        <w:t>/MWh）</w:t>
      </w:r>
      <w:r>
        <w:rPr>
          <w:rFonts w:hint="eastAsia" w:ascii="仿宋_GB2312" w:hAnsi="Times New Roman" w:eastAsia="仿宋_GB2312" w:cs="Times New Roman"/>
          <w:b w:val="0"/>
          <w:bCs w:val="0"/>
          <w:sz w:val="32"/>
          <w:szCs w:val="32"/>
          <w:highlight w:val="none"/>
          <w:lang w:val="en-US" w:eastAsia="zh-CN"/>
        </w:rPr>
        <w:t>；对于使用电网电力的碳排放单位，其消费电力按照北京市核算与报告要求标准中公布的电网供电排放因子核算。</w:t>
      </w:r>
    </w:p>
    <w:p>
      <w:pPr>
        <w:pStyle w:val="180"/>
        <w:spacing w:line="560" w:lineRule="exact"/>
        <w:ind w:firstLine="640"/>
        <w:rPr>
          <w:rFonts w:hint="default" w:ascii="仿宋_GB2312" w:eastAsia="仿宋_GB2312"/>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关于数据中心碳排放核算要求。</w:t>
      </w:r>
      <w:r>
        <w:rPr>
          <w:rFonts w:hint="eastAsia" w:ascii="仿宋_GB2312" w:eastAsia="仿宋_GB2312"/>
          <w:b w:val="0"/>
          <w:bCs w:val="0"/>
          <w:sz w:val="32"/>
          <w:szCs w:val="32"/>
          <w:highlight w:val="none"/>
        </w:rPr>
        <w:t>重点碳</w:t>
      </w:r>
      <w:r>
        <w:rPr>
          <w:rFonts w:hint="eastAsia" w:ascii="仿宋_GB2312" w:eastAsia="仿宋_GB2312"/>
          <w:b w:val="0"/>
          <w:bCs w:val="0"/>
          <w:sz w:val="32"/>
          <w:szCs w:val="32"/>
        </w:rPr>
        <w:t>排放单位边界中含数据中</w:t>
      </w:r>
      <w:r>
        <w:rPr>
          <w:rFonts w:hint="eastAsia" w:ascii="仿宋_GB2312" w:eastAsia="仿宋_GB2312"/>
          <w:b w:val="0"/>
          <w:bCs w:val="0"/>
          <w:sz w:val="32"/>
          <w:szCs w:val="32"/>
          <w:highlight w:val="none"/>
        </w:rPr>
        <w:t>心，且数据中心年度电力消耗量500万千瓦时及以上时，应单独</w:t>
      </w:r>
      <w:r>
        <w:rPr>
          <w:rFonts w:hint="eastAsia" w:ascii="仿宋_GB2312" w:eastAsia="仿宋_GB2312"/>
          <w:b w:val="0"/>
          <w:bCs w:val="0"/>
          <w:sz w:val="32"/>
          <w:szCs w:val="32"/>
          <w:highlight w:val="none"/>
          <w:lang w:val="en-US" w:eastAsia="zh-CN"/>
        </w:rPr>
        <w:t>核算和报</w:t>
      </w:r>
      <w:bookmarkStart w:id="10" w:name="_GoBack"/>
      <w:bookmarkEnd w:id="10"/>
      <w:r>
        <w:rPr>
          <w:rFonts w:hint="eastAsia" w:ascii="仿宋_GB2312" w:eastAsia="仿宋_GB2312"/>
          <w:b w:val="0"/>
          <w:bCs w:val="0"/>
          <w:sz w:val="32"/>
          <w:szCs w:val="32"/>
          <w:highlight w:val="none"/>
          <w:lang w:val="en-US" w:eastAsia="zh-CN"/>
        </w:rPr>
        <w:t>告</w:t>
      </w:r>
      <w:r>
        <w:rPr>
          <w:rFonts w:hint="eastAsia" w:ascii="仿宋_GB2312" w:eastAsia="仿宋_GB2312"/>
          <w:b w:val="0"/>
          <w:bCs w:val="0"/>
          <w:sz w:val="32"/>
          <w:szCs w:val="32"/>
          <w:highlight w:val="none"/>
        </w:rPr>
        <w:t>数据中心碳排放量和活动水平数据</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lang w:val="en-US" w:eastAsia="zh-CN"/>
        </w:rPr>
        <w:t>对于数据中心排放量占排放总量90%以下单位，需将数据中心之外部分年度、基准年排放量单独核算并报告；对于数据中心排放量占排放总量90%（含）以上单位，无需将数据中心之外部分排放量拆分，按照碳排放单位排放总量报告。</w:t>
      </w:r>
    </w:p>
    <w:p>
      <w:pPr>
        <w:numPr>
          <w:ilvl w:val="-1"/>
          <w:numId w:val="0"/>
        </w:numPr>
        <w:spacing w:line="560" w:lineRule="exact"/>
        <w:ind w:firstLine="640" w:firstLineChars="200"/>
        <w:jc w:val="left"/>
        <w:rPr>
          <w:rFonts w:hint="default" w:ascii="仿宋_GB2312" w:hAnsi="仿宋_GB2312" w:eastAsia="仿宋_GB2312" w:cs="仿宋_GB2312"/>
          <w:b w:val="0"/>
          <w:bCs w:val="0"/>
          <w:sz w:val="28"/>
          <w:szCs w:val="28"/>
          <w:lang w:val="en-US" w:eastAsia="zh-CN"/>
        </w:rPr>
      </w:pPr>
      <w:r>
        <w:rPr>
          <w:rFonts w:hint="eastAsia" w:ascii="仿宋_GB2312" w:eastAsia="仿宋_GB2312"/>
          <w:b w:val="0"/>
          <w:bCs w:val="0"/>
          <w:sz w:val="32"/>
          <w:szCs w:val="32"/>
          <w:highlight w:val="none"/>
          <w:lang w:val="en-US" w:eastAsia="zh-CN"/>
        </w:rPr>
        <w:t>关于生活垃圾处置碳排放核算要求。对于存在生活垃圾焚烧等相关处置活动碳排放单位，需要核算报告矿物碳燃烧等产生的碳排放量及相关活动水平数据，相关碳排放量作为信息项，暂不纳入碳排放履约范围。</w:t>
      </w:r>
    </w:p>
    <w:p>
      <w:pPr>
        <w:spacing w:line="560"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）其他需要说明事项</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1.对于碳排放单位外购热力产生的二氧化碳间接排放，仅需要核算和报告有关数据，但不计入碳排放单位履约排放量。</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2.对于本市行政辖区内移动设施二氧化碳排放，道路运输和邮政行业纳入核算及履约边界；其他各行业仅核算并报告移动设施排放，暂不纳入履约边界。</w:t>
      </w:r>
    </w:p>
    <w:p>
      <w:pPr>
        <w:spacing w:line="560" w:lineRule="exact"/>
        <w:ind w:firstLine="640" w:firstLineChars="200"/>
        <w:rPr>
          <w:rFonts w:ascii="仿宋_GB2312" w:eastAsia="仿宋_GB2312"/>
          <w:b w:val="0"/>
          <w:bCs w:val="0"/>
          <w:sz w:val="32"/>
          <w:szCs w:val="32"/>
          <w:highlight w:val="none"/>
        </w:rPr>
      </w:pPr>
      <w:r>
        <w:rPr>
          <w:rFonts w:hint="eastAsia" w:ascii="仿宋_GB2312" w:eastAsia="仿宋_GB2312"/>
          <w:b w:val="0"/>
          <w:bCs w:val="0"/>
          <w:sz w:val="32"/>
          <w:szCs w:val="32"/>
        </w:rPr>
        <w:t>3.</w:t>
      </w:r>
      <w:r>
        <w:rPr>
          <w:rFonts w:hint="eastAsia" w:ascii="仿宋_GB2312" w:eastAsia="仿宋_GB2312"/>
          <w:b w:val="0"/>
          <w:bCs w:val="0"/>
          <w:sz w:val="32"/>
          <w:szCs w:val="32"/>
          <w:highlight w:val="none"/>
        </w:rPr>
        <w:t>对于重点碳排放单位存在转供电或电费代收代缴情况，若电力终端用户是重点碳排放单位，则电力终端用户报告此部分电力对应的碳排放；若电力终端用户不是重点碳排放单位，则此部分电力对应的碳排放由转供电或电费代收代缴主体报告。</w:t>
      </w:r>
    </w:p>
    <w:p>
      <w:pPr>
        <w:spacing w:line="560" w:lineRule="exact"/>
        <w:ind w:firstLine="640" w:firstLineChars="200"/>
        <w:rPr>
          <w:rFonts w:ascii="仿宋_GB2312" w:eastAsia="仿宋_GB2312"/>
          <w:b w:val="0"/>
          <w:bCs w:val="0"/>
          <w:sz w:val="32"/>
          <w:szCs w:val="32"/>
          <w:highlight w:val="none"/>
        </w:rPr>
      </w:pPr>
      <w:r>
        <w:rPr>
          <w:rFonts w:hint="eastAsia" w:ascii="仿宋_GB2312" w:eastAsia="仿宋_GB2312"/>
          <w:b w:val="0"/>
          <w:bCs w:val="0"/>
          <w:sz w:val="32"/>
          <w:szCs w:val="32"/>
          <w:highlight w:val="none"/>
          <w:lang w:eastAsia="zh-CN"/>
        </w:rPr>
        <w:t>4</w:t>
      </w:r>
      <w:r>
        <w:rPr>
          <w:rFonts w:ascii="仿宋_GB2312" w:eastAsia="仿宋_GB2312"/>
          <w:b w:val="0"/>
          <w:bCs w:val="0"/>
          <w:sz w:val="32"/>
          <w:szCs w:val="32"/>
          <w:highlight w:val="none"/>
        </w:rPr>
        <w:t>.</w:t>
      </w:r>
      <w:r>
        <w:rPr>
          <w:rFonts w:hint="eastAsia" w:ascii="仿宋_GB2312" w:eastAsia="仿宋_GB2312"/>
          <w:b w:val="0"/>
          <w:bCs w:val="0"/>
          <w:sz w:val="32"/>
          <w:szCs w:val="32"/>
          <w:highlight w:val="none"/>
        </w:rPr>
        <w:t>重点碳排放单位履约年度退出的既有设施历史基准年对应排放量的算术平均值大于等于5000吨时，应在年度排放报告中单独说明。</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.碳排放报告、</w:t>
      </w:r>
      <w:r>
        <w:rPr>
          <w:rFonts w:hint="eastAsia" w:ascii="仿宋_GB2312" w:hAnsi="Calibri" w:eastAsia="仿宋_GB2312"/>
          <w:b w:val="0"/>
          <w:bCs w:val="0"/>
          <w:sz w:val="32"/>
          <w:szCs w:val="32"/>
        </w:rPr>
        <w:t>数据质量控制方案</w:t>
      </w:r>
      <w:r>
        <w:rPr>
          <w:rFonts w:hint="eastAsia" w:ascii="仿宋_GB2312" w:eastAsia="仿宋_GB2312"/>
          <w:b w:val="0"/>
          <w:bCs w:val="0"/>
          <w:sz w:val="32"/>
          <w:szCs w:val="32"/>
        </w:rPr>
        <w:t>均须加盖碳排放单位公章后提交。</w:t>
      </w:r>
    </w:p>
    <w:p>
      <w:pPr>
        <w:spacing w:line="560" w:lineRule="exact"/>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三、相关工作术语</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基准年</w:t>
      </w:r>
      <w:r>
        <w:rPr>
          <w:rFonts w:hint="eastAsia" w:ascii="仿宋_GB2312" w:hAnsi="Calibri" w:eastAsia="仿宋_GB2312"/>
          <w:b w:val="0"/>
          <w:bCs w:val="0"/>
          <w:sz w:val="32"/>
          <w:szCs w:val="32"/>
        </w:rPr>
        <w:t>为重点碳排放单位履约年度前连续三年。</w:t>
      </w:r>
    </w:p>
    <w:p>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排放设施是指北京市行政辖区内排放二氧化碳的固定设施和注册地为北京市的移动设施。既有设施为基准年期间运行的设施；新增设施为基准年之后新投入运行的设施。</w:t>
      </w:r>
    </w:p>
    <w:p>
      <w:pPr>
        <w:widowControl/>
        <w:spacing w:line="560" w:lineRule="exact"/>
        <w:ind w:firstLine="640" w:firstLineChars="200"/>
        <w:jc w:val="left"/>
        <w:rPr>
          <w:rFonts w:hint="eastAsia" w:ascii="仿宋_GB2312" w:eastAsia="仿宋_GB2312"/>
          <w:b w:val="0"/>
          <w:bCs w:val="0"/>
          <w:sz w:val="32"/>
          <w:szCs w:val="32"/>
        </w:rPr>
      </w:pPr>
      <w:r>
        <w:rPr>
          <w:rFonts w:hint="eastAsia" w:ascii="仿宋_GB2312" w:eastAsia="仿宋_GB2312"/>
          <w:b w:val="0"/>
          <w:bCs w:val="0"/>
          <w:sz w:val="32"/>
          <w:szCs w:val="32"/>
        </w:rPr>
        <w:t>重点排放设施是指年度二氧化碳排放量大于5000吨(含)或占排放单位年度排放量大于20%(含)的排放设施。</w:t>
      </w:r>
    </w:p>
    <w:p>
      <w:pPr>
        <w:widowControl/>
        <w:spacing w:line="560" w:lineRule="exact"/>
        <w:ind w:firstLine="640" w:firstLineChars="200"/>
        <w:jc w:val="left"/>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重点碳排放单位是</w:t>
      </w:r>
      <w:r>
        <w:rPr>
          <w:rFonts w:hint="eastAsia" w:ascii="仿宋_GB2312" w:eastAsia="仿宋_GB2312"/>
          <w:b w:val="0"/>
          <w:bCs w:val="0"/>
          <w:sz w:val="32"/>
          <w:szCs w:val="32"/>
        </w:rPr>
        <w:t>指年度二氧化碳排放量</w:t>
      </w:r>
      <w:r>
        <w:rPr>
          <w:rFonts w:hint="eastAsia" w:ascii="仿宋_GB2312" w:eastAsia="仿宋_GB2312"/>
          <w:b w:val="0"/>
          <w:bCs w:val="0"/>
          <w:sz w:val="32"/>
          <w:szCs w:val="32"/>
          <w:lang w:val="en-US" w:eastAsia="zh-CN"/>
        </w:rPr>
        <w:t>达到</w:t>
      </w:r>
      <w:r>
        <w:rPr>
          <w:rFonts w:hint="eastAsia" w:ascii="仿宋_GB2312" w:eastAsia="仿宋_GB2312"/>
          <w:b w:val="0"/>
          <w:bCs w:val="0"/>
          <w:sz w:val="32"/>
          <w:szCs w:val="32"/>
        </w:rPr>
        <w:t>5000吨(含)</w:t>
      </w:r>
      <w:r>
        <w:rPr>
          <w:rFonts w:hint="eastAsia" w:ascii="仿宋_GB2312" w:eastAsia="仿宋_GB2312"/>
          <w:b w:val="0"/>
          <w:bCs w:val="0"/>
          <w:sz w:val="32"/>
          <w:szCs w:val="32"/>
          <w:lang w:val="en-US" w:eastAsia="zh-CN"/>
        </w:rPr>
        <w:t>的碳排放单位。当重点碳排放单位满足退出重点碳排放单位条件，需完成已发布的年度名单有关核查履约工作后，在后续名单发布时退出。因购买绿电退出的重点碳排放单位，需继续按照一般报告单位开展年度碳排放报告工作。</w:t>
      </w:r>
    </w:p>
    <w:sectPr>
      <w:footerReference r:id="rId3" w:type="default"/>
      <w:pgSz w:w="11906" w:h="16838"/>
      <w:pgMar w:top="2098" w:right="1474" w:bottom="1984" w:left="1587" w:header="737" w:footer="158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Tahoma">
    <w:altName w:val="DejaVu Sans"/>
    <w:panose1 w:val="020B0604030504040204"/>
    <w:charset w:val="00"/>
    <w:family w:val="swiss"/>
    <w:pitch w:val="default"/>
    <w:sig w:usb0="00000000" w:usb1="00000000" w:usb2="00000029" w:usb3="00000000" w:csb0="200101FF" w:csb1="20280000"/>
  </w:font>
  <w:font w:name="Times New Roman Bold">
    <w:altName w:val="Times New Roman"/>
    <w:panose1 w:val="02020803070505020304"/>
    <w:charset w:val="00"/>
    <w:family w:val="auto"/>
    <w:pitch w:val="default"/>
    <w:sig w:usb0="00000000" w:usb1="00000000" w:usb2="00000009" w:usb3="00000000" w:csb0="000001FF" w:csb1="00000000"/>
  </w:font>
  <w:font w:name="MS Mincho">
    <w:altName w:val="方正书宋_GBK"/>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国标宋体">
    <w:panose1 w:val="02000500000000000000"/>
    <w:charset w:val="86"/>
    <w:family w:val="auto"/>
    <w:pitch w:val="default"/>
    <w:sig w:usb0="00000001" w:usb1="2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30010"/>
    <w:multiLevelType w:val="multilevel"/>
    <w:tmpl w:val="01930010"/>
    <w:lvl w:ilvl="0" w:tentative="0">
      <w:start w:val="1"/>
      <w:numFmt w:val="decimal"/>
      <w:lvlText w:val="%1."/>
      <w:lvlJc w:val="left"/>
      <w:pPr>
        <w:ind w:left="-1057" w:hanging="360"/>
      </w:pPr>
    </w:lvl>
    <w:lvl w:ilvl="1" w:tentative="0">
      <w:start w:val="1"/>
      <w:numFmt w:val="decimal"/>
      <w:pStyle w:val="118"/>
      <w:isLgl/>
      <w:lvlText w:val="%1.%2."/>
      <w:lvlJc w:val="left"/>
      <w:pPr>
        <w:ind w:left="-340" w:hanging="720"/>
      </w:pPr>
      <w:rPr>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isLgl/>
      <w:lvlText w:val="%1.%2.%3."/>
      <w:lvlJc w:val="left"/>
      <w:pPr>
        <w:ind w:left="377" w:hanging="1080"/>
      </w:pPr>
    </w:lvl>
    <w:lvl w:ilvl="3" w:tentative="0">
      <w:start w:val="1"/>
      <w:numFmt w:val="decimal"/>
      <w:isLgl/>
      <w:lvlText w:val="%1.%2.%3.%4."/>
      <w:lvlJc w:val="left"/>
      <w:pPr>
        <w:ind w:left="1094" w:hanging="1440"/>
      </w:pPr>
    </w:lvl>
    <w:lvl w:ilvl="4" w:tentative="0">
      <w:start w:val="1"/>
      <w:numFmt w:val="decimal"/>
      <w:isLgl/>
      <w:lvlText w:val="%1.%2.%3.%4.%5."/>
      <w:lvlJc w:val="left"/>
      <w:pPr>
        <w:ind w:left="1451" w:hanging="1440"/>
      </w:pPr>
    </w:lvl>
    <w:lvl w:ilvl="5" w:tentative="0">
      <w:start w:val="1"/>
      <w:numFmt w:val="decimal"/>
      <w:isLgl/>
      <w:lvlText w:val="%1.%2.%3.%4.%5.%6."/>
      <w:lvlJc w:val="left"/>
      <w:pPr>
        <w:ind w:left="2168" w:hanging="1800"/>
      </w:pPr>
    </w:lvl>
    <w:lvl w:ilvl="6" w:tentative="0">
      <w:start w:val="1"/>
      <w:numFmt w:val="decimal"/>
      <w:isLgl/>
      <w:lvlText w:val="%1.%2.%3.%4.%5.%6.%7."/>
      <w:lvlJc w:val="left"/>
      <w:pPr>
        <w:ind w:left="2885" w:hanging="2160"/>
      </w:pPr>
    </w:lvl>
    <w:lvl w:ilvl="7" w:tentative="0">
      <w:start w:val="1"/>
      <w:numFmt w:val="decimal"/>
      <w:isLgl/>
      <w:lvlText w:val="%1.%2.%3.%4.%5.%6.%7.%8."/>
      <w:lvlJc w:val="left"/>
      <w:pPr>
        <w:ind w:left="3602" w:hanging="2520"/>
      </w:pPr>
    </w:lvl>
    <w:lvl w:ilvl="8" w:tentative="0">
      <w:start w:val="1"/>
      <w:numFmt w:val="decimal"/>
      <w:isLgl/>
      <w:lvlText w:val="%1.%2.%3.%4.%5.%6.%7.%8.%9."/>
      <w:lvlJc w:val="left"/>
      <w:pPr>
        <w:ind w:left="4319" w:hanging="2880"/>
      </w:pPr>
    </w:lvl>
  </w:abstractNum>
  <w:abstractNum w:abstractNumId="1">
    <w:nsid w:val="06774409"/>
    <w:multiLevelType w:val="multilevel"/>
    <w:tmpl w:val="06774409"/>
    <w:lvl w:ilvl="0" w:tentative="0">
      <w:start w:val="1"/>
      <w:numFmt w:val="decimal"/>
      <w:pStyle w:val="123"/>
      <w:suff w:val="space"/>
      <w:lvlText w:val="附件 %1:"/>
      <w:lvlJc w:val="left"/>
      <w:pPr>
        <w:ind w:left="0" w:firstLine="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11BD30DF"/>
    <w:multiLevelType w:val="multilevel"/>
    <w:tmpl w:val="11BD30DF"/>
    <w:lvl w:ilvl="0" w:tentative="0">
      <w:start w:val="1"/>
      <w:numFmt w:val="upperRoman"/>
      <w:pStyle w:val="87"/>
      <w:suff w:val="space"/>
      <w:lvlText w:val="%1. "/>
      <w:lvlJc w:val="center"/>
      <w:pPr>
        <w:ind w:left="0" w:firstLine="0"/>
      </w:pPr>
      <w:rPr>
        <w:rFonts w:hint="default" w:ascii="Times New Roman Bold" w:hAnsi="Times New Roman Bold" w:cs="Times New Roman"/>
        <w:b/>
        <w:i w:val="0"/>
        <w:sz w:val="22"/>
      </w:rPr>
    </w:lvl>
    <w:lvl w:ilvl="1" w:tentative="0">
      <w:start w:val="1"/>
      <w:numFmt w:val="upperLetter"/>
      <w:pStyle w:val="83"/>
      <w:suff w:val="space"/>
      <w:lvlText w:val="%2. "/>
      <w:lvlJc w:val="center"/>
      <w:pPr>
        <w:ind w:left="0" w:firstLine="0"/>
      </w:pPr>
      <w:rPr>
        <w:b/>
        <w:strike w:val="0"/>
        <w:dstrike w:val="0"/>
        <w:sz w:val="22"/>
        <w:u w:val="none"/>
      </w:rPr>
    </w:lvl>
    <w:lvl w:ilvl="2" w:tentative="0">
      <w:start w:val="1"/>
      <w:numFmt w:val="decimal"/>
      <w:pStyle w:val="84"/>
      <w:suff w:val="space"/>
      <w:lvlText w:val="%3. "/>
      <w:lvlJc w:val="center"/>
      <w:pPr>
        <w:ind w:left="0" w:firstLine="0"/>
      </w:pPr>
      <w:rPr>
        <w:b w:val="0"/>
        <w:strike w:val="0"/>
        <w:dstrike w:val="0"/>
        <w:sz w:val="22"/>
        <w:u w:val="none"/>
      </w:rPr>
    </w:lvl>
    <w:lvl w:ilvl="3" w:tentative="0">
      <w:start w:val="1"/>
      <w:numFmt w:val="decimal"/>
      <w:lvlRestart w:val="0"/>
      <w:pStyle w:val="85"/>
      <w:lvlText w:val="%4."/>
      <w:lvlJc w:val="left"/>
      <w:pPr>
        <w:tabs>
          <w:tab w:val="left" w:pos="720"/>
        </w:tabs>
        <w:ind w:left="0" w:firstLine="0"/>
      </w:pPr>
      <w:rPr>
        <w:b w:val="0"/>
        <w:sz w:val="22"/>
      </w:rPr>
    </w:lvl>
    <w:lvl w:ilvl="4" w:tentative="0">
      <w:start w:val="1"/>
      <w:numFmt w:val="lowerLetter"/>
      <w:lvlText w:val="(%5)"/>
      <w:lvlJc w:val="left"/>
      <w:pPr>
        <w:tabs>
          <w:tab w:val="left" w:pos="1440"/>
        </w:tabs>
        <w:ind w:left="1440" w:hanging="720"/>
      </w:pPr>
      <w:rPr>
        <w:b w:val="0"/>
        <w:sz w:val="22"/>
      </w:rPr>
    </w:lvl>
    <w:lvl w:ilvl="5" w:tentative="0">
      <w:start w:val="1"/>
      <w:numFmt w:val="lowerRoman"/>
      <w:lvlText w:val="(%6)"/>
      <w:lvlJc w:val="right"/>
      <w:pPr>
        <w:tabs>
          <w:tab w:val="left" w:pos="2160"/>
        </w:tabs>
        <w:ind w:left="2160" w:hanging="573"/>
      </w:pPr>
    </w:lvl>
    <w:lvl w:ilvl="6" w:tentative="0">
      <w:start w:val="1"/>
      <w:numFmt w:val="lowerLetter"/>
      <w:lvlText w:val=""/>
      <w:lvlJc w:val="left"/>
      <w:pPr>
        <w:tabs>
          <w:tab w:val="left" w:pos="2880"/>
        </w:tabs>
        <w:ind w:left="2880" w:hanging="720"/>
      </w:pPr>
      <w:rPr>
        <w:rFonts w:hint="default" w:ascii="Symbol" w:hAnsi="Symbol"/>
      </w:rPr>
    </w:lvl>
    <w:lvl w:ilvl="7" w:tentative="0">
      <w:start w:val="1"/>
      <w:numFmt w:val="none"/>
      <w:lvlText w:val="[%4.%8"/>
      <w:lvlJc w:val="left"/>
      <w:pPr>
        <w:tabs>
          <w:tab w:val="left" w:pos="720"/>
        </w:tabs>
        <w:ind w:left="0" w:firstLine="0"/>
      </w:pPr>
    </w:lvl>
    <w:lvl w:ilvl="8" w:tentative="0">
      <w:start w:val="1"/>
      <w:numFmt w:val="none"/>
      <w:lvlText w:val="[(%5)%9"/>
      <w:lvlJc w:val="left"/>
      <w:pPr>
        <w:tabs>
          <w:tab w:val="left" w:pos="1440"/>
        </w:tabs>
        <w:ind w:left="1440" w:hanging="720"/>
      </w:pPr>
    </w:lvl>
  </w:abstractNum>
  <w:abstractNum w:abstractNumId="3">
    <w:nsid w:val="1650370D"/>
    <w:multiLevelType w:val="multilevel"/>
    <w:tmpl w:val="1650370D"/>
    <w:lvl w:ilvl="0" w:tentative="0">
      <w:start w:val="1"/>
      <w:numFmt w:val="upperRoman"/>
      <w:suff w:val="space"/>
      <w:lvlText w:val="%1. "/>
      <w:lvlJc w:val="right"/>
      <w:pPr>
        <w:ind w:left="0" w:firstLine="244"/>
      </w:pPr>
      <w:rPr>
        <w:sz w:val="28"/>
      </w:rPr>
    </w:lvl>
    <w:lvl w:ilvl="1" w:tentative="0">
      <w:start w:val="1"/>
      <w:numFmt w:val="decimal"/>
      <w:pStyle w:val="122"/>
      <w:suff w:val="space"/>
      <w:lvlText w:val="%2. "/>
      <w:lvlJc w:val="left"/>
      <w:pPr>
        <w:ind w:left="0" w:firstLine="0"/>
      </w:pPr>
      <w:rPr>
        <w:b/>
        <w:strike w:val="0"/>
        <w:dstrike w:val="0"/>
        <w:sz w:val="22"/>
        <w:u w:val="none"/>
      </w:rPr>
    </w:lvl>
    <w:lvl w:ilvl="2" w:tentative="0">
      <w:start w:val="1"/>
      <w:numFmt w:val="lowerLetter"/>
      <w:pStyle w:val="121"/>
      <w:lvlText w:val="(%3)"/>
      <w:lvlJc w:val="left"/>
      <w:pPr>
        <w:tabs>
          <w:tab w:val="left" w:pos="720"/>
        </w:tabs>
        <w:ind w:left="720" w:hanging="720"/>
      </w:pPr>
      <w:rPr>
        <w:rFonts w:hint="default" w:ascii="Times New Roman" w:hAnsi="Times New Roman" w:cs="Times New Roman"/>
        <w:b w:val="0"/>
        <w:strike w:val="0"/>
        <w:dstrike w:val="0"/>
        <w:sz w:val="22"/>
        <w:u w:val="none"/>
      </w:rPr>
    </w:lvl>
    <w:lvl w:ilvl="3" w:tentative="0">
      <w:start w:val="1"/>
      <w:numFmt w:val="lowerRoman"/>
      <w:lvlText w:val="(%4)"/>
      <w:lvlJc w:val="right"/>
      <w:pPr>
        <w:tabs>
          <w:tab w:val="left" w:pos="1440"/>
        </w:tabs>
        <w:ind w:left="1440" w:hanging="533"/>
      </w:pPr>
      <w:rPr>
        <w:rFonts w:hint="default" w:ascii="Times New Roman" w:hAnsi="Times New Roman" w:cs="Times New Roman"/>
        <w:b w:val="0"/>
        <w:strike w:val="0"/>
        <w:dstrike w:val="0"/>
        <w:sz w:val="22"/>
        <w:u w:val="none"/>
      </w:rPr>
    </w:lvl>
    <w:lvl w:ilvl="4" w:tentative="0">
      <w:start w:val="1"/>
      <w:numFmt w:val="decimal"/>
      <w:pStyle w:val="120"/>
      <w:lvlText w:val="%5."/>
      <w:lvlJc w:val="left"/>
      <w:pPr>
        <w:tabs>
          <w:tab w:val="left" w:pos="644"/>
        </w:tabs>
        <w:ind w:left="284" w:firstLine="0"/>
      </w:pPr>
      <w:rPr>
        <w:rFonts w:hint="default" w:ascii="Times New Roman" w:hAnsi="Times New Roman" w:cs="Times New Roman"/>
        <w:b w:val="0"/>
        <w:strike w:val="0"/>
        <w:dstrike w:val="0"/>
        <w:sz w:val="22"/>
        <w:u w:val="none"/>
      </w:rPr>
    </w:lvl>
    <w:lvl w:ilvl="5" w:tentative="0">
      <w:start w:val="1"/>
      <w:numFmt w:val="lowerLetter"/>
      <w:lvlText w:val="(%6)"/>
      <w:lvlJc w:val="left"/>
      <w:pPr>
        <w:tabs>
          <w:tab w:val="left" w:pos="1440"/>
        </w:tabs>
        <w:ind w:left="1440" w:hanging="720"/>
      </w:pPr>
      <w:rPr>
        <w:strike w:val="0"/>
        <w:dstrike w:val="0"/>
        <w:sz w:val="22"/>
        <w:u w:val="none"/>
      </w:rPr>
    </w:lvl>
    <w:lvl w:ilvl="6" w:tentative="0">
      <w:start w:val="1"/>
      <w:numFmt w:val="decimal"/>
      <w:lvlText w:val="%7."/>
      <w:lvlJc w:val="left"/>
      <w:pPr>
        <w:tabs>
          <w:tab w:val="left" w:pos="1440"/>
        </w:tabs>
        <w:ind w:left="1440" w:hanging="720"/>
      </w:pPr>
      <w:rPr>
        <w:rFonts w:hint="default" w:ascii="Symbol" w:hAnsi="Symbol"/>
        <w:strike w:val="0"/>
        <w:dstrike w:val="0"/>
        <w:sz w:val="22"/>
        <w:u w:val="none"/>
      </w:rPr>
    </w:lvl>
    <w:lvl w:ilvl="7" w:tentative="0">
      <w:start w:val="1"/>
      <w:numFmt w:val="lowerLetter"/>
      <w:lvlText w:val="(%8)"/>
      <w:lvlJc w:val="left"/>
      <w:pPr>
        <w:tabs>
          <w:tab w:val="left" w:pos="2160"/>
        </w:tabs>
        <w:ind w:left="2160" w:hanging="720"/>
      </w:pPr>
      <w:rPr>
        <w:strike w:val="0"/>
        <w:dstrike w:val="0"/>
        <w:sz w:val="22"/>
        <w:u w:val="none"/>
      </w:rPr>
    </w:lvl>
    <w:lvl w:ilvl="8" w:tentative="0">
      <w:start w:val="1"/>
      <w:numFmt w:val="lowerLetter"/>
      <w:lvlText w:val=""/>
      <w:lvlJc w:val="left"/>
      <w:pPr>
        <w:tabs>
          <w:tab w:val="left" w:pos="2880"/>
        </w:tabs>
        <w:ind w:left="2880" w:hanging="720"/>
      </w:pPr>
      <w:rPr>
        <w:rFonts w:hint="default" w:ascii="Symbol" w:hAnsi="Symbol"/>
        <w:strike w:val="0"/>
        <w:dstrike w:val="0"/>
        <w:u w:val="none"/>
      </w:rPr>
    </w:lvl>
  </w:abstractNum>
  <w:abstractNum w:abstractNumId="4">
    <w:nsid w:val="183C5C93"/>
    <w:multiLevelType w:val="multilevel"/>
    <w:tmpl w:val="183C5C93"/>
    <w:lvl w:ilvl="0" w:tentative="0">
      <w:start w:val="1"/>
      <w:numFmt w:val="decimal"/>
      <w:pStyle w:val="7"/>
      <w:lvlText w:val="表%1"/>
      <w:lvlJc w:val="center"/>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FC91163"/>
    <w:multiLevelType w:val="multilevel"/>
    <w:tmpl w:val="1FC91163"/>
    <w:lvl w:ilvl="0" w:tentative="0">
      <w:start w:val="1"/>
      <w:numFmt w:val="decimal"/>
      <w:pStyle w:val="16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99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204"/>
        </w:tabs>
        <w:ind w:left="0" w:firstLine="0"/>
      </w:pPr>
      <w:rPr>
        <w:rFonts w:hint="eastAsia"/>
      </w:rPr>
    </w:lvl>
    <w:lvl w:ilvl="8" w:tentative="0">
      <w:start w:val="1"/>
      <w:numFmt w:val="decimal"/>
      <w:lvlText w:val="%1.%2.%3.%4.%5.%6.%7.%8.%9"/>
      <w:lvlJc w:val="left"/>
      <w:pPr>
        <w:tabs>
          <w:tab w:val="left" w:pos="4630"/>
        </w:tabs>
        <w:ind w:left="0" w:firstLine="0"/>
      </w:pPr>
      <w:rPr>
        <w:rFonts w:hint="eastAsia"/>
      </w:rPr>
    </w:lvl>
  </w:abstractNum>
  <w:abstractNum w:abstractNumId="6">
    <w:nsid w:val="20B44A9E"/>
    <w:multiLevelType w:val="multilevel"/>
    <w:tmpl w:val="20B44A9E"/>
    <w:lvl w:ilvl="0" w:tentative="0">
      <w:start w:val="1"/>
      <w:numFmt w:val="upperRoman"/>
      <w:pStyle w:val="96"/>
      <w:suff w:val="space"/>
      <w:lvlText w:val="PART %1. "/>
      <w:lvlJc w:val="left"/>
      <w:pPr>
        <w:ind w:left="0" w:firstLine="0"/>
      </w:pPr>
    </w:lvl>
    <w:lvl w:ilvl="1" w:tentative="0">
      <w:start w:val="1"/>
      <w:numFmt w:val="upperLetter"/>
      <w:pStyle w:val="88"/>
      <w:suff w:val="space"/>
      <w:lvlText w:val="%2部分."/>
      <w:lvlJc w:val="left"/>
      <w:pPr>
        <w:ind w:left="568" w:firstLine="0"/>
      </w:pPr>
    </w:lvl>
    <w:lvl w:ilvl="2" w:tentative="0">
      <w:start w:val="1"/>
      <w:numFmt w:val="decimal"/>
      <w:pStyle w:val="158"/>
      <w:suff w:val="space"/>
      <w:lvlText w:val="%2.%3."/>
      <w:lvlJc w:val="left"/>
      <w:pPr>
        <w:ind w:left="0" w:firstLine="0"/>
      </w:pPr>
      <w:rPr>
        <w:i w:val="0"/>
      </w:rPr>
    </w:lvl>
    <w:lvl w:ilvl="3" w:tentative="0">
      <w:start w:val="1"/>
      <w:numFmt w:val="decimal"/>
      <w:pStyle w:val="90"/>
      <w:suff w:val="space"/>
      <w:lvlText w:val="%2.%3.%4."/>
      <w:lvlJc w:val="left"/>
      <w:pPr>
        <w:ind w:left="0" w:firstLine="0"/>
      </w:pPr>
    </w:lvl>
    <w:lvl w:ilvl="4" w:tentative="0">
      <w:start w:val="1"/>
      <w:numFmt w:val="decimal"/>
      <w:pStyle w:val="91"/>
      <w:suff w:val="space"/>
      <w:lvlText w:val="%2.%3.%4.%5."/>
      <w:lvlJc w:val="left"/>
      <w:pPr>
        <w:ind w:left="0" w:firstLine="0"/>
      </w:pPr>
    </w:lvl>
    <w:lvl w:ilvl="5" w:tentative="0">
      <w:start w:val="1"/>
      <w:numFmt w:val="decimal"/>
      <w:pStyle w:val="92"/>
      <w:suff w:val="space"/>
      <w:lvlText w:val="%2.%3.%4.%5.%6."/>
      <w:lvlJc w:val="left"/>
      <w:pPr>
        <w:ind w:left="0" w:firstLine="0"/>
      </w:pPr>
    </w:lvl>
    <w:lvl w:ilvl="6" w:tentative="0">
      <w:start w:val="1"/>
      <w:numFmt w:val="decimal"/>
      <w:pStyle w:val="93"/>
      <w:suff w:val="space"/>
      <w:lvlText w:val="%2.%3.%4.%5.%6.%7."/>
      <w:lvlJc w:val="left"/>
      <w:pPr>
        <w:ind w:left="1296" w:hanging="1296"/>
      </w:pPr>
    </w:lvl>
    <w:lvl w:ilvl="7" w:tentative="0">
      <w:start w:val="1"/>
      <w:numFmt w:val="decimal"/>
      <w:pStyle w:val="94"/>
      <w:suff w:val="space"/>
      <w:lvlText w:val="%2.%3.%4.%5.%6.%7.%8."/>
      <w:lvlJc w:val="left"/>
      <w:pPr>
        <w:ind w:left="0" w:firstLine="0"/>
      </w:pPr>
    </w:lvl>
    <w:lvl w:ilvl="8" w:tentative="0">
      <w:start w:val="1"/>
      <w:numFmt w:val="decimal"/>
      <w:pStyle w:val="95"/>
      <w:suff w:val="space"/>
      <w:lvlText w:val="%2.%3.%4.%5.%6.%7.%8.%9."/>
      <w:lvlJc w:val="left"/>
      <w:pPr>
        <w:ind w:left="0" w:firstLine="0"/>
      </w:pPr>
    </w:lvl>
  </w:abstractNum>
  <w:abstractNum w:abstractNumId="7">
    <w:nsid w:val="44C50F90"/>
    <w:multiLevelType w:val="multilevel"/>
    <w:tmpl w:val="44C50F90"/>
    <w:lvl w:ilvl="0" w:tentative="0">
      <w:start w:val="1"/>
      <w:numFmt w:val="lowerLetter"/>
      <w:pStyle w:val="166"/>
      <w:lvlText w:val="%1)"/>
      <w:lvlJc w:val="left"/>
      <w:pPr>
        <w:tabs>
          <w:tab w:val="left" w:pos="840"/>
        </w:tabs>
        <w:ind w:left="0" w:firstLine="0"/>
      </w:pPr>
      <w:rPr>
        <w:rFonts w:hint="eastAsia" w:ascii="宋体" w:eastAsia="宋体"/>
        <w:b w:val="0"/>
        <w:i w:val="0"/>
        <w:sz w:val="21"/>
        <w:szCs w:val="21"/>
      </w:rPr>
    </w:lvl>
    <w:lvl w:ilvl="1" w:tentative="0">
      <w:start w:val="1"/>
      <w:numFmt w:val="decimal"/>
      <w:pStyle w:val="165"/>
      <w:lvlText w:val="%2)"/>
      <w:lvlJc w:val="left"/>
      <w:pPr>
        <w:tabs>
          <w:tab w:val="left" w:pos="1260"/>
        </w:tabs>
        <w:ind w:left="1259" w:hanging="419"/>
      </w:pPr>
      <w:rPr>
        <w:rFonts w:hint="eastAsia"/>
      </w:rPr>
    </w:lvl>
    <w:lvl w:ilvl="2" w:tentative="0">
      <w:start w:val="1"/>
      <w:numFmt w:val="decimal"/>
      <w:pStyle w:val="16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483560B8"/>
    <w:multiLevelType w:val="multilevel"/>
    <w:tmpl w:val="483560B8"/>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EC75C86"/>
    <w:multiLevelType w:val="multilevel"/>
    <w:tmpl w:val="4EC75C86"/>
    <w:lvl w:ilvl="0" w:tentative="0">
      <w:start w:val="1"/>
      <w:numFmt w:val="decimal"/>
      <w:pStyle w:val="63"/>
      <w:lvlText w:val="%1、"/>
      <w:lvlJc w:val="right"/>
      <w:pPr>
        <w:tabs>
          <w:tab w:val="left" w:pos="2094"/>
        </w:tabs>
        <w:ind w:left="2094" w:firstLine="175"/>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F2C11B7"/>
    <w:multiLevelType w:val="multilevel"/>
    <w:tmpl w:val="4F2C11B7"/>
    <w:lvl w:ilvl="0" w:tentative="0">
      <w:start w:val="1"/>
      <w:numFmt w:val="decimal"/>
      <w:pStyle w:val="116"/>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4FFC3B48"/>
    <w:multiLevelType w:val="multilevel"/>
    <w:tmpl w:val="4FFC3B48"/>
    <w:lvl w:ilvl="0" w:tentative="0">
      <w:start w:val="1"/>
      <w:numFmt w:val="decimal"/>
      <w:pStyle w:val="6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89675C"/>
    <w:multiLevelType w:val="multilevel"/>
    <w:tmpl w:val="5789675C"/>
    <w:lvl w:ilvl="0" w:tentative="0">
      <w:start w:val="1"/>
      <w:numFmt w:val="decimal"/>
      <w:pStyle w:val="5"/>
      <w:lvlText w:val="（%1）"/>
      <w:lvlJc w:val="left"/>
      <w:pPr>
        <w:ind w:left="987" w:hanging="420"/>
      </w:pPr>
      <w:rPr>
        <w:rFonts w:ascii="仿宋" w:hAnsi="仿宋" w:eastAsia="仿宋"/>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57D3FBC"/>
    <w:multiLevelType w:val="multilevel"/>
    <w:tmpl w:val="657D3FBC"/>
    <w:lvl w:ilvl="0" w:tentative="0">
      <w:start w:val="1"/>
      <w:numFmt w:val="upperLetter"/>
      <w:pStyle w:val="170"/>
      <w:suff w:val="nothing"/>
      <w:lvlText w:val="附　录　%1"/>
      <w:lvlJc w:val="left"/>
      <w:pPr>
        <w:ind w:left="4394" w:firstLine="0"/>
      </w:pPr>
      <w:rPr>
        <w:rFonts w:hint="eastAsia" w:ascii="黑体" w:hAnsi="Times New Roman" w:eastAsia="黑体"/>
        <w:b w:val="0"/>
        <w:i w:val="0"/>
        <w:spacing w:val="0"/>
        <w:w w:val="100"/>
        <w:sz w:val="21"/>
        <w:lang w:val="en-US"/>
      </w:rPr>
    </w:lvl>
    <w:lvl w:ilvl="1" w:tentative="0">
      <w:start w:val="1"/>
      <w:numFmt w:val="decimal"/>
      <w:pStyle w:val="176"/>
      <w:suff w:val="nothing"/>
      <w:lvlText w:val="%1.%2　"/>
      <w:lvlJc w:val="left"/>
      <w:pPr>
        <w:ind w:left="1" w:firstLine="0"/>
      </w:pPr>
      <w:rPr>
        <w:rFonts w:hint="eastAsia" w:ascii="黑体" w:hAnsi="Times New Roman" w:eastAsia="黑体"/>
        <w:b w:val="0"/>
        <w:i w:val="0"/>
        <w:spacing w:val="0"/>
        <w:w w:val="100"/>
        <w:kern w:val="21"/>
        <w:sz w:val="21"/>
      </w:rPr>
    </w:lvl>
    <w:lvl w:ilvl="2" w:tentative="0">
      <w:start w:val="1"/>
      <w:numFmt w:val="decimal"/>
      <w:pStyle w:val="177"/>
      <w:suff w:val="nothing"/>
      <w:lvlText w:val="%1.%2.%3　"/>
      <w:lvlJc w:val="left"/>
      <w:pPr>
        <w:ind w:left="0" w:firstLine="0"/>
      </w:pPr>
      <w:rPr>
        <w:rFonts w:hint="eastAsia" w:ascii="黑体" w:hAnsi="Times New Roman" w:eastAsia="黑体"/>
        <w:b w:val="0"/>
        <w:i w:val="0"/>
        <w:sz w:val="21"/>
      </w:rPr>
    </w:lvl>
    <w:lvl w:ilvl="3" w:tentative="0">
      <w:start w:val="1"/>
      <w:numFmt w:val="decimal"/>
      <w:pStyle w:val="172"/>
      <w:suff w:val="nothing"/>
      <w:lvlText w:val="%1.%2.%3.%4　"/>
      <w:lvlJc w:val="left"/>
      <w:pPr>
        <w:ind w:left="-141" w:firstLine="0"/>
      </w:pPr>
      <w:rPr>
        <w:rFonts w:hint="eastAsia" w:ascii="黑体" w:hAnsi="Times New Roman" w:eastAsia="黑体"/>
        <w:b w:val="0"/>
        <w:i w:val="0"/>
        <w:sz w:val="21"/>
      </w:rPr>
    </w:lvl>
    <w:lvl w:ilvl="4" w:tentative="0">
      <w:start w:val="1"/>
      <w:numFmt w:val="decimal"/>
      <w:pStyle w:val="173"/>
      <w:suff w:val="nothing"/>
      <w:lvlText w:val="%1.%2.%3.%4.%5　"/>
      <w:lvlJc w:val="left"/>
      <w:pPr>
        <w:ind w:left="-850" w:firstLine="0"/>
      </w:pPr>
      <w:rPr>
        <w:rFonts w:hint="eastAsia" w:ascii="黑体" w:hAnsi="Times New Roman" w:eastAsia="黑体"/>
        <w:b w:val="0"/>
        <w:i w:val="0"/>
        <w:sz w:val="21"/>
      </w:rPr>
    </w:lvl>
    <w:lvl w:ilvl="5" w:tentative="0">
      <w:start w:val="1"/>
      <w:numFmt w:val="decimal"/>
      <w:pStyle w:val="174"/>
      <w:suff w:val="nothing"/>
      <w:lvlText w:val="%1.%2.%3.%4.%5.%6　"/>
      <w:lvlJc w:val="left"/>
      <w:pPr>
        <w:ind w:left="-850" w:firstLine="0"/>
      </w:pPr>
      <w:rPr>
        <w:rFonts w:hint="eastAsia" w:ascii="黑体" w:hAnsi="Times New Roman" w:eastAsia="黑体"/>
        <w:b w:val="0"/>
        <w:i w:val="0"/>
        <w:sz w:val="21"/>
      </w:rPr>
    </w:lvl>
    <w:lvl w:ilvl="6" w:tentative="0">
      <w:start w:val="1"/>
      <w:numFmt w:val="decimal"/>
      <w:pStyle w:val="175"/>
      <w:suff w:val="nothing"/>
      <w:lvlText w:val="%1.%2.%3.%4.%5.%6.%7　"/>
      <w:lvlJc w:val="left"/>
      <w:pPr>
        <w:ind w:left="-850" w:firstLine="0"/>
      </w:pPr>
      <w:rPr>
        <w:rFonts w:hint="eastAsia" w:ascii="黑体" w:hAnsi="Times New Roman" w:eastAsia="黑体"/>
        <w:b w:val="0"/>
        <w:i w:val="0"/>
        <w:sz w:val="21"/>
      </w:rPr>
    </w:lvl>
    <w:lvl w:ilvl="7" w:tentative="0">
      <w:start w:val="1"/>
      <w:numFmt w:val="decimal"/>
      <w:lvlText w:val="%1.%2.%3.%4.%5.%6.%7.%8"/>
      <w:lvlJc w:val="left"/>
      <w:pPr>
        <w:tabs>
          <w:tab w:val="left" w:pos="3544"/>
        </w:tabs>
        <w:ind w:left="3544" w:hanging="1418"/>
      </w:pPr>
      <w:rPr>
        <w:rFonts w:hint="eastAsia"/>
      </w:rPr>
    </w:lvl>
    <w:lvl w:ilvl="8" w:tentative="0">
      <w:start w:val="1"/>
      <w:numFmt w:val="decimal"/>
      <w:lvlText w:val="%1.%2.%3.%4.%5.%6.%7.%8.%9"/>
      <w:lvlJc w:val="left"/>
      <w:pPr>
        <w:tabs>
          <w:tab w:val="left" w:pos="4252"/>
        </w:tabs>
        <w:ind w:left="4252" w:hanging="1700"/>
      </w:pPr>
      <w:rPr>
        <w:rFonts w:hint="eastAsia"/>
      </w:rPr>
    </w:lvl>
  </w:abstractNum>
  <w:num w:numId="1">
    <w:abstractNumId w:val="8"/>
  </w:num>
  <w:num w:numId="2">
    <w:abstractNumId w:val="12"/>
  </w:num>
  <w:num w:numId="3">
    <w:abstractNumId w:val="4"/>
  </w:num>
  <w:num w:numId="4">
    <w:abstractNumId w:val="9"/>
  </w:num>
  <w:num w:numId="5">
    <w:abstractNumId w:val="11"/>
  </w:num>
  <w:num w:numId="6">
    <w:abstractNumId w:val="2"/>
  </w:num>
  <w:num w:numId="7">
    <w:abstractNumId w:val="6"/>
  </w:num>
  <w:num w:numId="8">
    <w:abstractNumId w:val="10"/>
  </w:num>
  <w:num w:numId="9">
    <w:abstractNumId w:val="0"/>
  </w:num>
  <w:num w:numId="10">
    <w:abstractNumId w:val="3"/>
  </w:num>
  <w:num w:numId="11">
    <w:abstractNumId w:val="1"/>
  </w:num>
  <w:num w:numId="12">
    <w:abstractNumId w:val="5"/>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true"/>
  <w:bordersDoNotSurroundFooter w:val="true"/>
  <w:revisionView w:markup="0"/>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4MGZjNmMyN2Q5YzU5ZDE1YTE1OWNlYjg1YjI3NzkifQ=="/>
  </w:docVars>
  <w:rsids>
    <w:rsidRoot w:val="00812A8B"/>
    <w:rsid w:val="00001B7D"/>
    <w:rsid w:val="00004783"/>
    <w:rsid w:val="00014FA3"/>
    <w:rsid w:val="00015004"/>
    <w:rsid w:val="000157F9"/>
    <w:rsid w:val="000160AF"/>
    <w:rsid w:val="0002170E"/>
    <w:rsid w:val="000229C5"/>
    <w:rsid w:val="000256CD"/>
    <w:rsid w:val="00034F11"/>
    <w:rsid w:val="000407BA"/>
    <w:rsid w:val="00047E6B"/>
    <w:rsid w:val="00054EF3"/>
    <w:rsid w:val="000615D9"/>
    <w:rsid w:val="0006276F"/>
    <w:rsid w:val="00063B6E"/>
    <w:rsid w:val="00064762"/>
    <w:rsid w:val="000674C0"/>
    <w:rsid w:val="00071CD6"/>
    <w:rsid w:val="00072002"/>
    <w:rsid w:val="00075021"/>
    <w:rsid w:val="000758C4"/>
    <w:rsid w:val="00076EA6"/>
    <w:rsid w:val="00080844"/>
    <w:rsid w:val="00082908"/>
    <w:rsid w:val="000829B2"/>
    <w:rsid w:val="00087E86"/>
    <w:rsid w:val="00096A43"/>
    <w:rsid w:val="000978A1"/>
    <w:rsid w:val="000A5AF1"/>
    <w:rsid w:val="000B1F32"/>
    <w:rsid w:val="000B7249"/>
    <w:rsid w:val="000C0DE5"/>
    <w:rsid w:val="000C49E9"/>
    <w:rsid w:val="000C5F2C"/>
    <w:rsid w:val="000D0096"/>
    <w:rsid w:val="000D3890"/>
    <w:rsid w:val="000D494C"/>
    <w:rsid w:val="000D5BD0"/>
    <w:rsid w:val="000D5ED1"/>
    <w:rsid w:val="000E1958"/>
    <w:rsid w:val="000E3414"/>
    <w:rsid w:val="000E5472"/>
    <w:rsid w:val="000E662E"/>
    <w:rsid w:val="000F1F4A"/>
    <w:rsid w:val="00113CD2"/>
    <w:rsid w:val="00113ED4"/>
    <w:rsid w:val="001208B0"/>
    <w:rsid w:val="00122725"/>
    <w:rsid w:val="001267B6"/>
    <w:rsid w:val="001310E7"/>
    <w:rsid w:val="0013536C"/>
    <w:rsid w:val="001545DA"/>
    <w:rsid w:val="00161B2E"/>
    <w:rsid w:val="00162FBB"/>
    <w:rsid w:val="00166997"/>
    <w:rsid w:val="00172737"/>
    <w:rsid w:val="00173BB1"/>
    <w:rsid w:val="0017474C"/>
    <w:rsid w:val="00174FA8"/>
    <w:rsid w:val="001759CD"/>
    <w:rsid w:val="00186F71"/>
    <w:rsid w:val="00192B7F"/>
    <w:rsid w:val="00192FC4"/>
    <w:rsid w:val="001A102B"/>
    <w:rsid w:val="001B0379"/>
    <w:rsid w:val="001B172A"/>
    <w:rsid w:val="001B74F2"/>
    <w:rsid w:val="001C4CC2"/>
    <w:rsid w:val="001C7581"/>
    <w:rsid w:val="001D4D79"/>
    <w:rsid w:val="001D75CA"/>
    <w:rsid w:val="001E0A52"/>
    <w:rsid w:val="001E6326"/>
    <w:rsid w:val="001E78F2"/>
    <w:rsid w:val="001F410F"/>
    <w:rsid w:val="001F51CA"/>
    <w:rsid w:val="00205390"/>
    <w:rsid w:val="00205432"/>
    <w:rsid w:val="00207C14"/>
    <w:rsid w:val="00207D7A"/>
    <w:rsid w:val="002152EA"/>
    <w:rsid w:val="00233615"/>
    <w:rsid w:val="00242035"/>
    <w:rsid w:val="00250FB3"/>
    <w:rsid w:val="00251380"/>
    <w:rsid w:val="00262BD2"/>
    <w:rsid w:val="00273306"/>
    <w:rsid w:val="00284E75"/>
    <w:rsid w:val="00286B51"/>
    <w:rsid w:val="002A4D58"/>
    <w:rsid w:val="002A7E25"/>
    <w:rsid w:val="002B0678"/>
    <w:rsid w:val="002B2EB8"/>
    <w:rsid w:val="002C16EB"/>
    <w:rsid w:val="002C256D"/>
    <w:rsid w:val="002C2E6D"/>
    <w:rsid w:val="002C4BF2"/>
    <w:rsid w:val="002C58E0"/>
    <w:rsid w:val="002C60B3"/>
    <w:rsid w:val="002D3059"/>
    <w:rsid w:val="002E00D1"/>
    <w:rsid w:val="002E0442"/>
    <w:rsid w:val="002E5A4E"/>
    <w:rsid w:val="002F5285"/>
    <w:rsid w:val="002F5FBD"/>
    <w:rsid w:val="00300A93"/>
    <w:rsid w:val="003042FA"/>
    <w:rsid w:val="003045B6"/>
    <w:rsid w:val="00304BF2"/>
    <w:rsid w:val="003149AE"/>
    <w:rsid w:val="00316061"/>
    <w:rsid w:val="00317F8B"/>
    <w:rsid w:val="00321D0B"/>
    <w:rsid w:val="00323C29"/>
    <w:rsid w:val="003408A2"/>
    <w:rsid w:val="0035475F"/>
    <w:rsid w:val="0036189F"/>
    <w:rsid w:val="003711A6"/>
    <w:rsid w:val="00372483"/>
    <w:rsid w:val="003731F1"/>
    <w:rsid w:val="00373C92"/>
    <w:rsid w:val="003747EB"/>
    <w:rsid w:val="003826A6"/>
    <w:rsid w:val="0038351A"/>
    <w:rsid w:val="00384D0B"/>
    <w:rsid w:val="00385342"/>
    <w:rsid w:val="00393C07"/>
    <w:rsid w:val="00394D8A"/>
    <w:rsid w:val="003B403F"/>
    <w:rsid w:val="003B7441"/>
    <w:rsid w:val="003C1E1F"/>
    <w:rsid w:val="003C4539"/>
    <w:rsid w:val="003D2F91"/>
    <w:rsid w:val="003D3486"/>
    <w:rsid w:val="003D3BE8"/>
    <w:rsid w:val="003D50F9"/>
    <w:rsid w:val="003D6F0C"/>
    <w:rsid w:val="003E1E82"/>
    <w:rsid w:val="003E64B6"/>
    <w:rsid w:val="003E6912"/>
    <w:rsid w:val="003F0938"/>
    <w:rsid w:val="003F42EB"/>
    <w:rsid w:val="004012FC"/>
    <w:rsid w:val="004058F7"/>
    <w:rsid w:val="004147AA"/>
    <w:rsid w:val="004178D3"/>
    <w:rsid w:val="004216C5"/>
    <w:rsid w:val="00421C69"/>
    <w:rsid w:val="0042757E"/>
    <w:rsid w:val="00427CD5"/>
    <w:rsid w:val="0043029C"/>
    <w:rsid w:val="00431F79"/>
    <w:rsid w:val="00450EF9"/>
    <w:rsid w:val="00451F96"/>
    <w:rsid w:val="004541DC"/>
    <w:rsid w:val="00456EC9"/>
    <w:rsid w:val="004607AA"/>
    <w:rsid w:val="0046133B"/>
    <w:rsid w:val="004635A0"/>
    <w:rsid w:val="004636AE"/>
    <w:rsid w:val="004664BF"/>
    <w:rsid w:val="00484DC7"/>
    <w:rsid w:val="004865BB"/>
    <w:rsid w:val="004A2068"/>
    <w:rsid w:val="004A6008"/>
    <w:rsid w:val="004B2CEA"/>
    <w:rsid w:val="004B2D19"/>
    <w:rsid w:val="004B6D49"/>
    <w:rsid w:val="004B7E8A"/>
    <w:rsid w:val="004C1421"/>
    <w:rsid w:val="004C32C5"/>
    <w:rsid w:val="004C67C5"/>
    <w:rsid w:val="004C715E"/>
    <w:rsid w:val="004E03D3"/>
    <w:rsid w:val="004E28E1"/>
    <w:rsid w:val="004F57FC"/>
    <w:rsid w:val="004F77A5"/>
    <w:rsid w:val="0050082C"/>
    <w:rsid w:val="0051682A"/>
    <w:rsid w:val="00523D61"/>
    <w:rsid w:val="005248E4"/>
    <w:rsid w:val="00541B76"/>
    <w:rsid w:val="0054551C"/>
    <w:rsid w:val="005557C4"/>
    <w:rsid w:val="00556678"/>
    <w:rsid w:val="00561A5C"/>
    <w:rsid w:val="00570C6A"/>
    <w:rsid w:val="00580A54"/>
    <w:rsid w:val="00580C96"/>
    <w:rsid w:val="00582B7A"/>
    <w:rsid w:val="00595501"/>
    <w:rsid w:val="00596CBE"/>
    <w:rsid w:val="005B1F2A"/>
    <w:rsid w:val="005B60D2"/>
    <w:rsid w:val="005C017B"/>
    <w:rsid w:val="005C2F6D"/>
    <w:rsid w:val="005C4AA4"/>
    <w:rsid w:val="005D087F"/>
    <w:rsid w:val="005D1F30"/>
    <w:rsid w:val="005D4438"/>
    <w:rsid w:val="005E0FCB"/>
    <w:rsid w:val="005E2510"/>
    <w:rsid w:val="005E2DE1"/>
    <w:rsid w:val="005E3BB3"/>
    <w:rsid w:val="005E70EB"/>
    <w:rsid w:val="005F1461"/>
    <w:rsid w:val="005F5CC6"/>
    <w:rsid w:val="006015A1"/>
    <w:rsid w:val="006021D7"/>
    <w:rsid w:val="0060707F"/>
    <w:rsid w:val="00615C9D"/>
    <w:rsid w:val="006165FF"/>
    <w:rsid w:val="006235F3"/>
    <w:rsid w:val="006238D2"/>
    <w:rsid w:val="00624E3C"/>
    <w:rsid w:val="00626D9C"/>
    <w:rsid w:val="006302A3"/>
    <w:rsid w:val="006336D7"/>
    <w:rsid w:val="00637EAE"/>
    <w:rsid w:val="006460BB"/>
    <w:rsid w:val="0065183F"/>
    <w:rsid w:val="00656E24"/>
    <w:rsid w:val="006579B6"/>
    <w:rsid w:val="00661F96"/>
    <w:rsid w:val="00662F4E"/>
    <w:rsid w:val="00670035"/>
    <w:rsid w:val="00676B11"/>
    <w:rsid w:val="00682229"/>
    <w:rsid w:val="00686258"/>
    <w:rsid w:val="00690656"/>
    <w:rsid w:val="0069272A"/>
    <w:rsid w:val="006A3D26"/>
    <w:rsid w:val="006B266C"/>
    <w:rsid w:val="006B5D8C"/>
    <w:rsid w:val="006B78C8"/>
    <w:rsid w:val="006C7814"/>
    <w:rsid w:val="006E2D5E"/>
    <w:rsid w:val="006E5365"/>
    <w:rsid w:val="006F4943"/>
    <w:rsid w:val="006F6384"/>
    <w:rsid w:val="006F63C4"/>
    <w:rsid w:val="00700DEE"/>
    <w:rsid w:val="00701FC9"/>
    <w:rsid w:val="00710EC9"/>
    <w:rsid w:val="007214B7"/>
    <w:rsid w:val="00722158"/>
    <w:rsid w:val="00722A80"/>
    <w:rsid w:val="0072359F"/>
    <w:rsid w:val="00724DEE"/>
    <w:rsid w:val="00734691"/>
    <w:rsid w:val="00736806"/>
    <w:rsid w:val="007438BD"/>
    <w:rsid w:val="0075543E"/>
    <w:rsid w:val="00760606"/>
    <w:rsid w:val="00791171"/>
    <w:rsid w:val="00791D21"/>
    <w:rsid w:val="00791E7B"/>
    <w:rsid w:val="00793BCF"/>
    <w:rsid w:val="00795DDC"/>
    <w:rsid w:val="007A3DEF"/>
    <w:rsid w:val="007A579B"/>
    <w:rsid w:val="007A663E"/>
    <w:rsid w:val="007A7992"/>
    <w:rsid w:val="007B680E"/>
    <w:rsid w:val="007C7019"/>
    <w:rsid w:val="007D41F8"/>
    <w:rsid w:val="007D6B58"/>
    <w:rsid w:val="007E0F3E"/>
    <w:rsid w:val="007F1503"/>
    <w:rsid w:val="007F2529"/>
    <w:rsid w:val="007F312E"/>
    <w:rsid w:val="007F529C"/>
    <w:rsid w:val="007F5B33"/>
    <w:rsid w:val="00800224"/>
    <w:rsid w:val="008012AA"/>
    <w:rsid w:val="00812A8B"/>
    <w:rsid w:val="00813B7F"/>
    <w:rsid w:val="00814658"/>
    <w:rsid w:val="008165CC"/>
    <w:rsid w:val="00830AEC"/>
    <w:rsid w:val="008327A8"/>
    <w:rsid w:val="0083597E"/>
    <w:rsid w:val="0084792B"/>
    <w:rsid w:val="008523C1"/>
    <w:rsid w:val="00852C71"/>
    <w:rsid w:val="00863612"/>
    <w:rsid w:val="00865639"/>
    <w:rsid w:val="008657CF"/>
    <w:rsid w:val="00877413"/>
    <w:rsid w:val="0088792D"/>
    <w:rsid w:val="00894AA9"/>
    <w:rsid w:val="00895C0E"/>
    <w:rsid w:val="008B1B74"/>
    <w:rsid w:val="008B7BBF"/>
    <w:rsid w:val="008C0609"/>
    <w:rsid w:val="008C2C6B"/>
    <w:rsid w:val="008D0FE8"/>
    <w:rsid w:val="008D316E"/>
    <w:rsid w:val="008D3829"/>
    <w:rsid w:val="008E0672"/>
    <w:rsid w:val="008E4B2D"/>
    <w:rsid w:val="008E5B3C"/>
    <w:rsid w:val="008F2D81"/>
    <w:rsid w:val="008F47AF"/>
    <w:rsid w:val="008F4C1E"/>
    <w:rsid w:val="008F5E1C"/>
    <w:rsid w:val="008F659E"/>
    <w:rsid w:val="009003A7"/>
    <w:rsid w:val="00901C9A"/>
    <w:rsid w:val="00910CC5"/>
    <w:rsid w:val="00921A6E"/>
    <w:rsid w:val="00925E6E"/>
    <w:rsid w:val="00927899"/>
    <w:rsid w:val="00932852"/>
    <w:rsid w:val="0093595A"/>
    <w:rsid w:val="009360FC"/>
    <w:rsid w:val="009401DD"/>
    <w:rsid w:val="00941CF7"/>
    <w:rsid w:val="009429AB"/>
    <w:rsid w:val="00947D0E"/>
    <w:rsid w:val="00960907"/>
    <w:rsid w:val="00966854"/>
    <w:rsid w:val="00967740"/>
    <w:rsid w:val="00970568"/>
    <w:rsid w:val="00984845"/>
    <w:rsid w:val="0099107C"/>
    <w:rsid w:val="00991486"/>
    <w:rsid w:val="009970C6"/>
    <w:rsid w:val="009A2606"/>
    <w:rsid w:val="009A70A3"/>
    <w:rsid w:val="009C110A"/>
    <w:rsid w:val="009C5950"/>
    <w:rsid w:val="009D257A"/>
    <w:rsid w:val="009D7FF6"/>
    <w:rsid w:val="009E085D"/>
    <w:rsid w:val="00A021E4"/>
    <w:rsid w:val="00A057F2"/>
    <w:rsid w:val="00A061FB"/>
    <w:rsid w:val="00A13CD9"/>
    <w:rsid w:val="00A146B6"/>
    <w:rsid w:val="00A178FA"/>
    <w:rsid w:val="00A2045E"/>
    <w:rsid w:val="00A3337B"/>
    <w:rsid w:val="00A4416E"/>
    <w:rsid w:val="00A54967"/>
    <w:rsid w:val="00A64785"/>
    <w:rsid w:val="00A8259F"/>
    <w:rsid w:val="00A87DF7"/>
    <w:rsid w:val="00A9159E"/>
    <w:rsid w:val="00AA3A09"/>
    <w:rsid w:val="00AB3C06"/>
    <w:rsid w:val="00AD5147"/>
    <w:rsid w:val="00AD548D"/>
    <w:rsid w:val="00AE2FBA"/>
    <w:rsid w:val="00AF3339"/>
    <w:rsid w:val="00AF5007"/>
    <w:rsid w:val="00B00BA8"/>
    <w:rsid w:val="00B22017"/>
    <w:rsid w:val="00B23CBB"/>
    <w:rsid w:val="00B24E6B"/>
    <w:rsid w:val="00B30D9C"/>
    <w:rsid w:val="00B3271D"/>
    <w:rsid w:val="00B33EC6"/>
    <w:rsid w:val="00B37A2D"/>
    <w:rsid w:val="00B4153D"/>
    <w:rsid w:val="00B41D98"/>
    <w:rsid w:val="00B43A77"/>
    <w:rsid w:val="00B4585D"/>
    <w:rsid w:val="00B51855"/>
    <w:rsid w:val="00B54884"/>
    <w:rsid w:val="00B54D4F"/>
    <w:rsid w:val="00B54E71"/>
    <w:rsid w:val="00B55DC2"/>
    <w:rsid w:val="00B65207"/>
    <w:rsid w:val="00B67078"/>
    <w:rsid w:val="00B67D5B"/>
    <w:rsid w:val="00B7016F"/>
    <w:rsid w:val="00B7277C"/>
    <w:rsid w:val="00B7769B"/>
    <w:rsid w:val="00B77FFB"/>
    <w:rsid w:val="00B82EF2"/>
    <w:rsid w:val="00B86AC4"/>
    <w:rsid w:val="00BA0165"/>
    <w:rsid w:val="00BA30CE"/>
    <w:rsid w:val="00BA3E0D"/>
    <w:rsid w:val="00BA57D7"/>
    <w:rsid w:val="00BB1100"/>
    <w:rsid w:val="00BB3E2F"/>
    <w:rsid w:val="00BB7791"/>
    <w:rsid w:val="00BC0503"/>
    <w:rsid w:val="00BC260C"/>
    <w:rsid w:val="00BC2EFF"/>
    <w:rsid w:val="00BC6837"/>
    <w:rsid w:val="00BC6DC6"/>
    <w:rsid w:val="00BD2C7B"/>
    <w:rsid w:val="00BD3A84"/>
    <w:rsid w:val="00BE195D"/>
    <w:rsid w:val="00BE30EC"/>
    <w:rsid w:val="00BE46EB"/>
    <w:rsid w:val="00C03D24"/>
    <w:rsid w:val="00C05BC4"/>
    <w:rsid w:val="00C117EC"/>
    <w:rsid w:val="00C24641"/>
    <w:rsid w:val="00C27FE2"/>
    <w:rsid w:val="00C32420"/>
    <w:rsid w:val="00C34E0A"/>
    <w:rsid w:val="00C36710"/>
    <w:rsid w:val="00C42818"/>
    <w:rsid w:val="00C46ED4"/>
    <w:rsid w:val="00C529FC"/>
    <w:rsid w:val="00C55D09"/>
    <w:rsid w:val="00C63503"/>
    <w:rsid w:val="00C649CE"/>
    <w:rsid w:val="00C72E52"/>
    <w:rsid w:val="00C76D04"/>
    <w:rsid w:val="00C85668"/>
    <w:rsid w:val="00C91545"/>
    <w:rsid w:val="00CB19EA"/>
    <w:rsid w:val="00CB74FC"/>
    <w:rsid w:val="00CC6023"/>
    <w:rsid w:val="00CD0B0D"/>
    <w:rsid w:val="00CE0D43"/>
    <w:rsid w:val="00CE3D7E"/>
    <w:rsid w:val="00CE6297"/>
    <w:rsid w:val="00CE6DB8"/>
    <w:rsid w:val="00CF26AF"/>
    <w:rsid w:val="00CF459A"/>
    <w:rsid w:val="00D03C4A"/>
    <w:rsid w:val="00D045DA"/>
    <w:rsid w:val="00D109E1"/>
    <w:rsid w:val="00D123AB"/>
    <w:rsid w:val="00D164AD"/>
    <w:rsid w:val="00D26C88"/>
    <w:rsid w:val="00D30ADA"/>
    <w:rsid w:val="00D33175"/>
    <w:rsid w:val="00D47803"/>
    <w:rsid w:val="00D5113C"/>
    <w:rsid w:val="00D56835"/>
    <w:rsid w:val="00D70BDA"/>
    <w:rsid w:val="00D712FF"/>
    <w:rsid w:val="00D76583"/>
    <w:rsid w:val="00D86DB0"/>
    <w:rsid w:val="00D87DDB"/>
    <w:rsid w:val="00D926B0"/>
    <w:rsid w:val="00D9320D"/>
    <w:rsid w:val="00D9380D"/>
    <w:rsid w:val="00D97932"/>
    <w:rsid w:val="00DA0BD3"/>
    <w:rsid w:val="00DA52BC"/>
    <w:rsid w:val="00DA76B9"/>
    <w:rsid w:val="00DB3432"/>
    <w:rsid w:val="00DC5354"/>
    <w:rsid w:val="00DD2F1B"/>
    <w:rsid w:val="00DD6525"/>
    <w:rsid w:val="00DE2933"/>
    <w:rsid w:val="00DF380F"/>
    <w:rsid w:val="00DF4AAF"/>
    <w:rsid w:val="00E03DFE"/>
    <w:rsid w:val="00E16B20"/>
    <w:rsid w:val="00E26628"/>
    <w:rsid w:val="00E3361F"/>
    <w:rsid w:val="00E37FA2"/>
    <w:rsid w:val="00E46B59"/>
    <w:rsid w:val="00E4736F"/>
    <w:rsid w:val="00E55990"/>
    <w:rsid w:val="00E55B72"/>
    <w:rsid w:val="00E575A8"/>
    <w:rsid w:val="00E73D47"/>
    <w:rsid w:val="00E84400"/>
    <w:rsid w:val="00E859DE"/>
    <w:rsid w:val="00E8712B"/>
    <w:rsid w:val="00E91B01"/>
    <w:rsid w:val="00E92A7B"/>
    <w:rsid w:val="00E931E6"/>
    <w:rsid w:val="00EA45B7"/>
    <w:rsid w:val="00EA6979"/>
    <w:rsid w:val="00EB167B"/>
    <w:rsid w:val="00EB3384"/>
    <w:rsid w:val="00EC152B"/>
    <w:rsid w:val="00EE0AD1"/>
    <w:rsid w:val="00EE2E53"/>
    <w:rsid w:val="00EE45D5"/>
    <w:rsid w:val="00F011CF"/>
    <w:rsid w:val="00F05567"/>
    <w:rsid w:val="00F07202"/>
    <w:rsid w:val="00F1469D"/>
    <w:rsid w:val="00F24745"/>
    <w:rsid w:val="00F25B74"/>
    <w:rsid w:val="00F25FAB"/>
    <w:rsid w:val="00F27146"/>
    <w:rsid w:val="00F27AE2"/>
    <w:rsid w:val="00F404E9"/>
    <w:rsid w:val="00F44F62"/>
    <w:rsid w:val="00F45464"/>
    <w:rsid w:val="00F65861"/>
    <w:rsid w:val="00F72C50"/>
    <w:rsid w:val="00F72EDE"/>
    <w:rsid w:val="00F751C0"/>
    <w:rsid w:val="00F840C4"/>
    <w:rsid w:val="00F908FB"/>
    <w:rsid w:val="00F9274A"/>
    <w:rsid w:val="00F93266"/>
    <w:rsid w:val="00F96627"/>
    <w:rsid w:val="00FA4FF3"/>
    <w:rsid w:val="00FB2F9F"/>
    <w:rsid w:val="00FB394F"/>
    <w:rsid w:val="00FB70F9"/>
    <w:rsid w:val="00FC0824"/>
    <w:rsid w:val="00FC277A"/>
    <w:rsid w:val="00FC424A"/>
    <w:rsid w:val="00FD2E10"/>
    <w:rsid w:val="00FE0B57"/>
    <w:rsid w:val="00FE0B67"/>
    <w:rsid w:val="00FE537A"/>
    <w:rsid w:val="00FE65C2"/>
    <w:rsid w:val="00FF42F6"/>
    <w:rsid w:val="00FF5792"/>
    <w:rsid w:val="01FF3BC3"/>
    <w:rsid w:val="0230103C"/>
    <w:rsid w:val="045551EC"/>
    <w:rsid w:val="07906BF6"/>
    <w:rsid w:val="0B681E45"/>
    <w:rsid w:val="0E25134F"/>
    <w:rsid w:val="0EBC7E51"/>
    <w:rsid w:val="19B40ACF"/>
    <w:rsid w:val="1ACF3909"/>
    <w:rsid w:val="1AE330FB"/>
    <w:rsid w:val="1C986C96"/>
    <w:rsid w:val="1E5775B6"/>
    <w:rsid w:val="1FFA9B35"/>
    <w:rsid w:val="2874750B"/>
    <w:rsid w:val="2ABD2EA2"/>
    <w:rsid w:val="2BD77E0C"/>
    <w:rsid w:val="317D55DC"/>
    <w:rsid w:val="32F465E3"/>
    <w:rsid w:val="35DF5DAE"/>
    <w:rsid w:val="36330877"/>
    <w:rsid w:val="39156ECB"/>
    <w:rsid w:val="392D49B8"/>
    <w:rsid w:val="39FE7971"/>
    <w:rsid w:val="3B7DD0BB"/>
    <w:rsid w:val="3BEC6EF4"/>
    <w:rsid w:val="3BFCB731"/>
    <w:rsid w:val="3DFE0742"/>
    <w:rsid w:val="3F934532"/>
    <w:rsid w:val="3FBF7191"/>
    <w:rsid w:val="3FD452B2"/>
    <w:rsid w:val="469F4AC3"/>
    <w:rsid w:val="494329C0"/>
    <w:rsid w:val="4C402EAD"/>
    <w:rsid w:val="4C907AAC"/>
    <w:rsid w:val="51910E50"/>
    <w:rsid w:val="571C2577"/>
    <w:rsid w:val="5B6F1D5E"/>
    <w:rsid w:val="5DBD2A70"/>
    <w:rsid w:val="5E3D5811"/>
    <w:rsid w:val="5E7BD463"/>
    <w:rsid w:val="5EFF1726"/>
    <w:rsid w:val="5FDE9601"/>
    <w:rsid w:val="5FFDE477"/>
    <w:rsid w:val="65D00647"/>
    <w:rsid w:val="65F7E535"/>
    <w:rsid w:val="6B3A0C14"/>
    <w:rsid w:val="6F351972"/>
    <w:rsid w:val="7056335F"/>
    <w:rsid w:val="708774CB"/>
    <w:rsid w:val="71506893"/>
    <w:rsid w:val="72035573"/>
    <w:rsid w:val="73555F98"/>
    <w:rsid w:val="73DE870D"/>
    <w:rsid w:val="7476279E"/>
    <w:rsid w:val="76DE6F8B"/>
    <w:rsid w:val="7A7E6DE9"/>
    <w:rsid w:val="7AE53CCE"/>
    <w:rsid w:val="7BFD89FB"/>
    <w:rsid w:val="7C97C834"/>
    <w:rsid w:val="7D5B14B2"/>
    <w:rsid w:val="7EFF0565"/>
    <w:rsid w:val="7F326C1D"/>
    <w:rsid w:val="7F3F218F"/>
    <w:rsid w:val="7F7F47AD"/>
    <w:rsid w:val="7FDD92E4"/>
    <w:rsid w:val="7FF73FC4"/>
    <w:rsid w:val="7FF9A97C"/>
    <w:rsid w:val="7FFBAD18"/>
    <w:rsid w:val="7FFEC2E6"/>
    <w:rsid w:val="7FFFD3B8"/>
    <w:rsid w:val="87758C42"/>
    <w:rsid w:val="93FD25B9"/>
    <w:rsid w:val="9EFF02A0"/>
    <w:rsid w:val="9FEF2A68"/>
    <w:rsid w:val="9FF7D3B1"/>
    <w:rsid w:val="A4FF115B"/>
    <w:rsid w:val="AB7EE47B"/>
    <w:rsid w:val="AEEFC3FC"/>
    <w:rsid w:val="AFF9771A"/>
    <w:rsid w:val="B1F9BCE0"/>
    <w:rsid w:val="BDFAAC6C"/>
    <w:rsid w:val="BFF78D18"/>
    <w:rsid w:val="C3FEA041"/>
    <w:rsid w:val="CFF30442"/>
    <w:rsid w:val="DCF7E116"/>
    <w:rsid w:val="DCFBF7ED"/>
    <w:rsid w:val="DF77972E"/>
    <w:rsid w:val="DFFD73EF"/>
    <w:rsid w:val="E3FF72D1"/>
    <w:rsid w:val="EBEC651D"/>
    <w:rsid w:val="EDFB33D8"/>
    <w:rsid w:val="EFEDB855"/>
    <w:rsid w:val="EFFDC9A2"/>
    <w:rsid w:val="F6DDF913"/>
    <w:rsid w:val="F87FE263"/>
    <w:rsid w:val="F9DBD108"/>
    <w:rsid w:val="FA7DB3DB"/>
    <w:rsid w:val="FBEF4CD8"/>
    <w:rsid w:val="FCB28B57"/>
    <w:rsid w:val="FD789741"/>
    <w:rsid w:val="FE7FD839"/>
    <w:rsid w:val="FEA7C6CA"/>
    <w:rsid w:val="FF37F141"/>
    <w:rsid w:val="FF9BCE0A"/>
    <w:rsid w:val="FFE68FDE"/>
    <w:rsid w:val="FFE70852"/>
    <w:rsid w:val="FFFF59FF"/>
    <w:rsid w:val="FFFFF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4"/>
    <w:qFormat/>
    <w:uiPriority w:val="9"/>
    <w:pPr>
      <w:keepNext/>
      <w:keepLines/>
      <w:numPr>
        <w:ilvl w:val="0"/>
        <w:numId w:val="1"/>
      </w:numPr>
      <w:spacing w:before="240" w:after="240" w:line="480" w:lineRule="auto"/>
      <w:ind w:firstLine="0"/>
      <w:outlineLvl w:val="0"/>
    </w:pPr>
    <w:rPr>
      <w:rFonts w:ascii="宋体" w:hAnsi="宋体" w:eastAsia="黑体"/>
      <w:bCs/>
      <w:kern w:val="44"/>
      <w:sz w:val="32"/>
      <w:szCs w:val="28"/>
    </w:rPr>
  </w:style>
  <w:style w:type="paragraph" w:styleId="3">
    <w:name w:val="heading 2"/>
    <w:basedOn w:val="1"/>
    <w:next w:val="1"/>
    <w:link w:val="61"/>
    <w:unhideWhenUsed/>
    <w:qFormat/>
    <w:uiPriority w:val="9"/>
    <w:pPr>
      <w:keepNext/>
      <w:keepLines/>
      <w:spacing w:before="260" w:after="260" w:line="416" w:lineRule="auto"/>
      <w:outlineLvl w:val="1"/>
    </w:pPr>
    <w:rPr>
      <w:rFonts w:ascii="宋体" w:hAnsi="宋体" w:eastAsia="楷体_GB2312"/>
      <w:bCs/>
      <w:kern w:val="0"/>
      <w:sz w:val="32"/>
      <w:szCs w:val="28"/>
    </w:rPr>
  </w:style>
  <w:style w:type="paragraph" w:styleId="4">
    <w:name w:val="heading 3"/>
    <w:basedOn w:val="1"/>
    <w:next w:val="1"/>
    <w:link w:val="46"/>
    <w:unhideWhenUsed/>
    <w:qFormat/>
    <w:uiPriority w:val="9"/>
    <w:pPr>
      <w:keepNext/>
      <w:keepLines/>
      <w:spacing w:before="260" w:after="260" w:line="416" w:lineRule="auto"/>
      <w:ind w:firstLine="560" w:firstLineChars="200"/>
      <w:outlineLvl w:val="2"/>
    </w:pPr>
    <w:rPr>
      <w:rFonts w:ascii="宋体" w:hAnsi="宋体" w:eastAsia="仿宋_GB2312"/>
      <w:b/>
      <w:bCs/>
      <w:sz w:val="32"/>
      <w:szCs w:val="32"/>
    </w:rPr>
  </w:style>
  <w:style w:type="paragraph" w:styleId="5">
    <w:name w:val="heading 4"/>
    <w:basedOn w:val="1"/>
    <w:next w:val="1"/>
    <w:link w:val="47"/>
    <w:semiHidden/>
    <w:unhideWhenUsed/>
    <w:qFormat/>
    <w:uiPriority w:val="9"/>
    <w:pPr>
      <w:keepNext/>
      <w:keepLines/>
      <w:numPr>
        <w:ilvl w:val="0"/>
        <w:numId w:val="2"/>
      </w:numPr>
      <w:adjustRightInd w:val="0"/>
      <w:ind w:left="0" w:firstLine="200" w:firstLineChars="200"/>
      <w:outlineLvl w:val="3"/>
    </w:pPr>
    <w:rPr>
      <w:rFonts w:ascii="Cambria" w:hAnsi="Cambria" w:eastAsia="仿宋"/>
      <w:bCs/>
      <w:sz w:val="28"/>
      <w:szCs w:val="28"/>
      <w:lang w:val="zh-CN"/>
    </w:rPr>
  </w:style>
  <w:style w:type="paragraph" w:styleId="6">
    <w:name w:val="heading 5"/>
    <w:basedOn w:val="1"/>
    <w:next w:val="1"/>
    <w:link w:val="48"/>
    <w:semiHidden/>
    <w:unhideWhenUsed/>
    <w:qFormat/>
    <w:uiPriority w:val="9"/>
    <w:pPr>
      <w:keepNext/>
      <w:keepLines/>
      <w:spacing w:before="280" w:after="290" w:line="376" w:lineRule="auto"/>
      <w:ind w:firstLine="200" w:firstLineChars="200"/>
      <w:outlineLvl w:val="4"/>
    </w:pPr>
    <w:rPr>
      <w:rFonts w:ascii="Calibri" w:hAnsi="Calibri" w:eastAsia="仿宋"/>
      <w:b/>
      <w:bCs/>
      <w:sz w:val="28"/>
      <w:szCs w:val="28"/>
      <w:lang w:val="zh-CN"/>
    </w:rPr>
  </w:style>
  <w:style w:type="paragraph" w:styleId="7">
    <w:name w:val="heading 6"/>
    <w:basedOn w:val="1"/>
    <w:next w:val="1"/>
    <w:link w:val="49"/>
    <w:semiHidden/>
    <w:unhideWhenUsed/>
    <w:qFormat/>
    <w:uiPriority w:val="0"/>
    <w:pPr>
      <w:keepNext/>
      <w:keepLines/>
      <w:numPr>
        <w:ilvl w:val="0"/>
        <w:numId w:val="3"/>
      </w:numPr>
      <w:ind w:firstLine="0"/>
      <w:jc w:val="center"/>
      <w:outlineLvl w:val="5"/>
    </w:pPr>
    <w:rPr>
      <w:rFonts w:ascii="Cambria" w:hAnsi="Cambria" w:eastAsia="黑体"/>
      <w:bCs/>
      <w:sz w:val="24"/>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pPr>
    <w:rPr>
      <w:rFonts w:ascii="Calibri" w:hAnsi="Calibri"/>
      <w:szCs w:val="22"/>
    </w:rPr>
  </w:style>
  <w:style w:type="paragraph" w:styleId="9">
    <w:name w:val="caption"/>
    <w:basedOn w:val="1"/>
    <w:next w:val="1"/>
    <w:semiHidden/>
    <w:unhideWhenUsed/>
    <w:qFormat/>
    <w:uiPriority w:val="35"/>
    <w:pPr>
      <w:keepNext/>
      <w:adjustRightInd w:val="0"/>
      <w:spacing w:before="120" w:after="240" w:line="420" w:lineRule="atLeast"/>
      <w:jc w:val="center"/>
    </w:pPr>
    <w:rPr>
      <w:color w:val="000000"/>
      <w:spacing w:val="10"/>
      <w:kern w:val="0"/>
      <w:sz w:val="22"/>
      <w:szCs w:val="22"/>
    </w:rPr>
  </w:style>
  <w:style w:type="paragraph" w:styleId="10">
    <w:name w:val="annotation text"/>
    <w:basedOn w:val="1"/>
    <w:link w:val="50"/>
    <w:unhideWhenUsed/>
    <w:qFormat/>
    <w:uiPriority w:val="99"/>
    <w:pPr>
      <w:spacing w:line="360" w:lineRule="auto"/>
      <w:ind w:firstLine="560" w:firstLineChars="200"/>
      <w:jc w:val="left"/>
    </w:pPr>
    <w:rPr>
      <w:rFonts w:ascii="宋体" w:hAnsi="宋体" w:eastAsia="仿宋_GB2312"/>
      <w:sz w:val="32"/>
      <w:szCs w:val="32"/>
    </w:rPr>
  </w:style>
  <w:style w:type="paragraph" w:styleId="11">
    <w:name w:val="Body Text"/>
    <w:basedOn w:val="1"/>
    <w:link w:val="51"/>
    <w:unhideWhenUsed/>
    <w:qFormat/>
    <w:uiPriority w:val="99"/>
    <w:pPr>
      <w:spacing w:after="120"/>
    </w:pPr>
    <w:rPr>
      <w:rFonts w:ascii="Calibri" w:hAnsi="Calibri"/>
      <w:lang w:val="zh-CN"/>
    </w:rPr>
  </w:style>
  <w:style w:type="paragraph" w:styleId="12">
    <w:name w:val="Body Text Indent"/>
    <w:basedOn w:val="1"/>
    <w:link w:val="52"/>
    <w:qFormat/>
    <w:uiPriority w:val="0"/>
    <w:pPr>
      <w:ind w:firstLine="950" w:firstLineChars="190"/>
    </w:pPr>
    <w:rPr>
      <w:rFonts w:ascii="方正小标宋简体" w:hAnsi="Calibri" w:eastAsia="方正小标宋简体"/>
      <w:color w:val="000000"/>
      <w:spacing w:val="30"/>
      <w:sz w:val="44"/>
      <w:szCs w:val="24"/>
    </w:rPr>
  </w:style>
  <w:style w:type="paragraph" w:styleId="13">
    <w:name w:val="toc 5"/>
    <w:basedOn w:val="1"/>
    <w:next w:val="1"/>
    <w:unhideWhenUsed/>
    <w:qFormat/>
    <w:uiPriority w:val="39"/>
    <w:pPr>
      <w:ind w:left="1680" w:leftChars="800"/>
    </w:pPr>
    <w:rPr>
      <w:rFonts w:ascii="Calibri" w:hAnsi="Calibri"/>
      <w:szCs w:val="22"/>
    </w:rPr>
  </w:style>
  <w:style w:type="paragraph" w:styleId="14">
    <w:name w:val="toc 3"/>
    <w:basedOn w:val="1"/>
    <w:next w:val="1"/>
    <w:unhideWhenUsed/>
    <w:qFormat/>
    <w:uiPriority w:val="39"/>
    <w:pPr>
      <w:ind w:left="840" w:leftChars="400"/>
    </w:pPr>
    <w:rPr>
      <w:rFonts w:ascii="Calibri" w:hAnsi="Calibri" w:cs="Calibri"/>
      <w:sz w:val="28"/>
    </w:rPr>
  </w:style>
  <w:style w:type="paragraph" w:styleId="15">
    <w:name w:val="toc 8"/>
    <w:basedOn w:val="1"/>
    <w:next w:val="1"/>
    <w:unhideWhenUsed/>
    <w:qFormat/>
    <w:uiPriority w:val="39"/>
    <w:pPr>
      <w:ind w:left="2940" w:leftChars="1400"/>
    </w:pPr>
    <w:rPr>
      <w:rFonts w:ascii="Calibri" w:hAnsi="Calibri"/>
      <w:szCs w:val="22"/>
    </w:rPr>
  </w:style>
  <w:style w:type="paragraph" w:styleId="16">
    <w:name w:val="Date"/>
    <w:basedOn w:val="1"/>
    <w:next w:val="1"/>
    <w:link w:val="53"/>
    <w:semiHidden/>
    <w:unhideWhenUsed/>
    <w:qFormat/>
    <w:uiPriority w:val="99"/>
    <w:pPr>
      <w:ind w:left="100" w:leftChars="2500"/>
    </w:pPr>
  </w:style>
  <w:style w:type="paragraph" w:styleId="17">
    <w:name w:val="endnote text"/>
    <w:basedOn w:val="1"/>
    <w:link w:val="54"/>
    <w:unhideWhenUsed/>
    <w:qFormat/>
    <w:uiPriority w:val="99"/>
    <w:pPr>
      <w:snapToGrid w:val="0"/>
      <w:spacing w:line="360" w:lineRule="auto"/>
      <w:ind w:firstLine="560" w:firstLineChars="200"/>
      <w:jc w:val="left"/>
    </w:pPr>
    <w:rPr>
      <w:rFonts w:ascii="宋体" w:hAnsi="宋体" w:eastAsia="仿宋_GB2312"/>
      <w:sz w:val="32"/>
      <w:szCs w:val="32"/>
    </w:rPr>
  </w:style>
  <w:style w:type="paragraph" w:styleId="18">
    <w:name w:val="Balloon Text"/>
    <w:basedOn w:val="1"/>
    <w:link w:val="55"/>
    <w:unhideWhenUsed/>
    <w:qFormat/>
    <w:uiPriority w:val="99"/>
    <w:pPr>
      <w:spacing w:line="360" w:lineRule="auto"/>
      <w:ind w:firstLine="560" w:firstLineChars="200"/>
    </w:pPr>
    <w:rPr>
      <w:rFonts w:ascii="宋体" w:hAnsi="宋体" w:eastAsia="仿宋_GB2312"/>
      <w:sz w:val="18"/>
      <w:szCs w:val="18"/>
    </w:rPr>
  </w:style>
  <w:style w:type="paragraph" w:styleId="19">
    <w:name w:val="footer"/>
    <w:basedOn w:val="1"/>
    <w:link w:val="43"/>
    <w:unhideWhenUsed/>
    <w:qFormat/>
    <w:uiPriority w:val="0"/>
    <w:pPr>
      <w:tabs>
        <w:tab w:val="center" w:pos="4153"/>
        <w:tab w:val="right" w:pos="8306"/>
      </w:tabs>
      <w:snapToGrid w:val="0"/>
      <w:jc w:val="left"/>
    </w:pPr>
    <w:rPr>
      <w:sz w:val="18"/>
      <w:szCs w:val="18"/>
    </w:rPr>
  </w:style>
  <w:style w:type="paragraph" w:styleId="2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360" w:lineRule="auto"/>
      <w:jc w:val="left"/>
    </w:pPr>
    <w:rPr>
      <w:rFonts w:cs="Calibri"/>
      <w:b/>
      <w:sz w:val="28"/>
    </w:rPr>
  </w:style>
  <w:style w:type="paragraph" w:styleId="22">
    <w:name w:val="toc 4"/>
    <w:basedOn w:val="1"/>
    <w:next w:val="1"/>
    <w:unhideWhenUsed/>
    <w:qFormat/>
    <w:uiPriority w:val="39"/>
    <w:pPr>
      <w:ind w:left="1260" w:leftChars="600"/>
    </w:pPr>
    <w:rPr>
      <w:rFonts w:ascii="Calibri" w:hAnsi="Calibri"/>
      <w:szCs w:val="22"/>
    </w:rPr>
  </w:style>
  <w:style w:type="paragraph" w:styleId="23">
    <w:name w:val="Subtitle"/>
    <w:basedOn w:val="1"/>
    <w:next w:val="1"/>
    <w:link w:val="56"/>
    <w:qFormat/>
    <w:uiPriority w:val="11"/>
    <w:pPr>
      <w:spacing w:before="240" w:after="60" w:line="312" w:lineRule="auto"/>
      <w:ind w:firstLine="200" w:firstLineChars="200"/>
      <w:jc w:val="center"/>
      <w:outlineLvl w:val="1"/>
    </w:pPr>
    <w:rPr>
      <w:rFonts w:ascii="Calibri" w:hAnsi="Calibri"/>
      <w:b/>
      <w:bCs/>
      <w:kern w:val="28"/>
      <w:sz w:val="32"/>
      <w:szCs w:val="32"/>
      <w:lang w:val="zh-CN"/>
    </w:rPr>
  </w:style>
  <w:style w:type="paragraph" w:styleId="24">
    <w:name w:val="footnote text"/>
    <w:basedOn w:val="1"/>
    <w:link w:val="57"/>
    <w:unhideWhenUsed/>
    <w:qFormat/>
    <w:uiPriority w:val="99"/>
    <w:pPr>
      <w:snapToGrid w:val="0"/>
      <w:spacing w:line="360" w:lineRule="auto"/>
      <w:ind w:firstLine="560" w:firstLineChars="200"/>
      <w:jc w:val="left"/>
    </w:pPr>
    <w:rPr>
      <w:rFonts w:ascii="宋体" w:hAnsi="宋体" w:eastAsia="仿宋_GB2312"/>
      <w:sz w:val="18"/>
      <w:szCs w:val="18"/>
    </w:rPr>
  </w:style>
  <w:style w:type="paragraph" w:styleId="25">
    <w:name w:val="toc 6"/>
    <w:basedOn w:val="1"/>
    <w:next w:val="1"/>
    <w:unhideWhenUsed/>
    <w:qFormat/>
    <w:uiPriority w:val="39"/>
    <w:pPr>
      <w:ind w:left="2100" w:leftChars="1000"/>
    </w:pPr>
    <w:rPr>
      <w:rFonts w:ascii="Calibri" w:hAnsi="Calibri"/>
      <w:szCs w:val="22"/>
    </w:rPr>
  </w:style>
  <w:style w:type="paragraph" w:styleId="26">
    <w:name w:val="toc 2"/>
    <w:basedOn w:val="1"/>
    <w:next w:val="1"/>
    <w:unhideWhenUsed/>
    <w:qFormat/>
    <w:uiPriority w:val="39"/>
    <w:pPr>
      <w:spacing w:line="360" w:lineRule="auto"/>
      <w:ind w:left="200" w:leftChars="200"/>
      <w:jc w:val="left"/>
    </w:pPr>
    <w:rPr>
      <w:rFonts w:cs="Calibri"/>
      <w:sz w:val="28"/>
    </w:rPr>
  </w:style>
  <w:style w:type="paragraph" w:styleId="27">
    <w:name w:val="toc 9"/>
    <w:basedOn w:val="1"/>
    <w:next w:val="1"/>
    <w:unhideWhenUsed/>
    <w:qFormat/>
    <w:uiPriority w:val="39"/>
    <w:pPr>
      <w:ind w:left="3360" w:leftChars="1600"/>
    </w:pPr>
    <w:rPr>
      <w:rFonts w:ascii="Calibri" w:hAnsi="Calibri"/>
      <w:szCs w:val="22"/>
    </w:rPr>
  </w:style>
  <w:style w:type="paragraph" w:styleId="28">
    <w:name w:val="HTML Preformatted"/>
    <w:basedOn w:val="1"/>
    <w:link w:val="5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仿宋_GB2312" w:cs="宋体"/>
      <w:kern w:val="0"/>
      <w:sz w:val="32"/>
      <w:szCs w:val="24"/>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仿宋_GB2312" w:cs="宋体"/>
      <w:kern w:val="0"/>
      <w:sz w:val="32"/>
      <w:szCs w:val="24"/>
    </w:rPr>
  </w:style>
  <w:style w:type="paragraph" w:styleId="30">
    <w:name w:val="Title"/>
    <w:basedOn w:val="1"/>
    <w:next w:val="1"/>
    <w:link w:val="62"/>
    <w:qFormat/>
    <w:uiPriority w:val="10"/>
    <w:pPr>
      <w:spacing w:before="240" w:after="60"/>
      <w:jc w:val="center"/>
      <w:outlineLvl w:val="0"/>
    </w:pPr>
    <w:rPr>
      <w:rFonts w:ascii="宋体" w:hAnsi="宋体"/>
      <w:b/>
      <w:bCs/>
      <w:kern w:val="0"/>
      <w:sz w:val="28"/>
      <w:szCs w:val="28"/>
    </w:rPr>
  </w:style>
  <w:style w:type="paragraph" w:styleId="31">
    <w:name w:val="annotation subject"/>
    <w:basedOn w:val="10"/>
    <w:next w:val="10"/>
    <w:link w:val="60"/>
    <w:unhideWhenUsed/>
    <w:qFormat/>
    <w:uiPriority w:val="99"/>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ndnote reference"/>
    <w:basedOn w:val="34"/>
    <w:unhideWhenUsed/>
    <w:qFormat/>
    <w:uiPriority w:val="99"/>
    <w:rPr>
      <w:vertAlign w:val="superscript"/>
    </w:rPr>
  </w:style>
  <w:style w:type="character" w:styleId="36">
    <w:name w:val="page number"/>
    <w:basedOn w:val="34"/>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basedOn w:val="34"/>
    <w:unhideWhenUsed/>
    <w:qFormat/>
    <w:uiPriority w:val="99"/>
    <w:rPr>
      <w:color w:val="0563C1" w:themeColor="hyperlink"/>
      <w:u w:val="single"/>
      <w14:textFill>
        <w14:solidFill>
          <w14:schemeClr w14:val="hlink"/>
        </w14:solidFill>
      </w14:textFill>
    </w:rPr>
  </w:style>
  <w:style w:type="character" w:styleId="40">
    <w:name w:val="annotation reference"/>
    <w:basedOn w:val="34"/>
    <w:unhideWhenUsed/>
    <w:qFormat/>
    <w:uiPriority w:val="99"/>
    <w:rPr>
      <w:sz w:val="21"/>
      <w:szCs w:val="21"/>
    </w:rPr>
  </w:style>
  <w:style w:type="character" w:styleId="41">
    <w:name w:val="footnote reference"/>
    <w:basedOn w:val="34"/>
    <w:unhideWhenUsed/>
    <w:qFormat/>
    <w:uiPriority w:val="99"/>
    <w:rPr>
      <w:vertAlign w:val="superscript"/>
    </w:rPr>
  </w:style>
  <w:style w:type="character" w:customStyle="1" w:styleId="42">
    <w:name w:val="页眉 字符"/>
    <w:basedOn w:val="34"/>
    <w:link w:val="20"/>
    <w:qFormat/>
    <w:uiPriority w:val="99"/>
    <w:rPr>
      <w:sz w:val="18"/>
      <w:szCs w:val="18"/>
    </w:rPr>
  </w:style>
  <w:style w:type="character" w:customStyle="1" w:styleId="43">
    <w:name w:val="页脚 字符"/>
    <w:basedOn w:val="34"/>
    <w:link w:val="19"/>
    <w:qFormat/>
    <w:uiPriority w:val="0"/>
    <w:rPr>
      <w:sz w:val="18"/>
      <w:szCs w:val="18"/>
    </w:rPr>
  </w:style>
  <w:style w:type="character" w:customStyle="1" w:styleId="44">
    <w:name w:val="标题 1 字符"/>
    <w:basedOn w:val="34"/>
    <w:link w:val="2"/>
    <w:qFormat/>
    <w:uiPriority w:val="9"/>
    <w:rPr>
      <w:rFonts w:ascii="宋体" w:hAnsi="宋体" w:eastAsia="黑体" w:cs="Times New Roman"/>
      <w:bCs/>
      <w:kern w:val="44"/>
      <w:sz w:val="32"/>
      <w:szCs w:val="28"/>
    </w:rPr>
  </w:style>
  <w:style w:type="character" w:customStyle="1" w:styleId="45">
    <w:name w:val="标题 2 Char"/>
    <w:basedOn w:val="34"/>
    <w:qFormat/>
    <w:uiPriority w:val="9"/>
    <w:rPr>
      <w:rFonts w:asciiTheme="majorHAnsi" w:hAnsiTheme="majorHAnsi" w:eastAsiaTheme="majorEastAsia" w:cstheme="majorBidi"/>
      <w:b/>
      <w:bCs/>
      <w:sz w:val="32"/>
      <w:szCs w:val="32"/>
    </w:rPr>
  </w:style>
  <w:style w:type="character" w:customStyle="1" w:styleId="46">
    <w:name w:val="标题 3 字符"/>
    <w:basedOn w:val="34"/>
    <w:link w:val="4"/>
    <w:qFormat/>
    <w:uiPriority w:val="9"/>
    <w:rPr>
      <w:rFonts w:ascii="宋体" w:hAnsi="宋体" w:eastAsia="仿宋_GB2312" w:cs="Times New Roman"/>
      <w:b/>
      <w:bCs/>
      <w:sz w:val="32"/>
      <w:szCs w:val="32"/>
    </w:rPr>
  </w:style>
  <w:style w:type="character" w:customStyle="1" w:styleId="47">
    <w:name w:val="标题 4 字符"/>
    <w:basedOn w:val="34"/>
    <w:link w:val="5"/>
    <w:semiHidden/>
    <w:qFormat/>
    <w:uiPriority w:val="9"/>
    <w:rPr>
      <w:rFonts w:ascii="Cambria" w:hAnsi="Cambria" w:eastAsia="仿宋" w:cs="Times New Roman"/>
      <w:bCs/>
      <w:sz w:val="28"/>
      <w:szCs w:val="28"/>
      <w:lang w:val="zh-CN"/>
    </w:rPr>
  </w:style>
  <w:style w:type="character" w:customStyle="1" w:styleId="48">
    <w:name w:val="标题 5 字符"/>
    <w:basedOn w:val="34"/>
    <w:link w:val="6"/>
    <w:semiHidden/>
    <w:qFormat/>
    <w:uiPriority w:val="9"/>
    <w:rPr>
      <w:rFonts w:ascii="Calibri" w:hAnsi="Calibri" w:eastAsia="仿宋" w:cs="Times New Roman"/>
      <w:b/>
      <w:bCs/>
      <w:sz w:val="28"/>
      <w:szCs w:val="28"/>
      <w:lang w:val="zh-CN"/>
    </w:rPr>
  </w:style>
  <w:style w:type="character" w:customStyle="1" w:styleId="49">
    <w:name w:val="标题 6 字符"/>
    <w:basedOn w:val="34"/>
    <w:link w:val="7"/>
    <w:semiHidden/>
    <w:qFormat/>
    <w:uiPriority w:val="0"/>
    <w:rPr>
      <w:rFonts w:ascii="Cambria" w:hAnsi="Cambria" w:eastAsia="黑体" w:cs="Times New Roman"/>
      <w:bCs/>
      <w:sz w:val="24"/>
      <w:szCs w:val="21"/>
      <w:lang w:val="zh-CN"/>
    </w:rPr>
  </w:style>
  <w:style w:type="character" w:customStyle="1" w:styleId="50">
    <w:name w:val="批注文字 字符"/>
    <w:basedOn w:val="34"/>
    <w:link w:val="10"/>
    <w:qFormat/>
    <w:uiPriority w:val="99"/>
    <w:rPr>
      <w:rFonts w:ascii="宋体" w:hAnsi="宋体" w:eastAsia="仿宋_GB2312" w:cs="Times New Roman"/>
      <w:sz w:val="32"/>
      <w:szCs w:val="32"/>
    </w:rPr>
  </w:style>
  <w:style w:type="character" w:customStyle="1" w:styleId="51">
    <w:name w:val="正文文本 字符"/>
    <w:basedOn w:val="34"/>
    <w:link w:val="11"/>
    <w:qFormat/>
    <w:uiPriority w:val="99"/>
    <w:rPr>
      <w:rFonts w:ascii="Calibri" w:hAnsi="Calibri" w:eastAsia="宋体" w:cs="Times New Roman"/>
      <w:szCs w:val="21"/>
      <w:lang w:val="zh-CN"/>
    </w:rPr>
  </w:style>
  <w:style w:type="character" w:customStyle="1" w:styleId="52">
    <w:name w:val="正文文本缩进 字符"/>
    <w:basedOn w:val="34"/>
    <w:link w:val="12"/>
    <w:qFormat/>
    <w:uiPriority w:val="0"/>
    <w:rPr>
      <w:rFonts w:ascii="方正小标宋简体" w:hAnsi="Calibri" w:eastAsia="方正小标宋简体" w:cs="Times New Roman"/>
      <w:color w:val="000000"/>
      <w:spacing w:val="30"/>
      <w:sz w:val="44"/>
      <w:szCs w:val="24"/>
    </w:rPr>
  </w:style>
  <w:style w:type="character" w:customStyle="1" w:styleId="53">
    <w:name w:val="日期 字符"/>
    <w:basedOn w:val="34"/>
    <w:link w:val="16"/>
    <w:semiHidden/>
    <w:qFormat/>
    <w:uiPriority w:val="99"/>
    <w:rPr>
      <w:rFonts w:ascii="Times New Roman" w:hAnsi="Times New Roman" w:eastAsia="宋体" w:cs="Times New Roman"/>
      <w:szCs w:val="21"/>
    </w:rPr>
  </w:style>
  <w:style w:type="character" w:customStyle="1" w:styleId="54">
    <w:name w:val="尾注文本 字符"/>
    <w:basedOn w:val="34"/>
    <w:link w:val="17"/>
    <w:qFormat/>
    <w:uiPriority w:val="99"/>
    <w:rPr>
      <w:rFonts w:ascii="宋体" w:hAnsi="宋体" w:eastAsia="仿宋_GB2312" w:cs="Times New Roman"/>
      <w:sz w:val="32"/>
      <w:szCs w:val="32"/>
    </w:rPr>
  </w:style>
  <w:style w:type="character" w:customStyle="1" w:styleId="55">
    <w:name w:val="批注框文本 字符"/>
    <w:basedOn w:val="34"/>
    <w:link w:val="18"/>
    <w:qFormat/>
    <w:uiPriority w:val="99"/>
    <w:rPr>
      <w:rFonts w:ascii="宋体" w:hAnsi="宋体" w:eastAsia="仿宋_GB2312" w:cs="Times New Roman"/>
      <w:sz w:val="18"/>
      <w:szCs w:val="18"/>
    </w:rPr>
  </w:style>
  <w:style w:type="character" w:customStyle="1" w:styleId="56">
    <w:name w:val="副标题 字符"/>
    <w:basedOn w:val="34"/>
    <w:link w:val="23"/>
    <w:qFormat/>
    <w:uiPriority w:val="11"/>
    <w:rPr>
      <w:rFonts w:ascii="Calibri" w:hAnsi="Calibri" w:eastAsia="宋体" w:cs="Times New Roman"/>
      <w:b/>
      <w:bCs/>
      <w:kern w:val="28"/>
      <w:sz w:val="32"/>
      <w:szCs w:val="32"/>
      <w:lang w:val="zh-CN"/>
    </w:rPr>
  </w:style>
  <w:style w:type="character" w:customStyle="1" w:styleId="57">
    <w:name w:val="脚注文本 字符1"/>
    <w:basedOn w:val="34"/>
    <w:link w:val="24"/>
    <w:qFormat/>
    <w:uiPriority w:val="99"/>
    <w:rPr>
      <w:rFonts w:ascii="宋体" w:hAnsi="宋体" w:eastAsia="仿宋_GB2312" w:cs="Times New Roman"/>
      <w:sz w:val="18"/>
      <w:szCs w:val="18"/>
    </w:rPr>
  </w:style>
  <w:style w:type="character" w:customStyle="1" w:styleId="58">
    <w:name w:val="HTML 预设格式 字符"/>
    <w:basedOn w:val="34"/>
    <w:link w:val="28"/>
    <w:qFormat/>
    <w:uiPriority w:val="99"/>
    <w:rPr>
      <w:rFonts w:ascii="宋体" w:hAnsi="宋体" w:eastAsia="仿宋_GB2312" w:cs="宋体"/>
      <w:kern w:val="0"/>
      <w:sz w:val="32"/>
      <w:szCs w:val="24"/>
    </w:rPr>
  </w:style>
  <w:style w:type="character" w:customStyle="1" w:styleId="59">
    <w:name w:val="标题 Char"/>
    <w:basedOn w:val="34"/>
    <w:qFormat/>
    <w:uiPriority w:val="10"/>
    <w:rPr>
      <w:rFonts w:eastAsia="宋体" w:asciiTheme="majorHAnsi" w:hAnsiTheme="majorHAnsi" w:cstheme="majorBidi"/>
      <w:b/>
      <w:bCs/>
      <w:sz w:val="32"/>
      <w:szCs w:val="32"/>
    </w:rPr>
  </w:style>
  <w:style w:type="character" w:customStyle="1" w:styleId="60">
    <w:name w:val="批注主题 字符"/>
    <w:basedOn w:val="50"/>
    <w:link w:val="31"/>
    <w:qFormat/>
    <w:uiPriority w:val="99"/>
    <w:rPr>
      <w:rFonts w:ascii="宋体" w:hAnsi="宋体" w:eastAsia="仿宋_GB2312" w:cs="Times New Roman"/>
      <w:b/>
      <w:bCs/>
      <w:sz w:val="32"/>
      <w:szCs w:val="32"/>
    </w:rPr>
  </w:style>
  <w:style w:type="character" w:customStyle="1" w:styleId="61">
    <w:name w:val="标题 2 字符"/>
    <w:basedOn w:val="34"/>
    <w:link w:val="3"/>
    <w:qFormat/>
    <w:uiPriority w:val="9"/>
    <w:rPr>
      <w:rFonts w:ascii="宋体" w:hAnsi="宋体" w:eastAsia="楷体_GB2312" w:cs="Times New Roman"/>
      <w:bCs/>
      <w:kern w:val="0"/>
      <w:sz w:val="32"/>
      <w:szCs w:val="28"/>
    </w:rPr>
  </w:style>
  <w:style w:type="character" w:customStyle="1" w:styleId="62">
    <w:name w:val="标题 字符"/>
    <w:basedOn w:val="34"/>
    <w:link w:val="30"/>
    <w:qFormat/>
    <w:uiPriority w:val="10"/>
    <w:rPr>
      <w:rFonts w:ascii="宋体" w:hAnsi="宋体" w:eastAsia="宋体" w:cs="Times New Roman"/>
      <w:b/>
      <w:bCs/>
      <w:kern w:val="0"/>
      <w:sz w:val="28"/>
      <w:szCs w:val="28"/>
    </w:rPr>
  </w:style>
  <w:style w:type="paragraph" w:customStyle="1" w:styleId="63">
    <w:name w:val="标题 21"/>
    <w:basedOn w:val="1"/>
    <w:next w:val="1"/>
    <w:unhideWhenUsed/>
    <w:qFormat/>
    <w:uiPriority w:val="9"/>
    <w:pPr>
      <w:keepNext/>
      <w:keepLines/>
      <w:numPr>
        <w:ilvl w:val="0"/>
        <w:numId w:val="4"/>
      </w:numPr>
      <w:adjustRightInd w:val="0"/>
      <w:snapToGrid w:val="0"/>
      <w:spacing w:before="240" w:after="120" w:line="360" w:lineRule="auto"/>
      <w:ind w:firstLine="0"/>
      <w:jc w:val="left"/>
      <w:outlineLvl w:val="1"/>
    </w:pPr>
    <w:rPr>
      <w:rFonts w:ascii="宋体" w:hAnsi="宋体" w:eastAsia="楷体_GB2312"/>
      <w:bCs/>
      <w:sz w:val="32"/>
      <w:szCs w:val="28"/>
    </w:rPr>
  </w:style>
  <w:style w:type="paragraph" w:styleId="64">
    <w:name w:val="List Paragraph"/>
    <w:basedOn w:val="1"/>
    <w:link w:val="65"/>
    <w:qFormat/>
    <w:uiPriority w:val="99"/>
    <w:pPr>
      <w:spacing w:line="360" w:lineRule="auto"/>
      <w:ind w:firstLine="420" w:firstLineChars="200"/>
    </w:pPr>
    <w:rPr>
      <w:rFonts w:ascii="宋体" w:hAnsi="宋体" w:eastAsia="仿宋_GB2312"/>
      <w:sz w:val="32"/>
      <w:szCs w:val="32"/>
    </w:rPr>
  </w:style>
  <w:style w:type="character" w:customStyle="1" w:styleId="65">
    <w:name w:val="列出段落 字符"/>
    <w:link w:val="64"/>
    <w:qFormat/>
    <w:locked/>
    <w:uiPriority w:val="34"/>
    <w:rPr>
      <w:rFonts w:ascii="宋体" w:hAnsi="宋体" w:eastAsia="仿宋_GB2312" w:cs="Times New Roman"/>
      <w:sz w:val="32"/>
      <w:szCs w:val="32"/>
    </w:rPr>
  </w:style>
  <w:style w:type="paragraph" w:customStyle="1" w:styleId="66">
    <w:name w:val="标题1"/>
    <w:basedOn w:val="1"/>
    <w:next w:val="1"/>
    <w:qFormat/>
    <w:uiPriority w:val="10"/>
    <w:pPr>
      <w:spacing w:before="240" w:after="60" w:line="360" w:lineRule="auto"/>
      <w:ind w:firstLine="560" w:firstLineChars="200"/>
      <w:jc w:val="center"/>
      <w:outlineLvl w:val="0"/>
    </w:pPr>
    <w:rPr>
      <w:rFonts w:ascii="宋体" w:hAnsi="宋体" w:eastAsia="仿宋_GB2312"/>
      <w:b/>
      <w:bCs/>
      <w:sz w:val="32"/>
      <w:szCs w:val="28"/>
    </w:rPr>
  </w:style>
  <w:style w:type="paragraph" w:customStyle="1" w:styleId="67">
    <w:name w:val="附录标题1"/>
    <w:basedOn w:val="2"/>
    <w:link w:val="68"/>
    <w:qFormat/>
    <w:uiPriority w:val="0"/>
    <w:pPr>
      <w:numPr>
        <w:numId w:val="5"/>
      </w:numPr>
    </w:pPr>
  </w:style>
  <w:style w:type="character" w:customStyle="1" w:styleId="68">
    <w:name w:val="附录标题1 字符"/>
    <w:basedOn w:val="44"/>
    <w:link w:val="67"/>
    <w:qFormat/>
    <w:uiPriority w:val="0"/>
    <w:rPr>
      <w:rFonts w:ascii="宋体" w:hAnsi="宋体" w:eastAsia="黑体" w:cs="Times New Roman"/>
      <w:kern w:val="44"/>
      <w:sz w:val="32"/>
      <w:szCs w:val="28"/>
    </w:rPr>
  </w:style>
  <w:style w:type="table" w:customStyle="1" w:styleId="69">
    <w:name w:val="网格型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0">
    <w:name w:val="Placeholder Text"/>
    <w:basedOn w:val="34"/>
    <w:semiHidden/>
    <w:qFormat/>
    <w:uiPriority w:val="99"/>
    <w:rPr>
      <w:color w:val="808080"/>
    </w:rPr>
  </w:style>
  <w:style w:type="character" w:customStyle="1" w:styleId="71">
    <w:name w:val="超链接1"/>
    <w:basedOn w:val="34"/>
    <w:unhideWhenUsed/>
    <w:qFormat/>
    <w:uiPriority w:val="99"/>
    <w:rPr>
      <w:color w:val="0563C1"/>
      <w:u w:val="single"/>
    </w:rPr>
  </w:style>
  <w:style w:type="character" w:customStyle="1" w:styleId="72">
    <w:name w:val="未处理的提及1"/>
    <w:basedOn w:val="34"/>
    <w:semiHidden/>
    <w:unhideWhenUsed/>
    <w:qFormat/>
    <w:uiPriority w:val="99"/>
    <w:rPr>
      <w:color w:val="605E5C"/>
      <w:shd w:val="clear" w:color="auto" w:fill="E1DFDD"/>
    </w:rPr>
  </w:style>
  <w:style w:type="table" w:customStyle="1" w:styleId="73">
    <w:name w:val="网格型2"/>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Char"/>
    <w:basedOn w:val="1"/>
    <w:qFormat/>
    <w:uiPriority w:val="0"/>
    <w:rPr>
      <w:rFonts w:ascii="Tahoma" w:hAnsi="Tahoma"/>
      <w:sz w:val="24"/>
      <w:szCs w:val="20"/>
    </w:rPr>
  </w:style>
  <w:style w:type="paragraph" w:customStyle="1" w:styleId="76">
    <w:name w:val="_Style 59"/>
    <w:unhideWhenUsed/>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77">
    <w:name w:val="脚注文本 Char1"/>
    <w:qFormat/>
    <w:locked/>
    <w:uiPriority w:val="0"/>
    <w:rPr>
      <w:rFonts w:eastAsia="Times New Roman"/>
      <w:lang w:val="en-GB" w:eastAsia="de-DE"/>
    </w:rPr>
  </w:style>
  <w:style w:type="paragraph" w:styleId="78">
    <w:name w:val="No Spacing"/>
    <w:qFormat/>
    <w:uiPriority w:val="1"/>
    <w:rPr>
      <w:rFonts w:ascii="Times New Roman" w:hAnsi="Times New Roman" w:eastAsia="Times New Roman" w:cs="Times New Roman"/>
      <w:sz w:val="22"/>
      <w:lang w:val="en-GB" w:eastAsia="de-DE" w:bidi="ar-SA"/>
    </w:rPr>
  </w:style>
  <w:style w:type="paragraph" w:customStyle="1" w:styleId="79">
    <w:name w:val="修订1"/>
    <w:semiHidden/>
    <w:qFormat/>
    <w:uiPriority w:val="99"/>
    <w:rPr>
      <w:rFonts w:ascii="Calibri" w:hAnsi="Calibri" w:eastAsia="仿宋" w:cs="Times New Roman"/>
      <w:kern w:val="2"/>
      <w:sz w:val="28"/>
      <w:szCs w:val="22"/>
      <w:lang w:val="en-US" w:eastAsia="zh-CN" w:bidi="ar-SA"/>
    </w:rPr>
  </w:style>
  <w:style w:type="paragraph" w:customStyle="1" w:styleId="80">
    <w:name w:val="TOC 标题1"/>
    <w:basedOn w:val="2"/>
    <w:next w:val="1"/>
    <w:unhideWhenUsed/>
    <w:qFormat/>
    <w:uiPriority w:val="39"/>
    <w:pPr>
      <w:widowControl/>
      <w:numPr>
        <w:numId w:val="0"/>
      </w:numPr>
      <w:spacing w:after="0" w:line="256" w:lineRule="auto"/>
      <w:jc w:val="left"/>
      <w:outlineLvl w:val="9"/>
    </w:pPr>
    <w:rPr>
      <w:rFonts w:ascii="Cambria" w:hAnsi="Cambria" w:eastAsia="宋体"/>
      <w:bCs w:val="0"/>
      <w:color w:val="365F91"/>
      <w:kern w:val="0"/>
      <w:szCs w:val="32"/>
      <w:lang w:val="zh-CN"/>
    </w:rPr>
  </w:style>
  <w:style w:type="character" w:customStyle="1" w:styleId="81">
    <w:name w:val="样式1 字符"/>
    <w:link w:val="82"/>
    <w:qFormat/>
    <w:locked/>
    <w:uiPriority w:val="0"/>
    <w:rPr>
      <w:rFonts w:ascii="仿宋" w:hAnsi="仿宋" w:eastAsia="仿宋"/>
      <w:sz w:val="28"/>
      <w:szCs w:val="32"/>
    </w:rPr>
  </w:style>
  <w:style w:type="paragraph" w:customStyle="1" w:styleId="82">
    <w:name w:val="样式1"/>
    <w:basedOn w:val="1"/>
    <w:link w:val="81"/>
    <w:qFormat/>
    <w:uiPriority w:val="0"/>
    <w:pPr>
      <w:ind w:firstLine="560" w:firstLineChars="200"/>
    </w:pPr>
    <w:rPr>
      <w:rFonts w:ascii="仿宋" w:hAnsi="仿宋" w:eastAsia="仿宋" w:cstheme="minorBidi"/>
      <w:sz w:val="28"/>
      <w:szCs w:val="32"/>
    </w:rPr>
  </w:style>
  <w:style w:type="paragraph" w:customStyle="1" w:styleId="83">
    <w:name w:val="RegHead2"/>
    <w:basedOn w:val="1"/>
    <w:next w:val="84"/>
    <w:qFormat/>
    <w:uiPriority w:val="99"/>
    <w:pPr>
      <w:keepNext/>
      <w:widowControl/>
      <w:numPr>
        <w:ilvl w:val="1"/>
        <w:numId w:val="6"/>
      </w:numPr>
      <w:spacing w:before="180"/>
      <w:jc w:val="center"/>
      <w:outlineLvl w:val="1"/>
    </w:pPr>
    <w:rPr>
      <w:rFonts w:eastAsia="MS Mincho"/>
      <w:b/>
      <w:kern w:val="0"/>
      <w:sz w:val="22"/>
      <w:szCs w:val="20"/>
      <w:lang w:val="en-GB" w:eastAsia="en-US"/>
    </w:rPr>
  </w:style>
  <w:style w:type="paragraph" w:customStyle="1" w:styleId="84">
    <w:name w:val="RegHead3"/>
    <w:basedOn w:val="1"/>
    <w:next w:val="85"/>
    <w:qFormat/>
    <w:uiPriority w:val="99"/>
    <w:pPr>
      <w:keepNext/>
      <w:widowControl/>
      <w:numPr>
        <w:ilvl w:val="2"/>
        <w:numId w:val="6"/>
      </w:numPr>
      <w:spacing w:before="180"/>
      <w:jc w:val="center"/>
    </w:pPr>
    <w:rPr>
      <w:rFonts w:eastAsia="MS Mincho"/>
      <w:kern w:val="0"/>
      <w:sz w:val="22"/>
      <w:szCs w:val="20"/>
      <w:u w:val="single"/>
      <w:lang w:val="en-GB" w:eastAsia="en-US"/>
    </w:rPr>
  </w:style>
  <w:style w:type="paragraph" w:customStyle="1" w:styleId="85">
    <w:name w:val="RegPara"/>
    <w:basedOn w:val="1"/>
    <w:link w:val="86"/>
    <w:qFormat/>
    <w:uiPriority w:val="0"/>
    <w:pPr>
      <w:widowControl/>
      <w:numPr>
        <w:ilvl w:val="3"/>
        <w:numId w:val="6"/>
      </w:numPr>
      <w:spacing w:before="180"/>
      <w:jc w:val="left"/>
    </w:pPr>
    <w:rPr>
      <w:rFonts w:eastAsia="Times New Roman" w:asciiTheme="minorHAnsi" w:hAnsiTheme="minorHAnsi" w:cstheme="minorBidi"/>
      <w:kern w:val="0"/>
      <w:sz w:val="22"/>
      <w:szCs w:val="20"/>
      <w:lang w:val="en-GB" w:eastAsia="de-DE"/>
    </w:rPr>
  </w:style>
  <w:style w:type="character" w:customStyle="1" w:styleId="86">
    <w:name w:val="RegPara Char"/>
    <w:link w:val="85"/>
    <w:qFormat/>
    <w:locked/>
    <w:uiPriority w:val="0"/>
    <w:rPr>
      <w:rFonts w:eastAsia="Times New Roman"/>
      <w:kern w:val="0"/>
      <w:sz w:val="22"/>
      <w:szCs w:val="20"/>
      <w:lang w:val="en-GB" w:eastAsia="de-DE"/>
    </w:rPr>
  </w:style>
  <w:style w:type="paragraph" w:customStyle="1" w:styleId="87">
    <w:name w:val="RegHead1"/>
    <w:basedOn w:val="1"/>
    <w:next w:val="83"/>
    <w:qFormat/>
    <w:uiPriority w:val="99"/>
    <w:pPr>
      <w:keepNext/>
      <w:widowControl/>
      <w:numPr>
        <w:ilvl w:val="0"/>
        <w:numId w:val="6"/>
      </w:numPr>
      <w:spacing w:before="180"/>
      <w:jc w:val="center"/>
      <w:outlineLvl w:val="0"/>
    </w:pPr>
    <w:rPr>
      <w:rFonts w:ascii="Times New Roman Bold" w:hAnsi="Times New Roman Bold" w:eastAsia="MS Mincho"/>
      <w:b/>
      <w:kern w:val="0"/>
      <w:sz w:val="22"/>
      <w:szCs w:val="24"/>
      <w:lang w:val="en-GB" w:eastAsia="en-US"/>
    </w:rPr>
  </w:style>
  <w:style w:type="paragraph" w:customStyle="1" w:styleId="88">
    <w:name w:val="RegSectionLevel1"/>
    <w:basedOn w:val="1"/>
    <w:qFormat/>
    <w:uiPriority w:val="99"/>
    <w:pPr>
      <w:keepNext/>
      <w:widowControl/>
      <w:numPr>
        <w:ilvl w:val="1"/>
        <w:numId w:val="7"/>
      </w:numPr>
      <w:spacing w:before="120"/>
      <w:jc w:val="left"/>
      <w:outlineLvl w:val="0"/>
    </w:pPr>
    <w:rPr>
      <w:rFonts w:eastAsia="MS Mincho"/>
      <w:b/>
      <w:kern w:val="0"/>
      <w:sz w:val="22"/>
      <w:szCs w:val="20"/>
      <w:lang w:val="en-GB" w:eastAsia="en-US"/>
    </w:rPr>
  </w:style>
  <w:style w:type="paragraph" w:customStyle="1" w:styleId="89">
    <w:name w:val="RegSectionLevel2"/>
    <w:basedOn w:val="1"/>
    <w:qFormat/>
    <w:uiPriority w:val="99"/>
    <w:pPr>
      <w:keepNext/>
      <w:widowControl/>
      <w:jc w:val="left"/>
    </w:pPr>
    <w:rPr>
      <w:rFonts w:eastAsia="Times New Roman"/>
      <w:b/>
      <w:kern w:val="0"/>
      <w:sz w:val="22"/>
      <w:szCs w:val="22"/>
      <w:lang w:val="en-GB" w:eastAsia="de-DE"/>
    </w:rPr>
  </w:style>
  <w:style w:type="paragraph" w:customStyle="1" w:styleId="90">
    <w:name w:val="RegSectionLevel3"/>
    <w:basedOn w:val="1"/>
    <w:qFormat/>
    <w:uiPriority w:val="99"/>
    <w:pPr>
      <w:keepNext/>
      <w:widowControl/>
      <w:numPr>
        <w:ilvl w:val="3"/>
        <w:numId w:val="7"/>
      </w:numPr>
      <w:autoSpaceDE w:val="0"/>
      <w:autoSpaceDN w:val="0"/>
      <w:adjustRightInd w:val="0"/>
      <w:jc w:val="left"/>
    </w:pPr>
    <w:rPr>
      <w:rFonts w:eastAsia="Times New Roman"/>
      <w:b/>
      <w:bCs/>
      <w:kern w:val="0"/>
      <w:sz w:val="22"/>
      <w:szCs w:val="22"/>
      <w:lang w:eastAsia="de-DE"/>
    </w:rPr>
  </w:style>
  <w:style w:type="paragraph" w:customStyle="1" w:styleId="91">
    <w:name w:val="RegSectionLevel4"/>
    <w:basedOn w:val="1"/>
    <w:qFormat/>
    <w:uiPriority w:val="99"/>
    <w:pPr>
      <w:keepNext/>
      <w:widowControl/>
      <w:numPr>
        <w:ilvl w:val="4"/>
        <w:numId w:val="7"/>
      </w:numPr>
      <w:spacing w:after="120"/>
      <w:jc w:val="left"/>
    </w:pPr>
    <w:rPr>
      <w:rFonts w:eastAsia="MS Mincho"/>
      <w:b/>
      <w:kern w:val="0"/>
      <w:sz w:val="22"/>
      <w:szCs w:val="20"/>
      <w:lang w:val="en-GB" w:eastAsia="de-DE"/>
    </w:rPr>
  </w:style>
  <w:style w:type="paragraph" w:customStyle="1" w:styleId="92">
    <w:name w:val="RegSectionLevel5"/>
    <w:basedOn w:val="1"/>
    <w:qFormat/>
    <w:uiPriority w:val="99"/>
    <w:pPr>
      <w:keepNext/>
      <w:widowControl/>
      <w:numPr>
        <w:ilvl w:val="5"/>
        <w:numId w:val="7"/>
      </w:numPr>
      <w:spacing w:after="120"/>
      <w:jc w:val="left"/>
    </w:pPr>
    <w:rPr>
      <w:rFonts w:eastAsia="MS Mincho"/>
      <w:b/>
      <w:kern w:val="0"/>
      <w:sz w:val="22"/>
      <w:szCs w:val="20"/>
      <w:lang w:val="en-GB" w:eastAsia="de-DE"/>
    </w:rPr>
  </w:style>
  <w:style w:type="paragraph" w:customStyle="1" w:styleId="93">
    <w:name w:val="RegSectionLevel6"/>
    <w:basedOn w:val="1"/>
    <w:qFormat/>
    <w:uiPriority w:val="99"/>
    <w:pPr>
      <w:keepNext/>
      <w:widowControl/>
      <w:numPr>
        <w:ilvl w:val="6"/>
        <w:numId w:val="7"/>
      </w:numPr>
      <w:spacing w:after="120"/>
      <w:ind w:firstLine="0"/>
      <w:jc w:val="left"/>
    </w:pPr>
    <w:rPr>
      <w:rFonts w:eastAsia="MS Mincho"/>
      <w:b/>
      <w:kern w:val="0"/>
      <w:sz w:val="22"/>
      <w:szCs w:val="20"/>
      <w:lang w:val="en-GB" w:eastAsia="de-DE"/>
    </w:rPr>
  </w:style>
  <w:style w:type="paragraph" w:customStyle="1" w:styleId="94">
    <w:name w:val="RegSectionLevel7"/>
    <w:basedOn w:val="1"/>
    <w:qFormat/>
    <w:uiPriority w:val="99"/>
    <w:pPr>
      <w:keepNext/>
      <w:widowControl/>
      <w:numPr>
        <w:ilvl w:val="7"/>
        <w:numId w:val="7"/>
      </w:numPr>
      <w:spacing w:after="120"/>
      <w:jc w:val="left"/>
    </w:pPr>
    <w:rPr>
      <w:rFonts w:eastAsia="MS Mincho"/>
      <w:b/>
      <w:kern w:val="0"/>
      <w:sz w:val="22"/>
      <w:szCs w:val="20"/>
      <w:lang w:val="en-GB" w:eastAsia="de-DE"/>
    </w:rPr>
  </w:style>
  <w:style w:type="paragraph" w:customStyle="1" w:styleId="95">
    <w:name w:val="RegSectionLevel8"/>
    <w:basedOn w:val="1"/>
    <w:qFormat/>
    <w:uiPriority w:val="99"/>
    <w:pPr>
      <w:keepNext/>
      <w:widowControl/>
      <w:numPr>
        <w:ilvl w:val="8"/>
        <w:numId w:val="7"/>
      </w:numPr>
      <w:spacing w:after="120"/>
      <w:jc w:val="left"/>
    </w:pPr>
    <w:rPr>
      <w:rFonts w:eastAsia="MS Mincho"/>
      <w:b/>
      <w:kern w:val="0"/>
      <w:sz w:val="22"/>
      <w:szCs w:val="20"/>
      <w:lang w:val="en-GB" w:eastAsia="de-DE"/>
    </w:rPr>
  </w:style>
  <w:style w:type="paragraph" w:customStyle="1" w:styleId="96">
    <w:name w:val="PartTitleBox"/>
    <w:basedOn w:val="1"/>
    <w:qFormat/>
    <w:uiPriority w:val="99"/>
    <w:pPr>
      <w:keepNext/>
      <w:keepLines/>
      <w:widowControl/>
      <w:numPr>
        <w:ilvl w:val="0"/>
        <w:numId w:val="7"/>
      </w:numPr>
      <w:pBdr>
        <w:top w:val="single" w:color="auto" w:sz="4" w:space="1"/>
        <w:left w:val="single" w:color="auto" w:sz="4" w:space="1"/>
        <w:bottom w:val="single" w:color="auto" w:sz="4" w:space="1"/>
        <w:right w:val="single" w:color="auto" w:sz="4" w:space="1"/>
      </w:pBdr>
      <w:shd w:val="clear" w:color="auto" w:fill="D9D9D9"/>
      <w:ind w:right="57"/>
      <w:jc w:val="center"/>
      <w:outlineLvl w:val="0"/>
    </w:pPr>
    <w:rPr>
      <w:rFonts w:ascii="Times New Roman Bold" w:hAnsi="Times New Roman Bold" w:eastAsia="Times New Roman"/>
      <w:b/>
      <w:kern w:val="0"/>
      <w:sz w:val="22"/>
      <w:szCs w:val="20"/>
      <w:u w:val="dash"/>
      <w:lang w:val="en-GB" w:eastAsia="de-DE"/>
    </w:rPr>
  </w:style>
  <w:style w:type="character" w:customStyle="1" w:styleId="97">
    <w:name w:val="文本 字符"/>
    <w:link w:val="98"/>
    <w:qFormat/>
    <w:locked/>
    <w:uiPriority w:val="0"/>
    <w:rPr>
      <w:rFonts w:eastAsia="仿宋" w:cs="Calibri"/>
      <w:sz w:val="28"/>
      <w:szCs w:val="28"/>
    </w:rPr>
  </w:style>
  <w:style w:type="paragraph" w:customStyle="1" w:styleId="98">
    <w:name w:val="文本"/>
    <w:basedOn w:val="11"/>
    <w:link w:val="97"/>
    <w:qFormat/>
    <w:uiPriority w:val="0"/>
    <w:pPr>
      <w:spacing w:beforeLines="25" w:after="0" w:afterLines="25" w:line="360" w:lineRule="auto"/>
      <w:ind w:firstLine="560" w:firstLineChars="200"/>
    </w:pPr>
    <w:rPr>
      <w:rFonts w:eastAsia="仿宋" w:cs="Calibri" w:asciiTheme="minorHAnsi" w:hAnsiTheme="minorHAnsi"/>
      <w:sz w:val="28"/>
      <w:szCs w:val="28"/>
      <w:lang w:val="en-US"/>
    </w:rPr>
  </w:style>
  <w:style w:type="character" w:customStyle="1" w:styleId="99">
    <w:name w:val="标题2 字符"/>
    <w:link w:val="100"/>
    <w:qFormat/>
    <w:locked/>
    <w:uiPriority w:val="0"/>
    <w:rPr>
      <w:rFonts w:cs="Calibri"/>
      <w:b/>
      <w:bCs/>
      <w:kern w:val="44"/>
      <w:sz w:val="30"/>
      <w:szCs w:val="30"/>
    </w:rPr>
  </w:style>
  <w:style w:type="paragraph" w:customStyle="1" w:styleId="100">
    <w:name w:val="标题2"/>
    <w:basedOn w:val="2"/>
    <w:next w:val="98"/>
    <w:link w:val="99"/>
    <w:qFormat/>
    <w:uiPriority w:val="0"/>
    <w:pPr>
      <w:numPr>
        <w:numId w:val="0"/>
      </w:numPr>
      <w:spacing w:before="0" w:beforeLines="50" w:after="0" w:afterLines="50" w:line="360" w:lineRule="auto"/>
      <w:ind w:left="567" w:hanging="567"/>
      <w:outlineLvl w:val="1"/>
    </w:pPr>
    <w:rPr>
      <w:rFonts w:cs="Calibri" w:asciiTheme="minorHAnsi" w:hAnsiTheme="minorHAnsi" w:eastAsiaTheme="minorEastAsia"/>
      <w:b/>
      <w:sz w:val="30"/>
      <w:szCs w:val="30"/>
    </w:rPr>
  </w:style>
  <w:style w:type="paragraph" w:customStyle="1" w:styleId="101">
    <w:name w:val="图片及表格文字"/>
    <w:next w:val="98"/>
    <w:qFormat/>
    <w:uiPriority w:val="99"/>
    <w:pPr>
      <w:spacing w:line="360" w:lineRule="auto"/>
      <w:jc w:val="center"/>
    </w:pPr>
    <w:rPr>
      <w:rFonts w:ascii="宋体" w:hAnsi="宋体" w:eastAsia="宋体" w:cs="微软雅黑"/>
      <w:bCs/>
      <w:spacing w:val="20"/>
      <w:kern w:val="2"/>
      <w:sz w:val="24"/>
      <w:szCs w:val="28"/>
      <w:lang w:val="en-US" w:eastAsia="zh-CN" w:bidi="ar-SA"/>
    </w:rPr>
  </w:style>
  <w:style w:type="paragraph" w:customStyle="1" w:styleId="102">
    <w:name w:val="表格"/>
    <w:basedOn w:val="1"/>
    <w:qFormat/>
    <w:uiPriority w:val="99"/>
    <w:pPr>
      <w:widowControl/>
      <w:jc w:val="center"/>
    </w:pPr>
    <w:rPr>
      <w:rFonts w:ascii="Calibri" w:hAnsi="Calibri"/>
    </w:rPr>
  </w:style>
  <w:style w:type="character" w:customStyle="1" w:styleId="103">
    <w:name w:val="图内容 Char"/>
    <w:link w:val="104"/>
    <w:qFormat/>
    <w:locked/>
    <w:uiPriority w:val="0"/>
    <w:rPr>
      <w:rFonts w:ascii="Calibri" w:hAnsi="Calibri"/>
      <w:sz w:val="24"/>
    </w:rPr>
  </w:style>
  <w:style w:type="paragraph" w:customStyle="1" w:styleId="104">
    <w:name w:val="图内容"/>
    <w:link w:val="103"/>
    <w:qFormat/>
    <w:uiPriority w:val="0"/>
    <w:pPr>
      <w:spacing w:beforeLines="50" w:line="360" w:lineRule="auto"/>
      <w:jc w:val="center"/>
    </w:pPr>
    <w:rPr>
      <w:rFonts w:ascii="Calibri" w:hAnsi="Calibri" w:eastAsiaTheme="minorEastAsia" w:cstheme="minorBidi"/>
      <w:kern w:val="2"/>
      <w:sz w:val="24"/>
      <w:szCs w:val="22"/>
      <w:lang w:val="en-US" w:eastAsia="zh-CN" w:bidi="ar-SA"/>
    </w:rPr>
  </w:style>
  <w:style w:type="paragraph" w:customStyle="1" w:styleId="105">
    <w:name w:val="修订11"/>
    <w:semiHidden/>
    <w:qFormat/>
    <w:uiPriority w:val="99"/>
    <w:rPr>
      <w:rFonts w:ascii="Calibri" w:hAnsi="Calibri" w:eastAsia="宋体" w:cs="Calibri"/>
      <w:kern w:val="2"/>
      <w:sz w:val="21"/>
      <w:szCs w:val="21"/>
      <w:lang w:val="en-US" w:eastAsia="zh-CN" w:bidi="ar-SA"/>
    </w:rPr>
  </w:style>
  <w:style w:type="paragraph" w:customStyle="1" w:styleId="106">
    <w:name w:val="table"/>
    <w:basedOn w:val="1"/>
    <w:qFormat/>
    <w:uiPriority w:val="99"/>
    <w:pPr>
      <w:widowControl/>
      <w:snapToGrid w:val="0"/>
      <w:spacing w:line="288" w:lineRule="auto"/>
      <w:jc w:val="center"/>
    </w:pPr>
    <w:rPr>
      <w:rFonts w:cs="宋体"/>
      <w:sz w:val="20"/>
      <w:szCs w:val="20"/>
    </w:rPr>
  </w:style>
  <w:style w:type="paragraph" w:customStyle="1" w:styleId="107">
    <w:name w:val="A正文"/>
    <w:basedOn w:val="1"/>
    <w:qFormat/>
    <w:uiPriority w:val="99"/>
    <w:pPr>
      <w:widowControl/>
      <w:snapToGrid w:val="0"/>
      <w:spacing w:line="360" w:lineRule="auto"/>
      <w:ind w:firstLine="480" w:firstLineChars="200"/>
    </w:pPr>
    <w:rPr>
      <w:sz w:val="24"/>
      <w:szCs w:val="24"/>
    </w:rPr>
  </w:style>
  <w:style w:type="paragraph" w:customStyle="1" w:styleId="108">
    <w:name w:val="图1"/>
    <w:basedOn w:val="1"/>
    <w:qFormat/>
    <w:uiPriority w:val="99"/>
    <w:pPr>
      <w:adjustRightInd w:val="0"/>
      <w:snapToGrid w:val="0"/>
      <w:spacing w:before="240" w:after="120"/>
      <w:jc w:val="center"/>
    </w:pPr>
    <w:rPr>
      <w:color w:val="000000"/>
      <w:spacing w:val="10"/>
      <w:kern w:val="0"/>
      <w:sz w:val="24"/>
      <w:szCs w:val="24"/>
    </w:rPr>
  </w:style>
  <w:style w:type="paragraph" w:customStyle="1" w:styleId="109">
    <w:name w:val="List Paragraph1"/>
    <w:basedOn w:val="1"/>
    <w:qFormat/>
    <w:uiPriority w:val="99"/>
    <w:pPr>
      <w:ind w:firstLine="420" w:firstLineChars="200"/>
    </w:pPr>
    <w:rPr>
      <w:rFonts w:ascii="Calibri" w:hAnsi="Calibri"/>
    </w:rPr>
  </w:style>
  <w:style w:type="paragraph" w:customStyle="1" w:styleId="110">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111">
    <w:name w:val="封面2"/>
    <w:basedOn w:val="1"/>
    <w:qFormat/>
    <w:uiPriority w:val="99"/>
    <w:pPr>
      <w:spacing w:line="360" w:lineRule="auto"/>
    </w:pPr>
    <w:rPr>
      <w:rFonts w:ascii="宋体" w:hAnsi="宋体" w:cs="宋体"/>
      <w:b/>
      <w:bCs/>
      <w:spacing w:val="30"/>
      <w:sz w:val="28"/>
      <w:szCs w:val="28"/>
      <w:u w:val="single"/>
    </w:rPr>
  </w:style>
  <w:style w:type="paragraph" w:customStyle="1" w:styleId="112">
    <w:name w:val="大标题"/>
    <w:basedOn w:val="1"/>
    <w:qFormat/>
    <w:uiPriority w:val="99"/>
    <w:pPr>
      <w:spacing w:beforeLines="50" w:line="480" w:lineRule="auto"/>
      <w:jc w:val="center"/>
    </w:pPr>
    <w:rPr>
      <w:rFonts w:ascii="宋体" w:hAnsi="宋体" w:cs="宋体"/>
      <w:b/>
      <w:bCs/>
      <w:spacing w:val="40"/>
      <w:sz w:val="52"/>
      <w:szCs w:val="52"/>
    </w:rPr>
  </w:style>
  <w:style w:type="character" w:customStyle="1" w:styleId="113">
    <w:name w:val="List Paragraph 字符"/>
    <w:link w:val="114"/>
    <w:qFormat/>
    <w:locked/>
    <w:uiPriority w:val="0"/>
    <w:rPr>
      <w:rFonts w:ascii="Calibri" w:hAnsi="Calibri" w:cs="Calibri"/>
      <w:szCs w:val="21"/>
    </w:rPr>
  </w:style>
  <w:style w:type="paragraph" w:customStyle="1" w:styleId="114">
    <w:name w:val="列出段落1"/>
    <w:basedOn w:val="1"/>
    <w:link w:val="113"/>
    <w:qFormat/>
    <w:uiPriority w:val="0"/>
    <w:pPr>
      <w:ind w:firstLine="420" w:firstLineChars="200"/>
    </w:pPr>
    <w:rPr>
      <w:rFonts w:ascii="Calibri" w:hAnsi="Calibri" w:cs="Calibri" w:eastAsiaTheme="minorEastAsia"/>
    </w:rPr>
  </w:style>
  <w:style w:type="character" w:customStyle="1" w:styleId="115">
    <w:name w:val="cankaowenxian 字符"/>
    <w:link w:val="116"/>
    <w:qFormat/>
    <w:locked/>
    <w:uiPriority w:val="0"/>
    <w:rPr>
      <w:rFonts w:ascii="宋体" w:hAnsi="宋体" w:cs="Calibri"/>
      <w:sz w:val="24"/>
      <w:szCs w:val="24"/>
    </w:rPr>
  </w:style>
  <w:style w:type="paragraph" w:customStyle="1" w:styleId="116">
    <w:name w:val="cankaowenxian"/>
    <w:basedOn w:val="114"/>
    <w:link w:val="115"/>
    <w:qFormat/>
    <w:uiPriority w:val="0"/>
    <w:pPr>
      <w:numPr>
        <w:ilvl w:val="0"/>
        <w:numId w:val="8"/>
      </w:numPr>
      <w:spacing w:line="360" w:lineRule="auto"/>
      <w:ind w:left="567" w:hanging="567" w:firstLineChars="0"/>
    </w:pPr>
    <w:rPr>
      <w:rFonts w:ascii="宋体" w:hAnsi="宋体"/>
      <w:sz w:val="24"/>
      <w:szCs w:val="24"/>
    </w:rPr>
  </w:style>
  <w:style w:type="paragraph" w:customStyle="1" w:styleId="117">
    <w:name w:val="修订2"/>
    <w:semiHidden/>
    <w:qFormat/>
    <w:uiPriority w:val="99"/>
    <w:rPr>
      <w:rFonts w:ascii="Calibri" w:hAnsi="Calibri" w:eastAsia="宋体" w:cs="Calibri"/>
      <w:kern w:val="2"/>
      <w:sz w:val="21"/>
      <w:szCs w:val="21"/>
      <w:lang w:val="en-US" w:eastAsia="zh-CN" w:bidi="ar-SA"/>
    </w:rPr>
  </w:style>
  <w:style w:type="paragraph" w:customStyle="1" w:styleId="118">
    <w:name w:val="样式3"/>
    <w:basedOn w:val="4"/>
    <w:qFormat/>
    <w:uiPriority w:val="99"/>
    <w:pPr>
      <w:keepNext w:val="0"/>
      <w:keepLines w:val="0"/>
      <w:numPr>
        <w:ilvl w:val="1"/>
        <w:numId w:val="9"/>
      </w:numPr>
      <w:tabs>
        <w:tab w:val="left" w:pos="360"/>
      </w:tabs>
      <w:spacing w:before="40" w:after="40" w:line="360" w:lineRule="auto"/>
      <w:ind w:left="0" w:right="280" w:rightChars="100" w:firstLine="0" w:firstLineChars="0"/>
      <w:outlineLvl w:val="3"/>
    </w:pPr>
    <w:rPr>
      <w:rFonts w:ascii="Calibri" w:hAnsi="Calibri" w:eastAsia="宋体" w:cs="Arial"/>
      <w:b w:val="0"/>
      <w:sz w:val="24"/>
      <w:lang w:val="zh-CN"/>
    </w:rPr>
  </w:style>
  <w:style w:type="paragraph" w:customStyle="1" w:styleId="119">
    <w:name w:val="Hy_正文"/>
    <w:basedOn w:val="98"/>
    <w:qFormat/>
    <w:uiPriority w:val="99"/>
    <w:pPr>
      <w:widowControl/>
      <w:spacing w:beforeLines="50" w:afterLines="50"/>
    </w:pPr>
    <w:rPr>
      <w:rFonts w:ascii="宋体" w:hAnsi="宋体"/>
    </w:rPr>
  </w:style>
  <w:style w:type="paragraph" w:customStyle="1" w:styleId="120">
    <w:name w:val="AnnoPara"/>
    <w:basedOn w:val="1"/>
    <w:qFormat/>
    <w:uiPriority w:val="99"/>
    <w:pPr>
      <w:widowControl/>
      <w:numPr>
        <w:ilvl w:val="4"/>
        <w:numId w:val="10"/>
      </w:numPr>
      <w:jc w:val="left"/>
    </w:pPr>
    <w:rPr>
      <w:rFonts w:eastAsia="Times New Roman"/>
      <w:kern w:val="0"/>
      <w:sz w:val="22"/>
      <w:szCs w:val="20"/>
      <w:lang w:val="en-GB" w:eastAsia="de-DE"/>
    </w:rPr>
  </w:style>
  <w:style w:type="paragraph" w:customStyle="1" w:styleId="121">
    <w:name w:val="AnnoHead3"/>
    <w:basedOn w:val="1"/>
    <w:next w:val="120"/>
    <w:qFormat/>
    <w:uiPriority w:val="99"/>
    <w:pPr>
      <w:widowControl/>
      <w:numPr>
        <w:ilvl w:val="2"/>
        <w:numId w:val="10"/>
      </w:numPr>
      <w:ind w:firstLine="0"/>
      <w:jc w:val="left"/>
    </w:pPr>
    <w:rPr>
      <w:rFonts w:eastAsia="Times New Roman"/>
      <w:kern w:val="0"/>
      <w:sz w:val="22"/>
      <w:szCs w:val="20"/>
      <w:u w:val="single"/>
      <w:lang w:val="en-GB" w:eastAsia="de-DE"/>
    </w:rPr>
  </w:style>
  <w:style w:type="paragraph" w:customStyle="1" w:styleId="122">
    <w:name w:val="AnnoHead2"/>
    <w:basedOn w:val="1"/>
    <w:next w:val="121"/>
    <w:qFormat/>
    <w:uiPriority w:val="99"/>
    <w:pPr>
      <w:widowControl/>
      <w:numPr>
        <w:ilvl w:val="1"/>
        <w:numId w:val="10"/>
      </w:numPr>
      <w:jc w:val="center"/>
    </w:pPr>
    <w:rPr>
      <w:rFonts w:eastAsia="Times New Roman"/>
      <w:b/>
      <w:kern w:val="0"/>
      <w:sz w:val="22"/>
      <w:szCs w:val="20"/>
      <w:lang w:val="en-GB" w:eastAsia="de-DE"/>
    </w:rPr>
  </w:style>
  <w:style w:type="paragraph" w:customStyle="1" w:styleId="123">
    <w:name w:val="RegAppendix"/>
    <w:basedOn w:val="1"/>
    <w:next w:val="85"/>
    <w:qFormat/>
    <w:uiPriority w:val="99"/>
    <w:pPr>
      <w:widowControl/>
      <w:numPr>
        <w:ilvl w:val="0"/>
        <w:numId w:val="11"/>
      </w:numPr>
      <w:spacing w:before="360" w:after="240"/>
      <w:jc w:val="center"/>
      <w:outlineLvl w:val="2"/>
    </w:pPr>
    <w:rPr>
      <w:rFonts w:eastAsia="MS Mincho"/>
      <w:b/>
      <w:bCs/>
      <w:kern w:val="0"/>
      <w:sz w:val="22"/>
      <w:szCs w:val="20"/>
      <w:lang w:val="en-GB" w:eastAsia="en-US"/>
    </w:rPr>
  </w:style>
  <w:style w:type="paragraph" w:customStyle="1" w:styleId="124">
    <w:name w:val="RegParaNoNumbKeepWNext"/>
    <w:basedOn w:val="1"/>
    <w:next w:val="1"/>
    <w:qFormat/>
    <w:uiPriority w:val="99"/>
    <w:pPr>
      <w:keepNext/>
      <w:widowControl/>
      <w:jc w:val="left"/>
    </w:pPr>
    <w:rPr>
      <w:rFonts w:eastAsia="MS Mincho"/>
      <w:i/>
      <w:kern w:val="0"/>
      <w:sz w:val="22"/>
      <w:szCs w:val="20"/>
      <w:lang w:val="en-GB" w:eastAsia="en-US"/>
    </w:rPr>
  </w:style>
  <w:style w:type="paragraph" w:customStyle="1" w:styleId="125">
    <w:name w:val="2Bullet List"/>
    <w:qFormat/>
    <w:uiPriority w:val="99"/>
    <w:pPr>
      <w:snapToGrid w:val="0"/>
    </w:pPr>
    <w:rPr>
      <w:rFonts w:ascii="Times New Roman" w:hAnsi="Times New Roman" w:eastAsia="Times New Roman" w:cs="Times New Roman"/>
      <w:sz w:val="24"/>
      <w:lang w:val="en-US" w:eastAsia="en-US" w:bidi="ar-SA"/>
    </w:rPr>
  </w:style>
  <w:style w:type="paragraph" w:customStyle="1" w:styleId="126">
    <w:name w:val="1"/>
    <w:basedOn w:val="1"/>
    <w:next w:val="64"/>
    <w:qFormat/>
    <w:uiPriority w:val="34"/>
    <w:pPr>
      <w:widowControl/>
      <w:ind w:firstLine="420" w:firstLineChars="200"/>
      <w:jc w:val="left"/>
    </w:pPr>
    <w:rPr>
      <w:kern w:val="0"/>
      <w:sz w:val="22"/>
      <w:szCs w:val="22"/>
      <w:lang w:val="en-GB" w:eastAsia="en-US"/>
    </w:rPr>
  </w:style>
  <w:style w:type="character" w:customStyle="1" w:styleId="127">
    <w:name w:val="不明显强调1"/>
    <w:qFormat/>
    <w:uiPriority w:val="19"/>
    <w:rPr>
      <w:i/>
      <w:iCs/>
      <w:color w:val="808080"/>
    </w:rPr>
  </w:style>
  <w:style w:type="character" w:customStyle="1" w:styleId="128">
    <w:name w:val="页眉 Char1"/>
    <w:semiHidden/>
    <w:qFormat/>
    <w:locked/>
    <w:uiPriority w:val="99"/>
    <w:rPr>
      <w:rFonts w:ascii="Calibri" w:hAnsi="Calibri" w:eastAsia="仿宋" w:cs="Times New Roman"/>
      <w:kern w:val="2"/>
      <w:sz w:val="18"/>
      <w:szCs w:val="18"/>
    </w:rPr>
  </w:style>
  <w:style w:type="character" w:customStyle="1" w:styleId="129">
    <w:name w:val="标题 3 Char1"/>
    <w:semiHidden/>
    <w:qFormat/>
    <w:locked/>
    <w:uiPriority w:val="9"/>
    <w:rPr>
      <w:rFonts w:ascii="仿宋" w:hAnsi="Cambria" w:eastAsia="仿宋"/>
      <w:b/>
      <w:bCs/>
      <w:kern w:val="2"/>
      <w:sz w:val="28"/>
      <w:szCs w:val="32"/>
    </w:rPr>
  </w:style>
  <w:style w:type="character" w:customStyle="1" w:styleId="130">
    <w:name w:val="脚注文本 字符"/>
    <w:qFormat/>
    <w:uiPriority w:val="99"/>
    <w:rPr>
      <w:rFonts w:hint="eastAsia" w:ascii="仿宋" w:hAnsi="仿宋" w:eastAsia="仿宋"/>
      <w:sz w:val="18"/>
      <w:szCs w:val="18"/>
    </w:rPr>
  </w:style>
  <w:style w:type="paragraph" w:customStyle="1" w:styleId="131">
    <w:name w:val="图标题"/>
    <w:basedOn w:val="1"/>
    <w:link w:val="132"/>
    <w:qFormat/>
    <w:uiPriority w:val="0"/>
    <w:pPr>
      <w:ind w:firstLine="200" w:firstLineChars="200"/>
    </w:pPr>
    <w:rPr>
      <w:rFonts w:ascii="Calibri" w:hAnsi="Calibri" w:eastAsia="仿宋"/>
      <w:sz w:val="28"/>
      <w:szCs w:val="22"/>
      <w:lang w:val="zh-CN"/>
    </w:rPr>
  </w:style>
  <w:style w:type="character" w:customStyle="1" w:styleId="132">
    <w:name w:val="图标题 字符"/>
    <w:link w:val="131"/>
    <w:qFormat/>
    <w:locked/>
    <w:uiPriority w:val="0"/>
    <w:rPr>
      <w:rFonts w:ascii="Calibri" w:hAnsi="Calibri" w:eastAsia="仿宋" w:cs="Times New Roman"/>
      <w:sz w:val="28"/>
      <w:lang w:val="zh-CN"/>
    </w:rPr>
  </w:style>
  <w:style w:type="paragraph" w:customStyle="1" w:styleId="133">
    <w:name w:val="表标题"/>
    <w:basedOn w:val="1"/>
    <w:link w:val="134"/>
    <w:qFormat/>
    <w:uiPriority w:val="0"/>
    <w:pPr>
      <w:ind w:firstLine="200" w:firstLineChars="200"/>
    </w:pPr>
    <w:rPr>
      <w:rFonts w:ascii="Calibri" w:hAnsi="Calibri" w:eastAsia="仿宋"/>
      <w:sz w:val="28"/>
      <w:szCs w:val="22"/>
      <w:lang w:val="zh-CN"/>
    </w:rPr>
  </w:style>
  <w:style w:type="character" w:customStyle="1" w:styleId="134">
    <w:name w:val="表标题 字符"/>
    <w:link w:val="133"/>
    <w:qFormat/>
    <w:locked/>
    <w:uiPriority w:val="0"/>
    <w:rPr>
      <w:rFonts w:ascii="Calibri" w:hAnsi="Calibri" w:eastAsia="仿宋" w:cs="Times New Roman"/>
      <w:sz w:val="28"/>
      <w:lang w:val="zh-CN"/>
    </w:rPr>
  </w:style>
  <w:style w:type="paragraph" w:customStyle="1" w:styleId="135">
    <w:name w:val="标题3"/>
    <w:basedOn w:val="100"/>
    <w:next w:val="98"/>
    <w:link w:val="136"/>
    <w:qFormat/>
    <w:uiPriority w:val="99"/>
    <w:pPr>
      <w:ind w:left="1134" w:hanging="709"/>
      <w:outlineLvl w:val="2"/>
    </w:pPr>
  </w:style>
  <w:style w:type="character" w:customStyle="1" w:styleId="136">
    <w:name w:val="标题3 字符"/>
    <w:link w:val="135"/>
    <w:qFormat/>
    <w:locked/>
    <w:uiPriority w:val="99"/>
    <w:rPr>
      <w:rFonts w:cs="Calibri"/>
      <w:b/>
      <w:bCs/>
      <w:kern w:val="44"/>
      <w:sz w:val="30"/>
      <w:szCs w:val="30"/>
    </w:rPr>
  </w:style>
  <w:style w:type="character" w:customStyle="1" w:styleId="137">
    <w:name w:val="fontstyle01"/>
    <w:qFormat/>
    <w:uiPriority w:val="0"/>
    <w:rPr>
      <w:rFonts w:hint="eastAsia" w:ascii="宋体" w:hAnsi="宋体" w:eastAsia="宋体"/>
      <w:color w:val="000000"/>
      <w:sz w:val="28"/>
      <w:szCs w:val="28"/>
    </w:rPr>
  </w:style>
  <w:style w:type="character" w:customStyle="1" w:styleId="138">
    <w:name w:val="fontstyle21"/>
    <w:qFormat/>
    <w:uiPriority w:val="0"/>
    <w:rPr>
      <w:rFonts w:hint="default" w:ascii="Times New Roman" w:hAnsi="Times New Roman" w:cs="Times New Roman"/>
      <w:color w:val="000000"/>
      <w:sz w:val="28"/>
      <w:szCs w:val="28"/>
    </w:rPr>
  </w:style>
  <w:style w:type="character" w:customStyle="1" w:styleId="139">
    <w:name w:val="fontstyle11"/>
    <w:qFormat/>
    <w:uiPriority w:val="0"/>
    <w:rPr>
      <w:rFonts w:hint="default" w:ascii="TimesNewRomanPSMT" w:hAnsi="TimesNewRomanPSMT"/>
      <w:color w:val="000000"/>
      <w:sz w:val="36"/>
      <w:szCs w:val="36"/>
    </w:rPr>
  </w:style>
  <w:style w:type="character" w:customStyle="1" w:styleId="140">
    <w:name w:val="尾注文本 Char1"/>
    <w:qFormat/>
    <w:locked/>
    <w:uiPriority w:val="99"/>
    <w:rPr>
      <w:rFonts w:ascii="宋体" w:hAnsi="宋体" w:cs="Times New Roman"/>
      <w:kern w:val="2"/>
      <w:sz w:val="24"/>
      <w:szCs w:val="32"/>
    </w:rPr>
  </w:style>
  <w:style w:type="character" w:customStyle="1" w:styleId="141">
    <w:name w:val="未处理的提及2"/>
    <w:semiHidden/>
    <w:qFormat/>
    <w:uiPriority w:val="99"/>
    <w:rPr>
      <w:color w:val="605E5C"/>
      <w:shd w:val="clear" w:color="auto" w:fill="E1DFDD"/>
    </w:rPr>
  </w:style>
  <w:style w:type="character" w:customStyle="1" w:styleId="142">
    <w:name w:val="未处理的提及3"/>
    <w:semiHidden/>
    <w:qFormat/>
    <w:uiPriority w:val="99"/>
    <w:rPr>
      <w:color w:val="605E5C"/>
      <w:shd w:val="clear" w:color="auto" w:fill="E1DFDD"/>
    </w:rPr>
  </w:style>
  <w:style w:type="table" w:customStyle="1" w:styleId="143">
    <w:name w:val="网格型4"/>
    <w:basedOn w:val="32"/>
    <w:qFormat/>
    <w:uiPriority w:val="3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4">
    <w:name w:val="网格型17"/>
    <w:basedOn w:val="3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无格式表格 21"/>
    <w:basedOn w:val="3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6">
    <w:name w:val="浅色底纹1"/>
    <w:basedOn w:val="32"/>
    <w:qFormat/>
    <w:uiPriority w:val="0"/>
    <w:rPr>
      <w:rFonts w:eastAsia="Times New Roman"/>
      <w:color w:val="000000"/>
    </w:rPr>
    <w:tblPr>
      <w:tblBorders>
        <w:top w:val="single" w:color="000000" w:sz="8" w:space="0"/>
        <w:bottom w:val="single" w:color="000000" w:sz="8" w:space="0"/>
      </w:tblBorders>
    </w:tblPr>
    <w:tblStylePr w:type="firstRow">
      <w:rPr>
        <w:rFonts w:hint="default" w:ascii="Times New Roman" w:hAnsi="Times New Roman" w:cs="Times New Roman"/>
        <w:b/>
        <w:bCs/>
      </w:rPr>
      <w:tcPr>
        <w:tcBorders>
          <w:top w:val="single" w:color="000000" w:sz="8" w:space="0"/>
          <w:left w:val="nil"/>
          <w:bottom w:val="single" w:color="000000" w:sz="8" w:space="0"/>
          <w:right w:val="nil"/>
          <w:insideH w:val="nil"/>
          <w:insideV w:val="nil"/>
        </w:tcBorders>
      </w:tcPr>
    </w:tblStylePr>
    <w:tblStylePr w:type="lastRow">
      <w:rPr>
        <w:rFonts w:hint="default" w:ascii="Times New Roman" w:hAnsi="Times New Roman" w:cs="Times New Roman"/>
        <w:b/>
        <w:bCs/>
      </w:rPr>
      <w:tcPr>
        <w:tcBorders>
          <w:top w:val="single" w:color="000000" w:sz="8" w:space="0"/>
          <w:left w:val="nil"/>
          <w:bottom w:val="single" w:color="000000" w:sz="8" w:space="0"/>
          <w:right w:val="nil"/>
          <w:insideH w:val="nil"/>
          <w:insideV w:val="nil"/>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nil"/>
          <w:right w:val="nil"/>
          <w:insideH w:val="nil"/>
          <w:insideV w:val="nil"/>
        </w:tcBorders>
        <w:shd w:val="clear" w:color="auto" w:fill="BFBFBF"/>
      </w:tcPr>
    </w:tblStylePr>
    <w:tblStylePr w:type="band1Horz">
      <w:tcPr>
        <w:tcBorders>
          <w:left w:val="nil"/>
          <w:right w:val="nil"/>
          <w:insideH w:val="nil"/>
          <w:insideV w:val="nil"/>
        </w:tcBorders>
        <w:shd w:val="clear" w:color="auto" w:fill="BFBFBF"/>
      </w:tcPr>
    </w:tblStylePr>
  </w:style>
  <w:style w:type="table" w:customStyle="1" w:styleId="147">
    <w:name w:val="无格式表格 22"/>
    <w:basedOn w:val="3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8">
    <w:name w:val="网格型11"/>
    <w:basedOn w:val="32"/>
    <w:qFormat/>
    <w:uiPriority w:val="3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9">
    <w:name w:val="网格型5"/>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151">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2">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153">
    <w:name w:val="报告表格"/>
    <w:qFormat/>
    <w:uiPriority w:val="0"/>
    <w:pPr>
      <w:jc w:val="center"/>
    </w:pPr>
    <w:rPr>
      <w:rFonts w:ascii="Times New Roman" w:hAnsi="Times New Roman" w:eastAsia="宋体" w:cs="Times New Roman"/>
      <w:szCs w:val="24"/>
      <w:lang w:val="en-US" w:eastAsia="zh-CN" w:bidi="ar-SA"/>
    </w:rPr>
  </w:style>
  <w:style w:type="paragraph" w:customStyle="1" w:styleId="154">
    <w:name w:val="段"/>
    <w:link w:val="15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5">
    <w:name w:val="段 Char"/>
    <w:link w:val="154"/>
    <w:qFormat/>
    <w:uiPriority w:val="0"/>
    <w:rPr>
      <w:rFonts w:ascii="宋体" w:hAnsi="Times New Roman" w:eastAsia="宋体" w:cs="Times New Roman"/>
      <w:sz w:val="21"/>
    </w:rPr>
  </w:style>
  <w:style w:type="paragraph" w:customStyle="1" w:styleId="156">
    <w:name w:val="修订6"/>
    <w:hidden/>
    <w:semiHidden/>
    <w:qFormat/>
    <w:uiPriority w:val="99"/>
    <w:rPr>
      <w:rFonts w:ascii="Times New Roman" w:hAnsi="Times New Roman" w:eastAsia="宋体" w:cs="Times New Roman"/>
      <w:kern w:val="2"/>
      <w:sz w:val="21"/>
      <w:szCs w:val="21"/>
      <w:lang w:val="en-US" w:eastAsia="zh-CN" w:bidi="ar-SA"/>
    </w:rPr>
  </w:style>
  <w:style w:type="paragraph" w:customStyle="1" w:styleId="157">
    <w:name w:val="立项监测文件标题1"/>
    <w:basedOn w:val="1"/>
    <w:next w:val="82"/>
    <w:link w:val="159"/>
    <w:qFormat/>
    <w:uiPriority w:val="0"/>
    <w:pPr>
      <w:keepNext/>
      <w:widowControl/>
      <w:spacing w:before="120" w:beforeLines="50" w:after="120" w:afterLines="50"/>
      <w:jc w:val="left"/>
      <w:outlineLvl w:val="3"/>
    </w:pPr>
    <w:rPr>
      <w:b/>
      <w:kern w:val="0"/>
      <w:sz w:val="28"/>
      <w:szCs w:val="28"/>
    </w:rPr>
  </w:style>
  <w:style w:type="paragraph" w:customStyle="1" w:styleId="158">
    <w:name w:val="立项监测标题2"/>
    <w:basedOn w:val="1"/>
    <w:next w:val="2"/>
    <w:link w:val="160"/>
    <w:qFormat/>
    <w:uiPriority w:val="0"/>
    <w:pPr>
      <w:keepNext/>
      <w:widowControl/>
      <w:numPr>
        <w:ilvl w:val="2"/>
        <w:numId w:val="7"/>
      </w:numPr>
      <w:jc w:val="left"/>
    </w:pPr>
    <w:rPr>
      <w:b/>
      <w:kern w:val="0"/>
      <w:sz w:val="28"/>
      <w:szCs w:val="28"/>
      <w:lang w:val="de-DE" w:eastAsia="de-DE"/>
    </w:rPr>
  </w:style>
  <w:style w:type="character" w:customStyle="1" w:styleId="159">
    <w:name w:val="立项监测文件标题1 字符"/>
    <w:basedOn w:val="34"/>
    <w:link w:val="157"/>
    <w:qFormat/>
    <w:uiPriority w:val="0"/>
    <w:rPr>
      <w:rFonts w:ascii="Times New Roman" w:hAnsi="Times New Roman" w:eastAsia="宋体" w:cs="Times New Roman"/>
      <w:b/>
      <w:sz w:val="28"/>
      <w:szCs w:val="28"/>
    </w:rPr>
  </w:style>
  <w:style w:type="character" w:customStyle="1" w:styleId="160">
    <w:name w:val="立项监测标题2 字符"/>
    <w:basedOn w:val="34"/>
    <w:link w:val="158"/>
    <w:qFormat/>
    <w:uiPriority w:val="0"/>
    <w:rPr>
      <w:rFonts w:ascii="Times New Roman" w:hAnsi="Times New Roman" w:eastAsia="宋体" w:cs="Times New Roman"/>
      <w:b/>
      <w:sz w:val="28"/>
      <w:szCs w:val="28"/>
      <w:lang w:val="de-DE" w:eastAsia="de-DE"/>
    </w:rPr>
  </w:style>
  <w:style w:type="paragraph" w:customStyle="1" w:styleId="16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2">
    <w:name w:val="一级条标题"/>
    <w:next w:val="154"/>
    <w:qFormat/>
    <w:uiPriority w:val="0"/>
    <w:pPr>
      <w:spacing w:before="156" w:beforeLines="50" w:after="156" w:afterLines="50"/>
      <w:jc w:val="both"/>
      <w:outlineLvl w:val="2"/>
    </w:pPr>
    <w:rPr>
      <w:rFonts w:ascii="黑体" w:hAnsi="Times New Roman" w:eastAsia="黑体" w:cs="Times New Roman"/>
      <w:sz w:val="21"/>
      <w:szCs w:val="21"/>
      <w:lang w:val="en-US" w:eastAsia="zh-CN" w:bidi="ar-SA"/>
    </w:rPr>
  </w:style>
  <w:style w:type="paragraph" w:customStyle="1" w:styleId="1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4">
    <w:name w:val="章标题"/>
    <w:next w:val="154"/>
    <w:qFormat/>
    <w:uiPriority w:val="0"/>
    <w:pPr>
      <w:numPr>
        <w:ilvl w:val="0"/>
        <w:numId w:val="1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65">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66">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67">
    <w:name w:val="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69">
    <w:name w:val="参考文献"/>
    <w:basedOn w:val="1"/>
    <w:next w:val="154"/>
    <w:qFormat/>
    <w:uiPriority w:val="0"/>
    <w:pPr>
      <w:keepNext/>
      <w:widowControl/>
      <w:spacing w:before="640" w:after="200"/>
      <w:jc w:val="center"/>
      <w:outlineLvl w:val="0"/>
    </w:pPr>
    <w:rPr>
      <w:rFonts w:ascii="黑体" w:eastAsia="黑体"/>
      <w:kern w:val="0"/>
      <w:szCs w:val="20"/>
    </w:rPr>
  </w:style>
  <w:style w:type="paragraph" w:customStyle="1" w:styleId="170">
    <w:name w:val="附录标识"/>
    <w:basedOn w:val="1"/>
    <w:next w:val="154"/>
    <w:qFormat/>
    <w:uiPriority w:val="0"/>
    <w:pPr>
      <w:keepNext/>
      <w:widowControl/>
      <w:numPr>
        <w:ilvl w:val="0"/>
        <w:numId w:val="1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71">
    <w:name w:val="附录表标题"/>
    <w:basedOn w:val="1"/>
    <w:next w:val="154"/>
    <w:qFormat/>
    <w:uiPriority w:val="0"/>
    <w:pPr>
      <w:tabs>
        <w:tab w:val="left" w:pos="0"/>
        <w:tab w:val="left" w:pos="180"/>
      </w:tabs>
      <w:spacing w:line="360" w:lineRule="auto"/>
      <w:jc w:val="center"/>
    </w:pPr>
    <w:rPr>
      <w:rFonts w:ascii="黑体"/>
    </w:rPr>
  </w:style>
  <w:style w:type="paragraph" w:customStyle="1" w:styleId="172">
    <w:name w:val="附录二级条标题"/>
    <w:basedOn w:val="1"/>
    <w:next w:val="154"/>
    <w:qFormat/>
    <w:uiPriority w:val="0"/>
    <w:pPr>
      <w:widowControl/>
      <w:numPr>
        <w:ilvl w:val="3"/>
        <w:numId w:val="1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73">
    <w:name w:val="附录三级条标题"/>
    <w:basedOn w:val="172"/>
    <w:next w:val="154"/>
    <w:qFormat/>
    <w:uiPriority w:val="0"/>
    <w:pPr>
      <w:numPr>
        <w:ilvl w:val="4"/>
      </w:numPr>
      <w:outlineLvl w:val="4"/>
    </w:pPr>
  </w:style>
  <w:style w:type="paragraph" w:customStyle="1" w:styleId="174">
    <w:name w:val="附录四级条标题"/>
    <w:basedOn w:val="173"/>
    <w:next w:val="154"/>
    <w:qFormat/>
    <w:uiPriority w:val="0"/>
    <w:pPr>
      <w:numPr>
        <w:ilvl w:val="5"/>
      </w:numPr>
      <w:outlineLvl w:val="5"/>
    </w:pPr>
  </w:style>
  <w:style w:type="paragraph" w:customStyle="1" w:styleId="175">
    <w:name w:val="附录五级条标题"/>
    <w:basedOn w:val="174"/>
    <w:next w:val="154"/>
    <w:qFormat/>
    <w:uiPriority w:val="0"/>
    <w:pPr>
      <w:numPr>
        <w:ilvl w:val="6"/>
      </w:numPr>
      <w:outlineLvl w:val="6"/>
    </w:pPr>
  </w:style>
  <w:style w:type="paragraph" w:customStyle="1" w:styleId="176">
    <w:name w:val="附录章标题"/>
    <w:next w:val="154"/>
    <w:qFormat/>
    <w:uiPriority w:val="0"/>
    <w:pPr>
      <w:numPr>
        <w:ilvl w:val="1"/>
        <w:numId w:val="14"/>
      </w:numPr>
      <w:tabs>
        <w:tab w:val="left" w:pos="360"/>
      </w:tabs>
      <w:wordWrap w:val="0"/>
      <w:overflowPunct w:val="0"/>
      <w:autoSpaceDE w:val="0"/>
      <w:spacing w:beforeLines="100" w:afterLines="100"/>
      <w:jc w:val="both"/>
      <w:textAlignment w:val="baseline"/>
      <w:outlineLvl w:val="1"/>
    </w:pPr>
    <w:rPr>
      <w:rFonts w:ascii="黑体" w:hAnsi="Times New Roman" w:cs="Times New Roman" w:eastAsiaTheme="majorEastAsia"/>
      <w:kern w:val="21"/>
      <w:sz w:val="21"/>
      <w:lang w:val="en-US" w:eastAsia="zh-CN" w:bidi="ar-SA"/>
    </w:rPr>
  </w:style>
  <w:style w:type="paragraph" w:customStyle="1" w:styleId="177">
    <w:name w:val="附录一级条标题"/>
    <w:basedOn w:val="176"/>
    <w:next w:val="154"/>
    <w:qFormat/>
    <w:uiPriority w:val="0"/>
    <w:pPr>
      <w:numPr>
        <w:ilvl w:val="2"/>
      </w:numPr>
      <w:tabs>
        <w:tab w:val="clear" w:pos="360"/>
      </w:tabs>
      <w:autoSpaceDN w:val="0"/>
      <w:spacing w:before="156" w:beforeLines="50" w:after="156" w:afterLines="50"/>
      <w:outlineLvl w:val="2"/>
    </w:pPr>
    <w:rPr>
      <w:rFonts w:eastAsia="黑体" w:asciiTheme="minorEastAsia" w:hAnsiTheme="minorEastAsia"/>
      <w:szCs w:val="21"/>
    </w:rPr>
  </w:style>
  <w:style w:type="paragraph" w:customStyle="1" w:styleId="178">
    <w:name w:val="标准名称"/>
    <w:basedOn w:val="1"/>
    <w:link w:val="17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79">
    <w:name w:val="标准名称 Char"/>
    <w:basedOn w:val="34"/>
    <w:link w:val="178"/>
    <w:qFormat/>
    <w:uiPriority w:val="0"/>
    <w:rPr>
      <w:rFonts w:ascii="黑体" w:hAnsi="Times New Roman" w:eastAsia="黑体" w:cs="Times New Roman"/>
      <w:sz w:val="32"/>
      <w:shd w:val="clear" w:color="FFFFFF" w:fill="FFFFFF"/>
    </w:rPr>
  </w:style>
  <w:style w:type="paragraph" w:customStyle="1" w:styleId="180">
    <w:name w:val="样式2正文"/>
    <w:basedOn w:val="1"/>
    <w:qFormat/>
    <w:uiPriority w:val="0"/>
    <w:pPr>
      <w:ind w:firstLine="200" w:firstLineChars="200"/>
    </w:pPr>
  </w:style>
  <w:style w:type="paragraph" w:customStyle="1" w:styleId="181">
    <w:name w:val="标准书眉_偶数页"/>
    <w:basedOn w:val="182"/>
    <w:next w:val="1"/>
    <w:qFormat/>
    <w:uiPriority w:val="0"/>
    <w:pPr>
      <w:tabs>
        <w:tab w:val="center" w:pos="4154"/>
        <w:tab w:val="right" w:pos="8306"/>
      </w:tabs>
      <w:jc w:val="left"/>
    </w:pPr>
  </w:style>
  <w:style w:type="paragraph" w:customStyle="1" w:styleId="18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2058</Words>
  <Characters>2181</Characters>
  <Lines>13</Lines>
  <Paragraphs>3</Paragraphs>
  <TotalTime>2</TotalTime>
  <ScaleCrop>false</ScaleCrop>
  <LinksUpToDate>false</LinksUpToDate>
  <CharactersWithSpaces>2195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2025-04-02T08:34:00Z</dcterms:created>
  <dc:creator>孙粉</dc:creator>
  <cp:lastModifiedBy>user</cp:lastModifiedBy>
  <cp:lastPrinted>2024-04-17T05:01:00Z</cp:lastPrinted>
  <dcterms:modified xsi:type="dcterms:W3CDTF">2026-03-18T16:22:04Z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14AD6B117742ECC70A06EA679427AF21</vt:lpwstr>
  </property>
  <property fmtid="{D5CDD505-2E9C-101B-9397-08002B2CF9AE}" pid="4" name="KSOTemplateDocerSaveRecord">
    <vt:lpwstr>eyJoZGlkIjoiMDVlN2MwYzAzZDBlMDc3ZDU1N2NkNDdlNGJhMjE1M2EiLCJ1c2VySWQiOiIyNzA4MTQ5MjkifQ==</vt:lpwstr>
  </property>
</Properties>
</file>