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A1D3A">
      <w:pPr>
        <w:spacing w:line="560" w:lineRule="exact"/>
        <w:contextualSpacing/>
        <w:jc w:val="center"/>
        <w:rPr>
          <w:rFonts w:ascii="方正小标宋简体" w:eastAsia="方正小标宋简体"/>
          <w:color w:val="auto"/>
          <w:sz w:val="44"/>
          <w:szCs w:val="44"/>
        </w:rPr>
      </w:pPr>
      <w:r>
        <w:rPr>
          <w:rFonts w:hint="eastAsia" w:ascii="方正小标宋简体" w:eastAsia="方正小标宋简体"/>
          <w:color w:val="auto"/>
          <w:sz w:val="44"/>
          <w:szCs w:val="44"/>
        </w:rPr>
        <w:t>北京市机械式、简易自走式立体停车设备安装及使用管理办法（试行）</w:t>
      </w:r>
    </w:p>
    <w:p w14:paraId="30002B97">
      <w:pPr>
        <w:spacing w:line="560" w:lineRule="exact"/>
        <w:contextualSpacing/>
        <w:jc w:val="center"/>
        <w:rPr>
          <w:rFonts w:ascii="楷体_GB2312" w:eastAsia="楷体_GB2312"/>
          <w:color w:val="auto"/>
          <w:sz w:val="32"/>
          <w:szCs w:val="32"/>
        </w:rPr>
      </w:pPr>
    </w:p>
    <w:p w14:paraId="1194FA74">
      <w:pPr>
        <w:spacing w:line="560" w:lineRule="exact"/>
        <w:contextualSpacing/>
        <w:jc w:val="center"/>
        <w:rPr>
          <w:rFonts w:ascii="黑体" w:hAnsi="黑体" w:eastAsia="黑体"/>
          <w:color w:val="auto"/>
          <w:sz w:val="32"/>
          <w:szCs w:val="32"/>
        </w:rPr>
      </w:pPr>
      <w:r>
        <w:rPr>
          <w:rFonts w:hint="eastAsia" w:ascii="黑体" w:hAnsi="黑体" w:eastAsia="黑体"/>
          <w:color w:val="auto"/>
          <w:sz w:val="32"/>
          <w:szCs w:val="32"/>
        </w:rPr>
        <w:t>第一章 总则</w:t>
      </w:r>
    </w:p>
    <w:p w14:paraId="1B58E944">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第一条</w:t>
      </w:r>
      <w:r>
        <w:rPr>
          <w:rFonts w:hint="eastAsia" w:ascii="仿宋_GB2312" w:eastAsia="仿宋_GB2312"/>
          <w:color w:val="auto"/>
          <w:sz w:val="32"/>
          <w:szCs w:val="32"/>
        </w:rPr>
        <w:t xml:space="preserve"> 为缓解城市停车难，规范机械式、简易自走式立体停车设备建设及使用，完善安全监管责任，筑牢安全生产防线，形成监管合力，依据《北京市机动车停车条例</w:t>
      </w:r>
      <w:r>
        <w:rPr>
          <w:rFonts w:hint="eastAsia" w:ascii="仿宋_GB2312" w:eastAsia="仿宋_GB2312"/>
          <w:color w:val="auto"/>
          <w:sz w:val="32"/>
          <w:szCs w:val="32"/>
          <w:lang w:eastAsia="zh-CN"/>
        </w:rPr>
        <w:t>》《</w:t>
      </w:r>
      <w:r>
        <w:rPr>
          <w:rFonts w:hint="eastAsia" w:ascii="仿宋_GB2312" w:eastAsia="仿宋_GB2312"/>
          <w:color w:val="auto"/>
          <w:sz w:val="32"/>
          <w:szCs w:val="32"/>
        </w:rPr>
        <w:t>关于规范机械式和简易自走式立体停车设备设置及安装使用的若干意见》（京交运输发〔2014〕130号），结合本市实际，制定本办法。</w:t>
      </w:r>
    </w:p>
    <w:p w14:paraId="3CF9A73A">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第二条</w:t>
      </w:r>
      <w:r>
        <w:rPr>
          <w:rFonts w:hint="eastAsia" w:ascii="仿宋_GB2312" w:eastAsia="仿宋_GB2312"/>
          <w:color w:val="auto"/>
          <w:sz w:val="32"/>
          <w:szCs w:val="32"/>
        </w:rPr>
        <w:t xml:space="preserve"> 本市行政区域内利用居住区、单位自有用地、合法审批的乡</w:t>
      </w:r>
      <w:r>
        <w:rPr>
          <w:rFonts w:hint="eastAsia" w:ascii="仿宋_GB2312" w:eastAsia="仿宋_GB2312"/>
          <w:color w:val="auto"/>
          <w:sz w:val="32"/>
          <w:szCs w:val="32"/>
          <w:lang w:eastAsia="zh-CN"/>
        </w:rPr>
        <w:t>（</w:t>
      </w:r>
      <w:r>
        <w:rPr>
          <w:rFonts w:hint="eastAsia" w:ascii="仿宋_GB2312" w:eastAsia="仿宋_GB2312"/>
          <w:color w:val="auto"/>
          <w:sz w:val="32"/>
          <w:szCs w:val="32"/>
        </w:rPr>
        <w:t>镇</w:t>
      </w:r>
      <w:r>
        <w:rPr>
          <w:rFonts w:hint="eastAsia" w:ascii="仿宋_GB2312" w:eastAsia="仿宋_GB2312"/>
          <w:color w:val="auto"/>
          <w:sz w:val="32"/>
          <w:szCs w:val="32"/>
          <w:lang w:eastAsia="zh-CN"/>
        </w:rPr>
        <w:t>）</w:t>
      </w:r>
      <w:r>
        <w:rPr>
          <w:rFonts w:hint="eastAsia" w:ascii="仿宋_GB2312" w:eastAsia="仿宋_GB2312"/>
          <w:color w:val="auto"/>
          <w:sz w:val="32"/>
          <w:szCs w:val="32"/>
        </w:rPr>
        <w:t>村公共设施、公益事业集体建设用地以及由区人民政府组织协调利用待建土地、空闲厂区、边角空地等闲置场所设置的机械式、简易自走式立体停车设备，适用本办法。</w:t>
      </w:r>
    </w:p>
    <w:p w14:paraId="50912786">
      <w:pPr>
        <w:spacing w:line="560" w:lineRule="exact"/>
        <w:ind w:firstLine="640" w:firstLineChars="200"/>
        <w:contextualSpacing/>
        <w:rPr>
          <w:rFonts w:ascii="仿宋_GB2312" w:eastAsia="仿宋_GB2312"/>
          <w:color w:val="auto"/>
          <w:sz w:val="32"/>
          <w:szCs w:val="32"/>
        </w:rPr>
      </w:pPr>
      <w:bookmarkStart w:id="0" w:name="_Hlk198650941"/>
      <w:r>
        <w:rPr>
          <w:rFonts w:hint="eastAsia" w:ascii="黑体" w:hAnsi="黑体" w:eastAsia="黑体"/>
          <w:color w:val="auto"/>
          <w:sz w:val="32"/>
          <w:szCs w:val="32"/>
        </w:rPr>
        <w:t xml:space="preserve">第三条 </w:t>
      </w:r>
      <w:r>
        <w:rPr>
          <w:rFonts w:hint="eastAsia" w:ascii="仿宋_GB2312" w:eastAsia="仿宋_GB2312"/>
          <w:color w:val="auto"/>
          <w:sz w:val="32"/>
          <w:szCs w:val="32"/>
        </w:rPr>
        <w:t>设置机械式、简易自走式立体停车设备应优先盘活利用存量建设用地，严禁占用非建设空间，避让新增建设用地，确需占用新增建设用地应结合相关管理规定进行单独论证。具体可用地类型详见附件。</w:t>
      </w:r>
    </w:p>
    <w:p w14:paraId="6BA61625">
      <w:pPr>
        <w:spacing w:line="560" w:lineRule="exact"/>
        <w:ind w:firstLine="640" w:firstLineChars="200"/>
        <w:contextualSpacing/>
        <w:rPr>
          <w:rFonts w:ascii="仿宋_GB2312" w:eastAsia="仿宋_GB2312"/>
          <w:color w:val="auto"/>
          <w:sz w:val="32"/>
          <w:szCs w:val="32"/>
        </w:rPr>
      </w:pPr>
      <w:r>
        <w:rPr>
          <w:rFonts w:hint="eastAsia" w:ascii="仿宋_GB2312" w:eastAsia="仿宋_GB2312"/>
          <w:color w:val="auto"/>
          <w:sz w:val="32"/>
          <w:szCs w:val="32"/>
        </w:rPr>
        <w:t>依据本办法第三章规定安装使用的机械式、简易自走式立体停车设备，按照机械设备管理，可免予办理用地、规划、环评、施工等许可手续。</w:t>
      </w:r>
      <w:bookmarkEnd w:id="0"/>
    </w:p>
    <w:p w14:paraId="0D951EEA">
      <w:pPr>
        <w:numPr>
          <w:ilvl w:val="0"/>
          <w:numId w:val="0"/>
        </w:numPr>
        <w:spacing w:line="560" w:lineRule="exact"/>
        <w:ind w:firstLine="640" w:firstLineChars="200"/>
        <w:contextualSpacing/>
        <w:rPr>
          <w:rFonts w:hint="eastAsia" w:ascii="仿宋_GB2312" w:eastAsia="仿宋_GB2312"/>
          <w:sz w:val="32"/>
          <w:szCs w:val="32"/>
          <w:lang w:val="en-US" w:eastAsia="zh-CN"/>
        </w:rPr>
      </w:pPr>
      <w:bookmarkStart w:id="1" w:name="_Hlk198650986"/>
      <w:r>
        <w:rPr>
          <w:rFonts w:hint="eastAsia" w:ascii="黑体" w:hAnsi="黑体" w:eastAsia="黑体"/>
          <w:color w:val="auto"/>
          <w:sz w:val="32"/>
          <w:szCs w:val="32"/>
          <w:lang w:val="en-US" w:eastAsia="zh-CN"/>
        </w:rPr>
        <w:t xml:space="preserve">第四条 </w:t>
      </w:r>
      <w:r>
        <w:rPr>
          <w:rFonts w:hint="eastAsia" w:ascii="仿宋_GB2312" w:eastAsia="仿宋_GB2312"/>
          <w:color w:val="auto"/>
          <w:sz w:val="32"/>
          <w:szCs w:val="32"/>
        </w:rPr>
        <w:t>市交通运输</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规划和自然资源、住房城乡建设、市场监管、应急管理、消防救援、</w:t>
      </w:r>
      <w:r>
        <w:rPr>
          <w:rFonts w:hint="eastAsia" w:ascii="仿宋_GB2312" w:hAnsi="仿宋_GB2312" w:eastAsia="仿宋_GB2312" w:cs="仿宋_GB2312"/>
          <w:color w:val="auto"/>
          <w:sz w:val="32"/>
          <w:szCs w:val="32"/>
        </w:rPr>
        <w:t>教育、经信、商务、体育、卫生健康、文化旅游、园林绿化、生态环境、城市管理等部门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各区政府、北京经济技术开发区管委会</w:t>
      </w:r>
      <w:r>
        <w:rPr>
          <w:rFonts w:hint="eastAsia" w:ascii="仿宋_GB2312" w:hAnsi="仿宋_GB2312" w:eastAsia="仿宋_GB2312" w:cs="仿宋_GB2312"/>
          <w:color w:val="auto"/>
          <w:sz w:val="32"/>
          <w:szCs w:val="32"/>
          <w:lang w:eastAsia="zh-CN"/>
        </w:rPr>
        <w:t>，各街道办事处（乡镇政府）</w:t>
      </w:r>
      <w:r>
        <w:rPr>
          <w:rFonts w:hint="eastAsia" w:ascii="仿宋_GB2312" w:hAnsi="仿宋_GB2312" w:eastAsia="仿宋_GB2312" w:cs="仿宋_GB2312"/>
          <w:color w:val="auto"/>
          <w:sz w:val="32"/>
          <w:szCs w:val="32"/>
          <w:lang w:val="en-US" w:eastAsia="zh-CN"/>
        </w:rPr>
        <w:t>应按照</w:t>
      </w:r>
      <w:r>
        <w:rPr>
          <w:rFonts w:hint="eastAsia" w:ascii="仿宋_GB2312" w:eastAsia="仿宋_GB2312"/>
          <w:sz w:val="32"/>
          <w:szCs w:val="32"/>
          <w:lang w:val="en-US" w:eastAsia="zh-CN"/>
        </w:rPr>
        <w:t>北京市安委办《机械式、简易自走式立体停车设施安全监管职责分工（试行）》（京安办发〔2023〕21号）要求，履行相应安全监管职责，预防各类安全事故，保障人身和财产安全。</w:t>
      </w:r>
    </w:p>
    <w:p w14:paraId="3CF02A4C">
      <w:pPr>
        <w:numPr>
          <w:ilvl w:val="0"/>
          <w:numId w:val="0"/>
        </w:numPr>
        <w:spacing w:line="560" w:lineRule="exact"/>
        <w:ind w:firstLine="640" w:firstLineChars="200"/>
        <w:contextualSpacing/>
        <w:rPr>
          <w:rFonts w:ascii="仿宋_GB2312" w:eastAsia="仿宋_GB2312"/>
          <w:color w:val="auto"/>
          <w:sz w:val="32"/>
          <w:szCs w:val="32"/>
        </w:rPr>
      </w:pPr>
      <w:r>
        <w:rPr>
          <w:rFonts w:hint="eastAsia" w:ascii="仿宋_GB2312" w:eastAsia="仿宋_GB2312"/>
          <w:color w:val="auto"/>
          <w:sz w:val="32"/>
          <w:szCs w:val="32"/>
        </w:rPr>
        <w:t>市发改部门负责统筹全市固定资产投资补助资金的审查及拨付工作。</w:t>
      </w:r>
    </w:p>
    <w:bookmarkEnd w:id="1"/>
    <w:p w14:paraId="0E321384">
      <w:pPr>
        <w:spacing w:line="560" w:lineRule="exact"/>
        <w:contextualSpacing/>
        <w:jc w:val="center"/>
        <w:rPr>
          <w:rFonts w:ascii="黑体" w:hAnsi="黑体" w:eastAsia="黑体" w:cs="仿宋_GB2312"/>
          <w:color w:val="auto"/>
          <w:sz w:val="32"/>
          <w:szCs w:val="32"/>
        </w:rPr>
      </w:pPr>
      <w:r>
        <w:rPr>
          <w:rFonts w:hint="eastAsia" w:ascii="黑体" w:hAnsi="黑体" w:eastAsia="黑体"/>
          <w:color w:val="auto"/>
          <w:sz w:val="32"/>
          <w:szCs w:val="32"/>
        </w:rPr>
        <w:t>第二章 设备设计规范要求</w:t>
      </w:r>
    </w:p>
    <w:p w14:paraId="32236F2B">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五</w:t>
      </w:r>
      <w:r>
        <w:rPr>
          <w:rFonts w:hint="eastAsia" w:ascii="黑体" w:hAnsi="黑体" w:eastAsia="黑体"/>
          <w:color w:val="auto"/>
          <w:sz w:val="32"/>
          <w:szCs w:val="32"/>
        </w:rPr>
        <w:t>条</w:t>
      </w:r>
      <w:r>
        <w:rPr>
          <w:rFonts w:hint="eastAsia" w:ascii="仿宋_GB2312" w:eastAsia="仿宋_GB2312"/>
          <w:color w:val="auto"/>
          <w:sz w:val="32"/>
          <w:szCs w:val="32"/>
        </w:rPr>
        <w:t xml:space="preserve"> 机械式、简易自走式立体停车设备消防设计应当符合相关法律法规和标准规范要求，可参照《汽车库、修车库、停车场设计防火规范》（</w:t>
      </w:r>
      <w:r>
        <w:rPr>
          <w:rFonts w:ascii="仿宋_GB2312" w:eastAsia="仿宋_GB2312"/>
          <w:color w:val="auto"/>
          <w:sz w:val="32"/>
          <w:szCs w:val="32"/>
        </w:rPr>
        <w:t>GB 50067）</w:t>
      </w:r>
      <w:r>
        <w:rPr>
          <w:rFonts w:hint="eastAsia" w:ascii="仿宋_GB2312" w:eastAsia="仿宋_GB2312"/>
          <w:color w:val="auto"/>
          <w:sz w:val="32"/>
          <w:szCs w:val="32"/>
        </w:rPr>
        <w:t>等规范执行。简易自走式立体停车设备还应参照《建筑防火通用规范》（</w:t>
      </w:r>
      <w:r>
        <w:rPr>
          <w:rFonts w:ascii="仿宋_GB2312" w:eastAsia="仿宋_GB2312"/>
          <w:color w:val="auto"/>
          <w:sz w:val="32"/>
          <w:szCs w:val="32"/>
        </w:rPr>
        <w:t>GB 55037</w:t>
      </w:r>
      <w:r>
        <w:rPr>
          <w:rFonts w:hint="eastAsia" w:ascii="仿宋_GB2312" w:eastAsia="仿宋_GB2312"/>
          <w:color w:val="auto"/>
          <w:sz w:val="32"/>
          <w:szCs w:val="32"/>
        </w:rPr>
        <w:t>）、《建筑钢结构防火技术规范》（</w:t>
      </w:r>
      <w:r>
        <w:rPr>
          <w:rFonts w:ascii="仿宋_GB2312" w:eastAsia="仿宋_GB2312"/>
          <w:color w:val="auto"/>
          <w:sz w:val="32"/>
          <w:szCs w:val="32"/>
        </w:rPr>
        <w:t>GB 51249）</w:t>
      </w:r>
      <w:r>
        <w:rPr>
          <w:rFonts w:hint="eastAsia" w:ascii="仿宋_GB2312" w:eastAsia="仿宋_GB2312"/>
          <w:color w:val="auto"/>
          <w:sz w:val="32"/>
          <w:szCs w:val="32"/>
        </w:rPr>
        <w:t>等相关规范执行。</w:t>
      </w:r>
    </w:p>
    <w:p w14:paraId="146C91A6">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六</w:t>
      </w:r>
      <w:r>
        <w:rPr>
          <w:rFonts w:hint="eastAsia" w:ascii="黑体" w:hAnsi="黑体" w:eastAsia="黑体"/>
          <w:color w:val="auto"/>
          <w:sz w:val="32"/>
          <w:szCs w:val="32"/>
        </w:rPr>
        <w:t>条</w:t>
      </w:r>
      <w:r>
        <w:rPr>
          <w:rFonts w:hint="eastAsia" w:ascii="仿宋_GB2312" w:eastAsia="仿宋_GB2312"/>
          <w:color w:val="auto"/>
          <w:sz w:val="32"/>
          <w:szCs w:val="32"/>
        </w:rPr>
        <w:t xml:space="preserve"> 简易自走式立体停车设备设计应当符合相关法律法规和标准规范要求，应参照《钢结构通用规范》（</w:t>
      </w:r>
      <w:r>
        <w:rPr>
          <w:rFonts w:ascii="仿宋_GB2312" w:eastAsia="仿宋_GB2312"/>
          <w:color w:val="auto"/>
          <w:sz w:val="32"/>
          <w:szCs w:val="32"/>
        </w:rPr>
        <w:t>GB 55006</w:t>
      </w:r>
      <w:r>
        <w:rPr>
          <w:rFonts w:hint="eastAsia" w:ascii="仿宋_GB2312" w:eastAsia="仿宋_GB2312"/>
          <w:color w:val="auto"/>
          <w:sz w:val="32"/>
          <w:szCs w:val="32"/>
        </w:rPr>
        <w:t>）、《民用建筑供暖通风与空气调节设计规范》（GB 50736）等规范进行设计。</w:t>
      </w:r>
      <w:bookmarkStart w:id="12" w:name="_GoBack"/>
      <w:bookmarkEnd w:id="12"/>
    </w:p>
    <w:p w14:paraId="241C5CA8">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七</w:t>
      </w:r>
      <w:r>
        <w:rPr>
          <w:rFonts w:hint="eastAsia" w:ascii="黑体" w:hAnsi="黑体" w:eastAsia="黑体"/>
          <w:color w:val="auto"/>
          <w:sz w:val="32"/>
          <w:szCs w:val="32"/>
        </w:rPr>
        <w:t>条</w:t>
      </w:r>
      <w:r>
        <w:rPr>
          <w:rFonts w:hint="eastAsia" w:ascii="仿宋_GB2312" w:eastAsia="仿宋_GB2312"/>
          <w:color w:val="auto"/>
          <w:sz w:val="32"/>
          <w:szCs w:val="32"/>
        </w:rPr>
        <w:t xml:space="preserve"> 机械式停车设备的生产、安装、经营、使用、维护、检验应当严格遵守《中华人民共和国特种设备安全法》《起重机械安全技术规程》（</w:t>
      </w:r>
      <w:r>
        <w:rPr>
          <w:rFonts w:ascii="仿宋_GB2312" w:eastAsia="仿宋_GB2312"/>
          <w:color w:val="auto"/>
          <w:sz w:val="32"/>
          <w:szCs w:val="32"/>
        </w:rPr>
        <w:t>TSG 51）</w:t>
      </w:r>
      <w:r>
        <w:rPr>
          <w:rFonts w:hint="eastAsia" w:ascii="仿宋_GB2312" w:eastAsia="仿宋_GB2312"/>
          <w:color w:val="auto"/>
          <w:sz w:val="32"/>
          <w:szCs w:val="32"/>
          <w:lang w:eastAsia="zh-CN"/>
        </w:rPr>
        <w:t>、</w:t>
      </w:r>
      <w:r>
        <w:rPr>
          <w:rFonts w:hint="eastAsia" w:ascii="仿宋_GB2312" w:eastAsia="仿宋_GB2312"/>
          <w:color w:val="auto"/>
          <w:sz w:val="32"/>
          <w:szCs w:val="32"/>
        </w:rPr>
        <w:t>《机械式停车设备通用安全要求》（G</w:t>
      </w:r>
      <w:r>
        <w:rPr>
          <w:rFonts w:ascii="仿宋_GB2312" w:eastAsia="仿宋_GB2312"/>
          <w:color w:val="auto"/>
          <w:sz w:val="32"/>
          <w:szCs w:val="32"/>
        </w:rPr>
        <w:t>B 17907</w:t>
      </w:r>
      <w:r>
        <w:rPr>
          <w:rFonts w:hint="eastAsia" w:ascii="仿宋_GB2312" w:eastAsia="仿宋_GB2312"/>
          <w:color w:val="auto"/>
          <w:sz w:val="32"/>
          <w:szCs w:val="32"/>
        </w:rPr>
        <w:t>）《机械式停车设备类型》（GB/T 26476）</w:t>
      </w:r>
      <w:r>
        <w:rPr>
          <w:rFonts w:hint="eastAsia" w:ascii="仿宋_GB2312" w:eastAsia="仿宋_GB2312"/>
          <w:color w:val="auto"/>
          <w:sz w:val="32"/>
          <w:szCs w:val="32"/>
          <w:lang w:eastAsia="zh-CN"/>
        </w:rPr>
        <w:t>、</w:t>
      </w:r>
      <w:r>
        <w:rPr>
          <w:rFonts w:hint="eastAsia" w:ascii="仿宋_GB2312" w:eastAsia="仿宋_GB2312"/>
          <w:color w:val="auto"/>
          <w:sz w:val="32"/>
          <w:szCs w:val="32"/>
        </w:rPr>
        <w:t>《机械式停车设备设计规范》（GB/T 39980）</w:t>
      </w:r>
      <w:r>
        <w:rPr>
          <w:rFonts w:hint="eastAsia" w:ascii="仿宋_GB2312" w:eastAsia="仿宋_GB2312"/>
          <w:color w:val="auto"/>
          <w:sz w:val="32"/>
          <w:szCs w:val="32"/>
          <w:lang w:eastAsia="zh-CN"/>
        </w:rPr>
        <w:t>、</w:t>
      </w:r>
      <w:r>
        <w:rPr>
          <w:rFonts w:ascii="仿宋_GB2312" w:eastAsia="仿宋_GB2312"/>
          <w:color w:val="auto"/>
          <w:sz w:val="32"/>
          <w:szCs w:val="32"/>
        </w:rPr>
        <w:t>《机械式停车场（库）工程建设规范》（DB11/T 837）</w:t>
      </w:r>
      <w:r>
        <w:rPr>
          <w:rFonts w:hint="eastAsia" w:ascii="仿宋_GB2312" w:eastAsia="仿宋_GB2312"/>
          <w:color w:val="auto"/>
          <w:sz w:val="32"/>
          <w:szCs w:val="32"/>
          <w:lang w:eastAsia="zh-CN"/>
        </w:rPr>
        <w:t>、</w:t>
      </w:r>
      <w:r>
        <w:rPr>
          <w:rFonts w:hint="eastAsia" w:ascii="仿宋_GB2312" w:eastAsia="仿宋_GB2312"/>
          <w:color w:val="auto"/>
          <w:sz w:val="32"/>
          <w:szCs w:val="32"/>
        </w:rPr>
        <w:t>《机械式停车设备使用管理和维护保养安全技术规范》（</w:t>
      </w:r>
      <w:r>
        <w:rPr>
          <w:rFonts w:ascii="仿宋_GB2312" w:eastAsia="仿宋_GB2312"/>
          <w:color w:val="auto"/>
          <w:sz w:val="32"/>
          <w:szCs w:val="32"/>
        </w:rPr>
        <w:t>DB11/T 2115）</w:t>
      </w:r>
      <w:r>
        <w:rPr>
          <w:rFonts w:hint="eastAsia" w:ascii="仿宋_GB2312" w:eastAsia="仿宋_GB2312"/>
          <w:color w:val="auto"/>
          <w:sz w:val="32"/>
          <w:szCs w:val="32"/>
        </w:rPr>
        <w:t>等相关法律法规和行业标准。</w:t>
      </w:r>
    </w:p>
    <w:p w14:paraId="0192B5C1">
      <w:pPr>
        <w:spacing w:line="560" w:lineRule="exact"/>
        <w:ind w:firstLine="640" w:firstLineChars="200"/>
        <w:contextualSpacing/>
        <w:rPr>
          <w:rFonts w:hint="eastAsia" w:ascii="仿宋_GB2312"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八</w:t>
      </w:r>
      <w:r>
        <w:rPr>
          <w:rFonts w:hint="eastAsia" w:ascii="黑体" w:hAnsi="黑体" w:eastAsia="黑体"/>
          <w:color w:val="auto"/>
          <w:sz w:val="32"/>
          <w:szCs w:val="32"/>
        </w:rPr>
        <w:t>条</w:t>
      </w:r>
      <w:r>
        <w:rPr>
          <w:rFonts w:hint="eastAsia" w:ascii="仿宋_GB2312" w:eastAsia="仿宋_GB2312"/>
          <w:color w:val="auto"/>
          <w:sz w:val="32"/>
          <w:szCs w:val="32"/>
        </w:rPr>
        <w:t xml:space="preserve"> 机械式停车设备的停车位尺寸和承重标准应当充分考虑新能源汽车产业发展，结合主流车型尺寸和发展趋势合理设计，其中</w:t>
      </w:r>
      <w:r>
        <w:rPr>
          <w:rFonts w:ascii="仿宋_GB2312" w:eastAsia="仿宋_GB2312"/>
          <w:color w:val="auto"/>
          <w:sz w:val="32"/>
          <w:szCs w:val="32"/>
        </w:rPr>
        <w:t>适停汽车为大型乘用车、特大1型乘用车、特大2型乘用车及超大型乘用车的停车位数量不应低于总停车位数的2/3</w:t>
      </w:r>
      <w:r>
        <w:rPr>
          <w:rStyle w:val="11"/>
          <w:rFonts w:ascii="仿宋_GB2312" w:eastAsia="仿宋_GB2312"/>
          <w:color w:val="auto"/>
          <w:sz w:val="32"/>
          <w:szCs w:val="32"/>
        </w:rPr>
        <w:footnoteReference w:id="0"/>
      </w:r>
      <w:r>
        <w:rPr>
          <w:rFonts w:ascii="仿宋_GB2312" w:eastAsia="仿宋_GB2312"/>
          <w:color w:val="auto"/>
          <w:sz w:val="32"/>
          <w:szCs w:val="32"/>
        </w:rPr>
        <w:t>。</w:t>
      </w:r>
    </w:p>
    <w:p w14:paraId="6F1B5A37">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九</w:t>
      </w:r>
      <w:r>
        <w:rPr>
          <w:rFonts w:hint="eastAsia" w:ascii="黑体" w:hAnsi="黑体" w:eastAsia="黑体"/>
          <w:color w:val="auto"/>
          <w:sz w:val="32"/>
          <w:szCs w:val="32"/>
        </w:rPr>
        <w:t>条</w:t>
      </w:r>
      <w:r>
        <w:rPr>
          <w:rFonts w:hint="eastAsia" w:ascii="仿宋_GB2312" w:eastAsia="仿宋_GB2312"/>
          <w:color w:val="auto"/>
          <w:sz w:val="32"/>
          <w:szCs w:val="32"/>
        </w:rPr>
        <w:t xml:space="preserve"> 简易自走式立体停车设备应</w:t>
      </w:r>
      <w:r>
        <w:rPr>
          <w:rFonts w:hint="eastAsia" w:ascii="仿宋_GB2312" w:eastAsia="仿宋_GB2312"/>
          <w:color w:val="auto"/>
          <w:sz w:val="32"/>
          <w:szCs w:val="32"/>
          <w:lang w:val="en-US" w:eastAsia="zh-CN"/>
        </w:rPr>
        <w:t>参照</w:t>
      </w:r>
      <w:r>
        <w:rPr>
          <w:rFonts w:hint="eastAsia" w:ascii="仿宋_GB2312" w:eastAsia="仿宋_GB2312"/>
          <w:color w:val="auto"/>
          <w:sz w:val="32"/>
          <w:szCs w:val="32"/>
        </w:rPr>
        <w:t>《电动汽车充电基础设施规划设计标准》</w:t>
      </w:r>
      <w:r>
        <w:rPr>
          <w:rFonts w:hint="eastAsia" w:ascii="仿宋_GB2312" w:eastAsia="仿宋_GB2312"/>
          <w:color w:val="auto"/>
          <w:sz w:val="32"/>
          <w:szCs w:val="32"/>
          <w:lang w:eastAsia="zh-CN"/>
        </w:rPr>
        <w:t>（</w:t>
      </w:r>
      <w:r>
        <w:rPr>
          <w:rFonts w:ascii="仿宋_GB2312" w:eastAsia="仿宋_GB2312"/>
          <w:color w:val="auto"/>
          <w:sz w:val="32"/>
          <w:szCs w:val="32"/>
        </w:rPr>
        <w:t>DB11/T 1455</w:t>
      </w:r>
      <w:r>
        <w:rPr>
          <w:rFonts w:hint="eastAsia" w:ascii="仿宋_GB2312" w:eastAsia="仿宋_GB2312"/>
          <w:color w:val="auto"/>
          <w:sz w:val="32"/>
          <w:szCs w:val="32"/>
          <w:lang w:eastAsia="zh-CN"/>
        </w:rPr>
        <w:t>）</w:t>
      </w:r>
      <w:r>
        <w:rPr>
          <w:rFonts w:ascii="仿宋_GB2312" w:eastAsia="仿宋_GB2312"/>
          <w:color w:val="auto"/>
          <w:sz w:val="32"/>
          <w:szCs w:val="32"/>
        </w:rPr>
        <w:t>等相关标准规范安装充电设施，充电设施的安装和使用应符合消防管理有关规定。</w:t>
      </w:r>
    </w:p>
    <w:p w14:paraId="0760F13C">
      <w:pPr>
        <w:spacing w:line="560" w:lineRule="exact"/>
        <w:ind w:firstLine="640"/>
        <w:contextualSpacing/>
        <w:rPr>
          <w:rFonts w:ascii="仿宋_GB2312" w:eastAsia="仿宋_GB2312"/>
          <w:color w:val="auto"/>
          <w:sz w:val="32"/>
          <w:szCs w:val="32"/>
        </w:rPr>
      </w:pPr>
      <w:r>
        <w:rPr>
          <w:rFonts w:hint="eastAsia" w:ascii="黑体" w:hAnsi="黑体" w:eastAsia="黑体"/>
          <w:color w:val="auto"/>
          <w:sz w:val="32"/>
          <w:szCs w:val="32"/>
        </w:rPr>
        <w:t>第十条</w:t>
      </w:r>
      <w:r>
        <w:rPr>
          <w:rFonts w:hint="eastAsia" w:ascii="仿宋_GB2312" w:eastAsia="仿宋_GB2312"/>
          <w:color w:val="auto"/>
          <w:sz w:val="32"/>
          <w:szCs w:val="32"/>
        </w:rPr>
        <w:t xml:space="preserve"> 机械式、简易自走式立体停车设备仅可用于停车，除日常管理及安全保障必需的设备用房、消防控制室、监控室外，不得设置封闭房间。</w:t>
      </w:r>
    </w:p>
    <w:p w14:paraId="2D134B03">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val="en-US" w:eastAsia="zh-CN"/>
        </w:rPr>
        <w:t>一</w:t>
      </w:r>
      <w:r>
        <w:rPr>
          <w:rFonts w:hint="eastAsia" w:ascii="黑体" w:hAnsi="黑体" w:eastAsia="黑体"/>
          <w:color w:val="auto"/>
          <w:sz w:val="32"/>
          <w:szCs w:val="32"/>
        </w:rPr>
        <w:t>条</w:t>
      </w:r>
      <w:r>
        <w:rPr>
          <w:rFonts w:hint="eastAsia" w:ascii="仿宋_GB2312" w:eastAsia="仿宋_GB2312"/>
          <w:color w:val="auto"/>
          <w:sz w:val="32"/>
          <w:szCs w:val="32"/>
        </w:rPr>
        <w:t xml:space="preserve"> 机械式、简易自走式立体停车设备建设应当合理选择位置，采取有效隔声、减振措施，严格按照《中华人民共和国噪声污染防治法》等有关要求，做好设备安装和使用期间的噪声污染防治。对相邻建筑物通风、采光、日照或噪声等有影响的，项目法人单位应当采取适当措施，并取得利害关系人同意。</w:t>
      </w:r>
    </w:p>
    <w:p w14:paraId="58317F1D">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val="en-US" w:eastAsia="zh-CN"/>
        </w:rPr>
        <w:t>二</w:t>
      </w:r>
      <w:r>
        <w:rPr>
          <w:rFonts w:hint="eastAsia" w:ascii="黑体" w:hAnsi="黑体" w:eastAsia="黑体"/>
          <w:color w:val="auto"/>
          <w:sz w:val="32"/>
          <w:szCs w:val="32"/>
        </w:rPr>
        <w:t>条</w:t>
      </w:r>
      <w:r>
        <w:rPr>
          <w:rFonts w:hint="eastAsia" w:ascii="仿宋_GB2312" w:eastAsia="仿宋_GB2312"/>
          <w:color w:val="auto"/>
          <w:sz w:val="32"/>
          <w:szCs w:val="32"/>
        </w:rPr>
        <w:t xml:space="preserve"> 鼓励项目法人单位实行机械式停车设备的监造管理，对项目所需设备在制造和生产过程中的工艺流程、制造质量及设备制造单位的质量体系进行监督。</w:t>
      </w:r>
    </w:p>
    <w:p w14:paraId="7DE6713E">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val="en-US" w:eastAsia="zh-CN"/>
        </w:rPr>
        <w:t>三</w:t>
      </w:r>
      <w:r>
        <w:rPr>
          <w:rFonts w:hint="eastAsia" w:ascii="黑体" w:hAnsi="黑体" w:eastAsia="黑体"/>
          <w:color w:val="auto"/>
          <w:sz w:val="32"/>
          <w:szCs w:val="32"/>
        </w:rPr>
        <w:t>条</w:t>
      </w:r>
      <w:r>
        <w:rPr>
          <w:rFonts w:hint="eastAsia" w:ascii="仿宋_GB2312" w:eastAsia="仿宋_GB2312"/>
          <w:color w:val="auto"/>
          <w:sz w:val="32"/>
          <w:szCs w:val="32"/>
        </w:rPr>
        <w:t xml:space="preserve"> 出于城市景观、安全防护、减排降噪需要，允许对机械式、简易自走式立体停车设备临街立面进行封闭，</w:t>
      </w:r>
      <w:r>
        <w:rPr>
          <w:rFonts w:hint="eastAsia" w:ascii="仿宋_GB2312" w:eastAsia="仿宋_GB2312"/>
          <w:color w:val="auto"/>
          <w:sz w:val="32"/>
          <w:szCs w:val="32"/>
          <w:lang w:eastAsia="zh-CN"/>
        </w:rPr>
        <w:t>其他</w:t>
      </w:r>
      <w:r>
        <w:rPr>
          <w:rFonts w:hint="eastAsia" w:ascii="仿宋_GB2312" w:eastAsia="仿宋_GB2312"/>
          <w:color w:val="auto"/>
          <w:sz w:val="32"/>
          <w:szCs w:val="32"/>
        </w:rPr>
        <w:t>立面和顶部可以做半封闭处理，但封闭面积不得超过顶面与全部立面面积总和的3/5。</w:t>
      </w:r>
    </w:p>
    <w:p w14:paraId="0C936571">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val="en-US" w:eastAsia="zh-CN"/>
        </w:rPr>
        <w:t>四</w:t>
      </w:r>
      <w:r>
        <w:rPr>
          <w:rFonts w:hint="eastAsia" w:ascii="黑体" w:hAnsi="黑体" w:eastAsia="黑体"/>
          <w:color w:val="auto"/>
          <w:sz w:val="32"/>
          <w:szCs w:val="32"/>
        </w:rPr>
        <w:t>条</w:t>
      </w:r>
      <w:r>
        <w:rPr>
          <w:rFonts w:hint="eastAsia" w:ascii="仿宋_GB2312" w:eastAsia="仿宋_GB2312"/>
          <w:color w:val="auto"/>
          <w:sz w:val="32"/>
          <w:szCs w:val="32"/>
        </w:rPr>
        <w:t xml:space="preserve"> 机械式、简易自走式立体停车设备地上部分高度需遵守所在区域规划高度控制要求，如涉及文物保护单位的保护范围和建设控制地带，需遵守相应管控要求，且不得影响周边建筑、地下市政交通、古树名木，符合文物安全及风貌管控要求。</w:t>
      </w:r>
    </w:p>
    <w:p w14:paraId="0DA754BB">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val="en-US" w:eastAsia="zh-CN"/>
        </w:rPr>
        <w:t>五</w:t>
      </w:r>
      <w:r>
        <w:rPr>
          <w:rFonts w:hint="eastAsia" w:ascii="黑体" w:hAnsi="黑体" w:eastAsia="黑体"/>
          <w:color w:val="auto"/>
          <w:sz w:val="32"/>
          <w:szCs w:val="32"/>
        </w:rPr>
        <w:t>条</w:t>
      </w:r>
      <w:r>
        <w:rPr>
          <w:rFonts w:hint="eastAsia" w:ascii="仿宋_GB2312" w:eastAsia="仿宋_GB2312"/>
          <w:color w:val="auto"/>
          <w:sz w:val="32"/>
          <w:szCs w:val="32"/>
        </w:rPr>
        <w:t xml:space="preserve"> 机械式、简易自走式立体停车设备临街立面的样式应与周边建筑物外立面和市容环境相协调，并按照《北京市城市设计导则》进行统一规范。利用临街外立面预留户外广告设施位置或者电子显示装置位置的，应当遵守户外广告设施设置规划规定的规划条件和设置要求。</w:t>
      </w:r>
    </w:p>
    <w:p w14:paraId="676A31A5">
      <w:pPr>
        <w:spacing w:line="560" w:lineRule="exact"/>
        <w:contextualSpacing/>
        <w:jc w:val="center"/>
        <w:rPr>
          <w:rFonts w:ascii="黑体" w:hAnsi="黑体" w:eastAsia="黑体"/>
          <w:color w:val="auto"/>
          <w:sz w:val="32"/>
          <w:szCs w:val="32"/>
        </w:rPr>
      </w:pPr>
      <w:r>
        <w:rPr>
          <w:rFonts w:hint="eastAsia" w:ascii="黑体" w:hAnsi="黑体" w:eastAsia="黑体"/>
          <w:color w:val="auto"/>
          <w:sz w:val="32"/>
          <w:szCs w:val="32"/>
        </w:rPr>
        <w:t>第三章 设置安装管理要求</w:t>
      </w:r>
    </w:p>
    <w:p w14:paraId="6FFF6B1E">
      <w:pPr>
        <w:spacing w:line="560" w:lineRule="exact"/>
        <w:ind w:firstLine="640" w:firstLineChars="200"/>
        <w:contextualSpacing/>
        <w:rPr>
          <w:rFonts w:ascii="仿宋_GB2312" w:hAnsi="黑体" w:eastAsia="仿宋_GB2312"/>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val="en-US" w:eastAsia="zh-CN"/>
        </w:rPr>
        <w:t>六</w:t>
      </w:r>
      <w:r>
        <w:rPr>
          <w:rFonts w:hint="eastAsia" w:ascii="黑体" w:hAnsi="黑体" w:eastAsia="黑体"/>
          <w:color w:val="auto"/>
          <w:sz w:val="32"/>
          <w:szCs w:val="32"/>
        </w:rPr>
        <w:t xml:space="preserve">条 </w:t>
      </w:r>
      <w:r>
        <w:rPr>
          <w:rFonts w:hint="eastAsia" w:ascii="仿宋_GB2312" w:hAnsi="黑体" w:eastAsia="仿宋_GB2312"/>
          <w:color w:val="auto"/>
          <w:sz w:val="32"/>
          <w:szCs w:val="32"/>
        </w:rPr>
        <w:t>利用居住区内业主共有的公共场地设置安装机械式、简易自走式立体停车</w:t>
      </w:r>
      <w:r>
        <w:rPr>
          <w:rFonts w:hint="eastAsia" w:ascii="仿宋_GB2312" w:eastAsia="仿宋_GB2312"/>
          <w:color w:val="auto"/>
          <w:sz w:val="32"/>
          <w:szCs w:val="32"/>
        </w:rPr>
        <w:t>设备</w:t>
      </w:r>
      <w:r>
        <w:rPr>
          <w:rFonts w:hint="eastAsia" w:ascii="仿宋_GB2312" w:hAnsi="黑体" w:eastAsia="仿宋_GB2312"/>
          <w:color w:val="auto"/>
          <w:sz w:val="32"/>
          <w:szCs w:val="32"/>
        </w:rPr>
        <w:t>，应当作为业主共同决定事项，按照《中华人民共和国民法典》规定，征得规定比例业主同意并出具书面同意书。</w:t>
      </w:r>
    </w:p>
    <w:p w14:paraId="34BD587B">
      <w:pPr>
        <w:spacing w:line="560" w:lineRule="exact"/>
        <w:ind w:firstLine="640" w:firstLineChars="200"/>
        <w:contextualSpacing/>
        <w:rPr>
          <w:rFonts w:ascii="仿宋_GB2312" w:eastAsia="仿宋_GB2312"/>
          <w:color w:val="auto"/>
          <w:sz w:val="32"/>
          <w:szCs w:val="32"/>
        </w:rPr>
      </w:pPr>
      <w:r>
        <w:rPr>
          <w:rFonts w:hint="eastAsia" w:ascii="仿宋_GB2312" w:eastAsia="仿宋_GB2312"/>
          <w:color w:val="auto"/>
          <w:sz w:val="32"/>
          <w:szCs w:val="32"/>
        </w:rPr>
        <w:t>利用单位自有用地，以及合法审批的乡</w:t>
      </w:r>
      <w:r>
        <w:rPr>
          <w:rFonts w:hint="eastAsia" w:ascii="仿宋_GB2312" w:eastAsia="仿宋_GB2312"/>
          <w:color w:val="auto"/>
          <w:sz w:val="32"/>
          <w:szCs w:val="32"/>
          <w:lang w:eastAsia="zh-CN"/>
        </w:rPr>
        <w:t>（</w:t>
      </w:r>
      <w:r>
        <w:rPr>
          <w:rFonts w:hint="eastAsia" w:ascii="仿宋_GB2312" w:eastAsia="仿宋_GB2312"/>
          <w:color w:val="auto"/>
          <w:sz w:val="32"/>
          <w:szCs w:val="32"/>
        </w:rPr>
        <w:t>镇</w:t>
      </w:r>
      <w:r>
        <w:rPr>
          <w:rFonts w:hint="eastAsia" w:ascii="仿宋_GB2312" w:eastAsia="仿宋_GB2312"/>
          <w:color w:val="auto"/>
          <w:sz w:val="32"/>
          <w:szCs w:val="32"/>
          <w:lang w:eastAsia="zh-CN"/>
        </w:rPr>
        <w:t>）</w:t>
      </w:r>
      <w:r>
        <w:rPr>
          <w:rFonts w:hint="eastAsia" w:ascii="仿宋_GB2312" w:eastAsia="仿宋_GB2312"/>
          <w:color w:val="auto"/>
          <w:sz w:val="32"/>
          <w:szCs w:val="32"/>
        </w:rPr>
        <w:t>村公共设施、公益事业集体建设用地</w:t>
      </w:r>
      <w:r>
        <w:rPr>
          <w:rFonts w:hint="eastAsia" w:ascii="仿宋_GB2312" w:hAnsi="黑体" w:eastAsia="仿宋_GB2312"/>
          <w:color w:val="auto"/>
          <w:sz w:val="32"/>
          <w:szCs w:val="32"/>
        </w:rPr>
        <w:t>设置安装</w:t>
      </w:r>
      <w:r>
        <w:rPr>
          <w:rFonts w:hint="eastAsia" w:ascii="仿宋_GB2312" w:eastAsia="仿宋_GB2312"/>
          <w:color w:val="auto"/>
          <w:sz w:val="32"/>
          <w:szCs w:val="32"/>
        </w:rPr>
        <w:t>机械式、简易自走式立体停车设备，应当</w:t>
      </w:r>
      <w:bookmarkStart w:id="2" w:name="_Hlk172736878"/>
      <w:r>
        <w:rPr>
          <w:rFonts w:hint="eastAsia" w:ascii="仿宋_GB2312" w:eastAsia="仿宋_GB2312"/>
          <w:color w:val="auto"/>
          <w:sz w:val="32"/>
          <w:szCs w:val="32"/>
        </w:rPr>
        <w:t>事先征得自有土地权属单位书面同意</w:t>
      </w:r>
      <w:bookmarkEnd w:id="2"/>
      <w:r>
        <w:rPr>
          <w:rFonts w:hint="eastAsia" w:ascii="仿宋_GB2312" w:eastAsia="仿宋_GB2312"/>
          <w:color w:val="auto"/>
          <w:sz w:val="32"/>
          <w:szCs w:val="32"/>
        </w:rPr>
        <w:t>。</w:t>
      </w:r>
    </w:p>
    <w:p w14:paraId="5EF846D1">
      <w:pPr>
        <w:spacing w:line="560" w:lineRule="exact"/>
        <w:ind w:firstLine="640" w:firstLineChars="200"/>
        <w:contextualSpacing/>
        <w:rPr>
          <w:rFonts w:ascii="仿宋_GB2312" w:eastAsia="仿宋_GB2312"/>
          <w:color w:val="auto"/>
          <w:sz w:val="32"/>
          <w:szCs w:val="32"/>
        </w:rPr>
      </w:pPr>
      <w:bookmarkStart w:id="3" w:name="_Hlk172731276"/>
      <w:r>
        <w:rPr>
          <w:rFonts w:hint="eastAsia" w:ascii="仿宋_GB2312" w:eastAsia="仿宋_GB2312"/>
          <w:color w:val="auto"/>
          <w:sz w:val="32"/>
          <w:szCs w:val="32"/>
        </w:rPr>
        <w:t>由区政府组织协调</w:t>
      </w:r>
      <w:r>
        <w:rPr>
          <w:rFonts w:hint="eastAsia" w:ascii="仿宋_GB2312" w:eastAsia="仿宋_GB2312"/>
          <w:color w:val="auto"/>
          <w:sz w:val="32"/>
          <w:szCs w:val="32"/>
          <w:lang w:eastAsia="zh-CN"/>
        </w:rPr>
        <w:t>利用其他</w:t>
      </w:r>
      <w:r>
        <w:rPr>
          <w:rFonts w:hint="eastAsia" w:ascii="仿宋_GB2312" w:eastAsia="仿宋_GB2312"/>
          <w:color w:val="auto"/>
          <w:sz w:val="32"/>
          <w:szCs w:val="32"/>
        </w:rPr>
        <w:t>待建土地、空闲厂区、边角空地</w:t>
      </w:r>
      <w:r>
        <w:rPr>
          <w:rFonts w:hint="eastAsia" w:ascii="仿宋_GB2312" w:eastAsia="仿宋_GB2312"/>
          <w:color w:val="auto"/>
          <w:sz w:val="32"/>
          <w:szCs w:val="32"/>
          <w:lang w:eastAsia="zh-CN"/>
        </w:rPr>
        <w:t>等</w:t>
      </w:r>
      <w:r>
        <w:rPr>
          <w:rFonts w:hint="eastAsia" w:ascii="仿宋_GB2312" w:eastAsia="仿宋_GB2312"/>
          <w:color w:val="auto"/>
          <w:sz w:val="32"/>
          <w:szCs w:val="32"/>
        </w:rPr>
        <w:t>闲置场所设置安装机械式、简易自走式立体停车设备，应当事先征得土地权属单位书面同意，权属单位不明确的，由区政府出具同意意见。</w:t>
      </w:r>
      <w:bookmarkEnd w:id="3"/>
    </w:p>
    <w:p w14:paraId="75C19B7C">
      <w:pPr>
        <w:spacing w:line="560" w:lineRule="exact"/>
        <w:ind w:firstLine="640" w:firstLineChars="200"/>
        <w:contextualSpacing/>
        <w:rPr>
          <w:rFonts w:ascii="仿宋_GB2312" w:hAnsi="黑体"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十七</w:t>
      </w:r>
      <w:r>
        <w:rPr>
          <w:rFonts w:hint="eastAsia" w:ascii="黑体" w:hAnsi="黑体" w:eastAsia="黑体"/>
          <w:color w:val="auto"/>
          <w:sz w:val="32"/>
          <w:szCs w:val="32"/>
        </w:rPr>
        <w:t>条</w:t>
      </w:r>
      <w:r>
        <w:rPr>
          <w:rFonts w:hint="eastAsia" w:ascii="仿宋_GB2312" w:eastAsia="仿宋_GB2312"/>
          <w:color w:val="auto"/>
          <w:sz w:val="32"/>
          <w:szCs w:val="32"/>
        </w:rPr>
        <w:t xml:space="preserve"> 街道办事处或乡镇人民政府应就适用本办法的简易自走式和机械式停车设备</w:t>
      </w:r>
      <w:r>
        <w:rPr>
          <w:rFonts w:hint="eastAsia" w:ascii="仿宋_GB2312" w:hAnsi="黑体" w:eastAsia="仿宋_GB2312"/>
          <w:color w:val="auto"/>
          <w:sz w:val="32"/>
          <w:szCs w:val="32"/>
        </w:rPr>
        <w:t>建设的必要性、可行性，组织用地周边各权益方提出初步意见</w:t>
      </w:r>
      <w:r>
        <w:rPr>
          <w:rFonts w:hint="eastAsia" w:ascii="仿宋_GB2312" w:eastAsia="仿宋_GB2312"/>
          <w:color w:val="auto"/>
          <w:sz w:val="32"/>
          <w:szCs w:val="32"/>
        </w:rPr>
        <w:t>，由区停车管理部门负责牵头组织相关部门明确项目设计条件并</w:t>
      </w:r>
      <w:r>
        <w:rPr>
          <w:rFonts w:hint="eastAsia" w:ascii="仿宋_GB2312" w:hAnsi="黑体" w:eastAsia="仿宋_GB2312"/>
          <w:color w:val="auto"/>
          <w:sz w:val="32"/>
          <w:szCs w:val="32"/>
        </w:rPr>
        <w:t>协助项目法人单位不断完善设计方案。</w:t>
      </w:r>
    </w:p>
    <w:p w14:paraId="1F76E2E7">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十八</w:t>
      </w:r>
      <w:r>
        <w:rPr>
          <w:rFonts w:hint="eastAsia" w:ascii="黑体" w:hAnsi="黑体" w:eastAsia="黑体"/>
          <w:color w:val="auto"/>
          <w:sz w:val="32"/>
          <w:szCs w:val="32"/>
        </w:rPr>
        <w:t>条</w:t>
      </w:r>
      <w:r>
        <w:rPr>
          <w:rFonts w:hint="eastAsia" w:ascii="仿宋_GB2312" w:eastAsia="仿宋_GB2312"/>
          <w:color w:val="auto"/>
          <w:sz w:val="32"/>
          <w:szCs w:val="32"/>
        </w:rPr>
        <w:t xml:space="preserve"> 机械式、简易自走立体停车设备应严格避让古树名木保护范围，尽量减少树木伐移数量。确需占用居住区绿地或单位附属绿地的，应当制定绿地置换方案并按方案有效落实，确保居住区或单位用地范围内绿地面积不减少、绿化景观不降低。</w:t>
      </w:r>
    </w:p>
    <w:p w14:paraId="2EEB7F53">
      <w:pPr>
        <w:spacing w:line="560" w:lineRule="exact"/>
        <w:ind w:firstLine="640" w:firstLineChars="200"/>
        <w:contextualSpacing/>
        <w:rPr>
          <w:rFonts w:ascii="仿宋_GB2312" w:hAnsi="仿宋" w:eastAsia="仿宋_GB2312"/>
          <w:color w:val="auto"/>
          <w:sz w:val="32"/>
          <w:szCs w:val="32"/>
        </w:rPr>
      </w:pPr>
      <w:bookmarkStart w:id="4" w:name="_Hlk167357194"/>
      <w:bookmarkStart w:id="5" w:name="_Hlk162943468"/>
      <w:r>
        <w:rPr>
          <w:rFonts w:hint="eastAsia" w:ascii="黑体" w:hAnsi="黑体" w:eastAsia="黑体"/>
          <w:color w:val="auto"/>
          <w:sz w:val="32"/>
          <w:szCs w:val="32"/>
        </w:rPr>
        <w:t>第</w:t>
      </w:r>
      <w:r>
        <w:rPr>
          <w:rFonts w:hint="eastAsia" w:ascii="黑体" w:hAnsi="黑体" w:eastAsia="黑体"/>
          <w:color w:val="auto"/>
          <w:sz w:val="32"/>
          <w:szCs w:val="32"/>
          <w:lang w:val="en-US" w:eastAsia="zh-CN"/>
        </w:rPr>
        <w:t>十九</w:t>
      </w:r>
      <w:r>
        <w:rPr>
          <w:rFonts w:hint="eastAsia" w:ascii="黑体" w:hAnsi="黑体" w:eastAsia="黑体"/>
          <w:color w:val="auto"/>
          <w:sz w:val="32"/>
          <w:szCs w:val="32"/>
        </w:rPr>
        <w:t>条</w:t>
      </w:r>
      <w:r>
        <w:rPr>
          <w:rFonts w:hint="eastAsia" w:ascii="仿宋_GB2312" w:eastAsia="仿宋_GB2312"/>
          <w:color w:val="auto"/>
          <w:sz w:val="32"/>
          <w:szCs w:val="32"/>
        </w:rPr>
        <w:t xml:space="preserve"> </w:t>
      </w:r>
      <w:r>
        <w:rPr>
          <w:rFonts w:hint="eastAsia" w:ascii="仿宋_GB2312" w:hAnsi="黑体" w:eastAsia="仿宋_GB2312"/>
          <w:color w:val="auto"/>
          <w:sz w:val="32"/>
          <w:szCs w:val="32"/>
        </w:rPr>
        <w:t>项目法人单位</w:t>
      </w:r>
      <w:r>
        <w:rPr>
          <w:rFonts w:hint="eastAsia" w:ascii="仿宋_GB2312" w:hAnsi="黑体" w:eastAsia="仿宋_GB2312"/>
          <w:color w:val="auto"/>
          <w:sz w:val="32"/>
          <w:szCs w:val="32"/>
          <w:lang w:eastAsia="zh-CN"/>
        </w:rPr>
        <w:t>应当</w:t>
      </w:r>
      <w:r>
        <w:rPr>
          <w:rFonts w:hint="eastAsia" w:ascii="仿宋_GB2312" w:hAnsi="黑体" w:eastAsia="仿宋_GB2312"/>
          <w:color w:val="auto"/>
          <w:sz w:val="32"/>
          <w:szCs w:val="32"/>
        </w:rPr>
        <w:t>按照有关</w:t>
      </w:r>
      <w:r>
        <w:rPr>
          <w:rFonts w:hint="eastAsia" w:ascii="仿宋_GB2312" w:eastAsia="仿宋_GB2312"/>
          <w:color w:val="auto"/>
          <w:sz w:val="32"/>
          <w:szCs w:val="32"/>
        </w:rPr>
        <w:t>规定，</w:t>
      </w:r>
      <w:bookmarkEnd w:id="4"/>
      <w:r>
        <w:rPr>
          <w:rFonts w:hint="eastAsia" w:ascii="仿宋_GB2312" w:eastAsia="仿宋_GB2312"/>
          <w:color w:val="auto"/>
          <w:sz w:val="32"/>
          <w:szCs w:val="32"/>
        </w:rPr>
        <w:t>委托具有工程勘察专业资质或综合资质的机构，</w:t>
      </w:r>
      <w:r>
        <w:rPr>
          <w:rFonts w:hint="eastAsia" w:ascii="仿宋_GB2312" w:hAnsi="仿宋" w:eastAsia="仿宋_GB2312"/>
          <w:color w:val="auto"/>
          <w:sz w:val="32"/>
          <w:szCs w:val="32"/>
        </w:rPr>
        <w:t>开展岩土勘察、详细管线勘察及物探作业，应当满足管线专业公司改移、消防设计等技术标准规范有关要求，并征求管线权属部门意见。同时，应按照《中华人民共和国文物保护法》相关规定开展必要的考古工作。</w:t>
      </w:r>
    </w:p>
    <w:p w14:paraId="1B8070F7">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第二十条</w:t>
      </w:r>
      <w:r>
        <w:rPr>
          <w:rFonts w:hint="eastAsia" w:ascii="仿宋_GB2312" w:hAnsi="仿宋" w:eastAsia="仿宋_GB2312"/>
          <w:color w:val="auto"/>
          <w:sz w:val="32"/>
          <w:szCs w:val="32"/>
        </w:rPr>
        <w:t xml:space="preserve"> 项目法人单位</w:t>
      </w:r>
      <w:r>
        <w:rPr>
          <w:rFonts w:hint="eastAsia" w:ascii="仿宋_GB2312" w:eastAsia="仿宋_GB2312"/>
          <w:color w:val="auto"/>
          <w:sz w:val="32"/>
          <w:szCs w:val="32"/>
        </w:rPr>
        <w:t>应委托具有相应行业工程设计资质的机构</w:t>
      </w:r>
      <w:bookmarkStart w:id="6" w:name="_Hlk167357250"/>
      <w:r>
        <w:rPr>
          <w:rFonts w:hint="eastAsia" w:ascii="仿宋_GB2312" w:eastAsia="仿宋_GB2312"/>
          <w:color w:val="auto"/>
          <w:sz w:val="32"/>
          <w:szCs w:val="32"/>
        </w:rPr>
        <w:t>编制机械式、简易自走式立体停车设备设计方案</w:t>
      </w:r>
      <w:bookmarkEnd w:id="6"/>
      <w:r>
        <w:rPr>
          <w:rFonts w:hint="eastAsia" w:ascii="仿宋_GB2312" w:eastAsia="仿宋_GB2312"/>
          <w:color w:val="auto"/>
          <w:sz w:val="32"/>
          <w:szCs w:val="32"/>
        </w:rPr>
        <w:t>，其中简易自走式立体停车设备设计单位还应具备轻型钢结构工程设计专项资质，机械式停车设备生产安装单位还应具备特种设备生产及安装许可证。</w:t>
      </w:r>
      <w:bookmarkEnd w:id="5"/>
    </w:p>
    <w:p w14:paraId="415A1AD2">
      <w:pPr>
        <w:spacing w:line="560" w:lineRule="exact"/>
        <w:ind w:firstLine="640" w:firstLineChars="200"/>
        <w:contextualSpacing/>
        <w:rPr>
          <w:rFonts w:hint="eastAsia" w:ascii="仿宋_GB2312" w:eastAsia="仿宋_GB2312"/>
          <w:color w:val="auto"/>
          <w:sz w:val="32"/>
          <w:szCs w:val="32"/>
          <w:lang w:val="en-US" w:eastAsia="zh-CN"/>
        </w:rPr>
      </w:pPr>
      <w:r>
        <w:rPr>
          <w:rFonts w:hint="eastAsia" w:ascii="黑体" w:hAnsi="黑体" w:eastAsia="黑体"/>
          <w:color w:val="auto"/>
          <w:sz w:val="32"/>
          <w:szCs w:val="32"/>
        </w:rPr>
        <w:t>第二十</w:t>
      </w:r>
      <w:r>
        <w:rPr>
          <w:rFonts w:hint="eastAsia" w:ascii="黑体" w:hAnsi="黑体" w:eastAsia="黑体"/>
          <w:color w:val="auto"/>
          <w:sz w:val="32"/>
          <w:szCs w:val="32"/>
          <w:lang w:val="en-US" w:eastAsia="zh-CN"/>
        </w:rPr>
        <w:t>一</w:t>
      </w:r>
      <w:r>
        <w:rPr>
          <w:rFonts w:hint="eastAsia" w:ascii="黑体" w:hAnsi="黑体" w:eastAsia="黑体"/>
          <w:color w:val="auto"/>
          <w:sz w:val="32"/>
          <w:szCs w:val="32"/>
        </w:rPr>
        <w:t>条</w:t>
      </w:r>
      <w:r>
        <w:rPr>
          <w:rFonts w:hint="eastAsia" w:ascii="仿宋_GB2312" w:hAnsi="黑体" w:eastAsia="仿宋_GB2312"/>
          <w:color w:val="auto"/>
          <w:sz w:val="32"/>
          <w:szCs w:val="32"/>
        </w:rPr>
        <w:t xml:space="preserve"> 项目法人单位在取得权属单位及相关主体同意并且设计方案成熟后，通过区政务服务中心窗口或“高效办成一件事”线上专区提出申请，并按规定提供土地权属证明、土地权属方书面同意意见或土地使用协议、街道办事处或乡镇人民政府初步意见、勘察报告、设计施工方案等申请材料。拟</w:t>
      </w:r>
      <w:r>
        <w:rPr>
          <w:rFonts w:hint="eastAsia" w:ascii="仿宋_GB2312" w:eastAsia="仿宋_GB2312"/>
          <w:color w:val="auto"/>
          <w:sz w:val="32"/>
          <w:szCs w:val="32"/>
        </w:rPr>
        <w:t>开展经营</w:t>
      </w:r>
      <w:r>
        <w:rPr>
          <w:rFonts w:hint="eastAsia" w:ascii="仿宋_GB2312" w:eastAsia="仿宋_GB2312"/>
          <w:color w:val="auto"/>
          <w:sz w:val="32"/>
          <w:szCs w:val="32"/>
          <w:lang w:val="en-US" w:eastAsia="zh-CN"/>
        </w:rPr>
        <w:t>活动</w:t>
      </w:r>
      <w:r>
        <w:rPr>
          <w:rFonts w:hint="eastAsia" w:ascii="仿宋_GB2312" w:eastAsia="仿宋_GB2312"/>
          <w:color w:val="auto"/>
          <w:sz w:val="32"/>
          <w:szCs w:val="32"/>
        </w:rPr>
        <w:t>的，可同步提交经营性</w:t>
      </w:r>
      <w:r>
        <w:rPr>
          <w:rFonts w:hint="eastAsia" w:ascii="仿宋_GB2312" w:eastAsia="仿宋_GB2312"/>
          <w:color w:val="auto"/>
          <w:sz w:val="32"/>
          <w:szCs w:val="32"/>
          <w:lang w:val="en-US" w:eastAsia="zh-CN"/>
        </w:rPr>
        <w:t>停车设施</w:t>
      </w:r>
      <w:r>
        <w:rPr>
          <w:rFonts w:hint="eastAsia" w:ascii="仿宋_GB2312" w:eastAsia="仿宋_GB2312"/>
          <w:color w:val="auto"/>
          <w:sz w:val="32"/>
          <w:szCs w:val="32"/>
        </w:rPr>
        <w:t>备案申请</w:t>
      </w:r>
      <w:r>
        <w:rPr>
          <w:rFonts w:hint="eastAsia" w:ascii="仿宋_GB2312" w:eastAsia="仿宋_GB2312"/>
          <w:color w:val="auto"/>
          <w:sz w:val="32"/>
          <w:szCs w:val="32"/>
          <w:lang w:val="en-US" w:eastAsia="zh-CN"/>
        </w:rPr>
        <w:t>相关</w:t>
      </w:r>
      <w:r>
        <w:rPr>
          <w:rFonts w:hint="eastAsia" w:ascii="仿宋_GB2312" w:eastAsia="仿宋_GB2312"/>
          <w:color w:val="auto"/>
          <w:sz w:val="32"/>
          <w:szCs w:val="32"/>
        </w:rPr>
        <w:t>材料</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由区停车管理部门指导完善、按程序办理。</w:t>
      </w:r>
    </w:p>
    <w:p w14:paraId="5A379282">
      <w:pPr>
        <w:spacing w:line="560" w:lineRule="exact"/>
        <w:ind w:firstLine="640" w:firstLineChars="200"/>
        <w:contextualSpacing/>
        <w:rPr>
          <w:rFonts w:ascii="仿宋_GB2312" w:hAnsi="黑体" w:eastAsia="仿宋_GB2312"/>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val="en-US" w:eastAsia="zh-CN"/>
        </w:rPr>
        <w:t>二</w:t>
      </w:r>
      <w:r>
        <w:rPr>
          <w:rFonts w:hint="eastAsia" w:ascii="黑体" w:hAnsi="黑体" w:eastAsia="黑体"/>
          <w:color w:val="auto"/>
          <w:sz w:val="32"/>
          <w:szCs w:val="32"/>
        </w:rPr>
        <w:t>条</w:t>
      </w:r>
      <w:r>
        <w:rPr>
          <w:rFonts w:hint="eastAsia" w:ascii="仿宋_GB2312" w:hAnsi="黑体" w:eastAsia="仿宋_GB2312"/>
          <w:color w:val="auto"/>
          <w:sz w:val="32"/>
          <w:szCs w:val="32"/>
        </w:rPr>
        <w:t xml:space="preserve"> 对一般项目，由区停车管理部门组织各区级部门在20个自然日内出具实施意见；对于规模较大、投资较高以及其他区级部门认为有必要报区政府研究的项目，由区停车管理部门牵头，将实施意见报区政府研究决定，办理时限可延长15个自然日；对有特殊需求、保密要求及对周边交通产生较大影响的，需开展专题论证，由区政府报市政府研究决定。</w:t>
      </w:r>
    </w:p>
    <w:p w14:paraId="20FC674F">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val="en-US" w:eastAsia="zh-CN"/>
        </w:rPr>
        <w:t>三</w:t>
      </w:r>
      <w:r>
        <w:rPr>
          <w:rFonts w:hint="eastAsia" w:ascii="黑体" w:hAnsi="黑体" w:eastAsia="黑体"/>
          <w:color w:val="auto"/>
          <w:sz w:val="32"/>
          <w:szCs w:val="32"/>
        </w:rPr>
        <w:t>条</w:t>
      </w:r>
      <w:r>
        <w:rPr>
          <w:rFonts w:hint="eastAsia" w:ascii="仿宋_GB2312" w:eastAsia="仿宋_GB2312"/>
          <w:color w:val="auto"/>
          <w:sz w:val="32"/>
          <w:szCs w:val="32"/>
        </w:rPr>
        <w:t xml:space="preserve"> 对符合《关于印发〈关于推动城市停车设施发展和管理的实施意见〉的通知》（京交停车发〔2023〕22号）补助政策要求的项目，由区发改部门对项目备案后，向市发改部门报送资金申请报告，由市发改部门组织相关单位开展联合审查，根据项目情况及时批复资金申请报告，拨付补助资金。</w:t>
      </w:r>
    </w:p>
    <w:p w14:paraId="0E1412A0">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val="en-US" w:eastAsia="zh-CN"/>
        </w:rPr>
        <w:t>四</w:t>
      </w:r>
      <w:r>
        <w:rPr>
          <w:rFonts w:hint="eastAsia" w:ascii="黑体" w:hAnsi="黑体" w:eastAsia="黑体"/>
          <w:color w:val="auto"/>
          <w:sz w:val="32"/>
          <w:szCs w:val="32"/>
        </w:rPr>
        <w:t>条</w:t>
      </w:r>
      <w:r>
        <w:rPr>
          <w:rFonts w:hint="eastAsia" w:ascii="仿宋_GB2312" w:eastAsia="仿宋_GB2312"/>
          <w:color w:val="auto"/>
          <w:sz w:val="32"/>
          <w:szCs w:val="32"/>
        </w:rPr>
        <w:t xml:space="preserve"> 项目法人单位应在取得实施意见六个月内开工建设。</w:t>
      </w:r>
    </w:p>
    <w:p w14:paraId="331B3E32">
      <w:pPr>
        <w:spacing w:line="560" w:lineRule="exact"/>
        <w:ind w:firstLine="640" w:firstLineChars="200"/>
        <w:contextualSpacing/>
        <w:rPr>
          <w:rFonts w:ascii="仿宋_GB2312" w:eastAsia="仿宋_GB2312"/>
          <w:color w:val="auto"/>
          <w:sz w:val="32"/>
          <w:szCs w:val="32"/>
        </w:rPr>
      </w:pPr>
      <w:r>
        <w:rPr>
          <w:rFonts w:hint="eastAsia" w:ascii="仿宋_GB2312" w:eastAsia="仿宋_GB2312"/>
          <w:color w:val="auto"/>
          <w:sz w:val="32"/>
          <w:szCs w:val="32"/>
        </w:rPr>
        <w:t>施工单位应当按照实施意见明确的设计方案进行施工，施工过程中应遵守国家及本市相关标准规范。</w:t>
      </w:r>
    </w:p>
    <w:p w14:paraId="372DD53D">
      <w:pPr>
        <w:spacing w:line="560" w:lineRule="exact"/>
        <w:ind w:firstLine="640" w:firstLineChars="200"/>
        <w:contextualSpacing/>
        <w:rPr>
          <w:rFonts w:ascii="黑体" w:hAnsi="黑体" w:eastAsia="黑体"/>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val="en-US" w:eastAsia="zh-CN"/>
        </w:rPr>
        <w:t>五</w:t>
      </w:r>
      <w:r>
        <w:rPr>
          <w:rFonts w:hint="eastAsia" w:ascii="黑体" w:hAnsi="黑体" w:eastAsia="黑体"/>
          <w:color w:val="auto"/>
          <w:sz w:val="32"/>
          <w:szCs w:val="32"/>
        </w:rPr>
        <w:t>条</w:t>
      </w:r>
      <w:r>
        <w:rPr>
          <w:rFonts w:hint="eastAsia" w:ascii="仿宋_GB2312" w:hAnsi="仿宋" w:eastAsia="仿宋_GB2312"/>
          <w:color w:val="auto"/>
          <w:sz w:val="32"/>
          <w:szCs w:val="32"/>
        </w:rPr>
        <w:t xml:space="preserve"> </w:t>
      </w:r>
      <w:r>
        <w:rPr>
          <w:rFonts w:hint="eastAsia" w:ascii="仿宋_GB2312" w:hAnsi="仿宋_GB2312" w:eastAsia="仿宋_GB2312" w:cs="仿宋_GB2312"/>
          <w:color w:val="auto"/>
          <w:sz w:val="32"/>
          <w:szCs w:val="32"/>
        </w:rPr>
        <w:t>项目法人单位、勘察单位、设计单位、施工单位、工程监理单位及其他与机械式、简易自走式立体停车</w:t>
      </w:r>
      <w:r>
        <w:rPr>
          <w:rFonts w:hint="eastAsia" w:ascii="仿宋_GB2312" w:eastAsia="仿宋_GB2312"/>
          <w:color w:val="auto"/>
          <w:sz w:val="32"/>
          <w:szCs w:val="32"/>
        </w:rPr>
        <w:t>设备</w:t>
      </w:r>
      <w:r>
        <w:rPr>
          <w:rFonts w:hint="eastAsia" w:ascii="仿宋_GB2312" w:hAnsi="仿宋_GB2312" w:eastAsia="仿宋_GB2312" w:cs="仿宋_GB2312"/>
          <w:color w:val="auto"/>
          <w:sz w:val="32"/>
          <w:szCs w:val="32"/>
        </w:rPr>
        <w:t>安全生产有关的单位，必须遵守安全生产</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的规定，依法承担安全生产责任。</w:t>
      </w:r>
    </w:p>
    <w:p w14:paraId="745A4D2A">
      <w:pPr>
        <w:spacing w:line="560" w:lineRule="exact"/>
        <w:ind w:firstLine="640" w:firstLineChars="200"/>
        <w:contextualSpacing/>
        <w:rPr>
          <w:rFonts w:ascii="仿宋_GB2312" w:eastAsia="仿宋_GB2312"/>
          <w:color w:val="auto"/>
          <w:sz w:val="32"/>
          <w:szCs w:val="32"/>
        </w:rPr>
      </w:pPr>
      <w:bookmarkStart w:id="7" w:name="_Hlk172738699"/>
      <w:r>
        <w:rPr>
          <w:rFonts w:hint="eastAsia" w:ascii="黑体" w:hAnsi="黑体" w:eastAsia="黑体"/>
          <w:color w:val="auto"/>
          <w:sz w:val="32"/>
          <w:szCs w:val="32"/>
        </w:rPr>
        <w:t>第二十</w:t>
      </w:r>
      <w:r>
        <w:rPr>
          <w:rFonts w:hint="eastAsia" w:ascii="黑体" w:hAnsi="黑体" w:eastAsia="黑体"/>
          <w:color w:val="auto"/>
          <w:sz w:val="32"/>
          <w:szCs w:val="32"/>
          <w:lang w:val="en-US" w:eastAsia="zh-CN"/>
        </w:rPr>
        <w:t>六</w:t>
      </w:r>
      <w:r>
        <w:rPr>
          <w:rFonts w:hint="eastAsia" w:ascii="黑体" w:hAnsi="黑体" w:eastAsia="黑体"/>
          <w:color w:val="auto"/>
          <w:sz w:val="32"/>
          <w:szCs w:val="32"/>
        </w:rPr>
        <w:t>条</w:t>
      </w:r>
      <w:r>
        <w:rPr>
          <w:rFonts w:hint="eastAsia" w:ascii="仿宋_GB2312" w:eastAsia="仿宋_GB2312"/>
          <w:color w:val="auto"/>
          <w:sz w:val="32"/>
          <w:szCs w:val="32"/>
        </w:rPr>
        <w:t xml:space="preserve"> 机械式、简易自走式立体停车设备竣工后，项目法人单位应组织专家召开消防设计评审会并出具评审意见。</w:t>
      </w:r>
    </w:p>
    <w:p w14:paraId="474F3374">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 xml:space="preserve">二十七条 </w:t>
      </w:r>
      <w:r>
        <w:rPr>
          <w:rFonts w:hint="eastAsia" w:ascii="仿宋_GB2312" w:eastAsia="仿宋_GB2312"/>
          <w:color w:val="auto"/>
          <w:sz w:val="32"/>
          <w:szCs w:val="32"/>
          <w:highlight w:val="none"/>
        </w:rPr>
        <w:t>机械式、简易自走式立体停车设备项目法人单位应组织勘察、设计、施工、监理单位开展竣工验收。机械式</w:t>
      </w:r>
      <w:r>
        <w:rPr>
          <w:rFonts w:hint="eastAsia" w:ascii="仿宋_GB2312" w:eastAsia="仿宋_GB2312"/>
          <w:color w:val="auto"/>
          <w:sz w:val="32"/>
          <w:szCs w:val="32"/>
        </w:rPr>
        <w:t>停车设备项目法人单位还应依法进行检验并按规定向市场监督管理部门办理使用登记。</w:t>
      </w:r>
    </w:p>
    <w:p w14:paraId="4475B1E5">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二十八</w:t>
      </w:r>
      <w:r>
        <w:rPr>
          <w:rFonts w:hint="eastAsia" w:ascii="黑体" w:hAnsi="黑体" w:eastAsia="黑体"/>
          <w:color w:val="auto"/>
          <w:sz w:val="32"/>
          <w:szCs w:val="32"/>
        </w:rPr>
        <w:t>条</w:t>
      </w:r>
      <w:r>
        <w:rPr>
          <w:rFonts w:hint="eastAsia" w:ascii="仿宋_GB2312" w:eastAsia="仿宋_GB2312"/>
          <w:color w:val="auto"/>
          <w:sz w:val="32"/>
          <w:szCs w:val="32"/>
        </w:rPr>
        <w:t xml:space="preserve"> 项目法人单位</w:t>
      </w:r>
      <w:r>
        <w:rPr>
          <w:rFonts w:hint="eastAsia" w:ascii="仿宋_GB2312" w:eastAsia="仿宋_GB2312"/>
          <w:color w:val="auto"/>
          <w:sz w:val="32"/>
          <w:szCs w:val="32"/>
          <w:lang w:eastAsia="zh-CN"/>
        </w:rPr>
        <w:t>应当</w:t>
      </w:r>
      <w:r>
        <w:rPr>
          <w:rFonts w:hint="eastAsia" w:ascii="仿宋_GB2312" w:eastAsia="仿宋_GB2312"/>
          <w:color w:val="auto"/>
          <w:sz w:val="32"/>
          <w:szCs w:val="32"/>
        </w:rPr>
        <w:t>在机械式、简易自走式立体停车设备投入使用前，</w:t>
      </w:r>
      <w:r>
        <w:rPr>
          <w:rFonts w:hint="eastAsia" w:ascii="仿宋_GB2312" w:hAnsi="黑体" w:eastAsia="仿宋_GB2312"/>
          <w:color w:val="auto"/>
          <w:sz w:val="32"/>
          <w:szCs w:val="32"/>
        </w:rPr>
        <w:t>通过区政务服务中心窗口或“高效办成一件事”线上专区提出申请，</w:t>
      </w:r>
      <w:r>
        <w:rPr>
          <w:rFonts w:hint="eastAsia" w:ascii="仿宋_GB2312" w:eastAsia="仿宋_GB2312"/>
          <w:color w:val="auto"/>
          <w:sz w:val="32"/>
          <w:szCs w:val="32"/>
        </w:rPr>
        <w:t>将竣工验收报告及竣工图纸、消防设计专家评审意见、特种设备检验报告以及施工过程中各类技术文件等材料提交至区停车管理部门存档。</w:t>
      </w:r>
      <w:bookmarkEnd w:id="7"/>
    </w:p>
    <w:p w14:paraId="72368657">
      <w:pPr>
        <w:spacing w:line="560" w:lineRule="exact"/>
        <w:contextualSpacing/>
        <w:jc w:val="center"/>
        <w:rPr>
          <w:rFonts w:ascii="黑体" w:hAnsi="黑体" w:eastAsia="黑体"/>
          <w:color w:val="auto"/>
          <w:sz w:val="32"/>
          <w:szCs w:val="32"/>
        </w:rPr>
      </w:pPr>
      <w:r>
        <w:rPr>
          <w:rFonts w:hint="eastAsia" w:ascii="黑体" w:hAnsi="黑体" w:eastAsia="黑体"/>
          <w:color w:val="auto"/>
          <w:sz w:val="32"/>
          <w:szCs w:val="32"/>
        </w:rPr>
        <w:t>第四章 运营管理要求</w:t>
      </w:r>
    </w:p>
    <w:p w14:paraId="30CCA3E1">
      <w:pPr>
        <w:spacing w:line="560" w:lineRule="exact"/>
        <w:ind w:firstLine="640" w:firstLineChars="200"/>
        <w:contextualSpacing/>
        <w:rPr>
          <w:rFonts w:hint="default" w:ascii="仿宋_GB2312" w:eastAsia="仿宋_GB2312"/>
          <w:color w:val="auto"/>
          <w:sz w:val="32"/>
          <w:szCs w:val="32"/>
          <w:lang w:val="en-US" w:eastAsia="zh-CN"/>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二十九</w:t>
      </w:r>
      <w:r>
        <w:rPr>
          <w:rFonts w:hint="eastAsia" w:ascii="黑体" w:hAnsi="黑体" w:eastAsia="黑体"/>
          <w:color w:val="auto"/>
          <w:sz w:val="32"/>
          <w:szCs w:val="32"/>
        </w:rPr>
        <w:t>条</w:t>
      </w:r>
      <w:r>
        <w:rPr>
          <w:rFonts w:hint="eastAsia" w:ascii="仿宋_GB2312" w:eastAsia="仿宋_GB2312"/>
          <w:color w:val="auto"/>
          <w:sz w:val="32"/>
          <w:szCs w:val="32"/>
        </w:rPr>
        <w:t xml:space="preserve"> 项目法人单位应当在机械式、简易自走式立体停车设备验收合格后10日内，依法将停车泊位情况报送区停车管理部门。</w:t>
      </w:r>
      <w:r>
        <w:rPr>
          <w:rFonts w:hint="eastAsia" w:ascii="仿宋_GB2312" w:eastAsia="仿宋_GB2312"/>
          <w:color w:val="auto"/>
          <w:sz w:val="32"/>
          <w:szCs w:val="32"/>
          <w:lang w:val="en-US" w:eastAsia="zh-CN"/>
        </w:rPr>
        <w:t>拟</w:t>
      </w:r>
      <w:r>
        <w:rPr>
          <w:rFonts w:hint="eastAsia" w:ascii="仿宋_GB2312" w:eastAsia="仿宋_GB2312"/>
          <w:color w:val="auto"/>
          <w:sz w:val="32"/>
          <w:szCs w:val="32"/>
        </w:rPr>
        <w:t>开展经营的，</w:t>
      </w:r>
      <w:r>
        <w:rPr>
          <w:rFonts w:hint="eastAsia" w:ascii="仿宋_GB2312" w:eastAsia="仿宋_GB2312"/>
          <w:color w:val="auto"/>
          <w:sz w:val="32"/>
          <w:szCs w:val="32"/>
          <w:lang w:eastAsia="zh-CN"/>
        </w:rPr>
        <w:t>可在</w:t>
      </w:r>
      <w:r>
        <w:rPr>
          <w:rFonts w:hint="eastAsia" w:ascii="仿宋_GB2312" w:eastAsia="仿宋_GB2312"/>
          <w:color w:val="auto"/>
          <w:sz w:val="32"/>
          <w:szCs w:val="32"/>
        </w:rPr>
        <w:t>经营前15日内</w:t>
      </w:r>
      <w:r>
        <w:rPr>
          <w:rFonts w:hint="eastAsia" w:ascii="仿宋_GB2312" w:eastAsia="仿宋_GB2312"/>
          <w:color w:val="auto"/>
          <w:sz w:val="32"/>
          <w:szCs w:val="32"/>
          <w:lang w:val="en-US" w:eastAsia="zh-CN"/>
        </w:rPr>
        <w:t>向区停车管理部门提交备案申请</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在设备安装阶段已提交的无需重复申请。</w:t>
      </w:r>
    </w:p>
    <w:p w14:paraId="35B7B459">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第三十条</w:t>
      </w:r>
      <w:r>
        <w:rPr>
          <w:rFonts w:hint="eastAsia" w:ascii="仿宋_GB2312" w:eastAsia="仿宋_GB2312"/>
          <w:color w:val="auto"/>
          <w:sz w:val="32"/>
          <w:szCs w:val="32"/>
        </w:rPr>
        <w:t xml:space="preserve"> 项目法人单位、运营管理单位等责任人应当按照《北京市市容环境卫生条例</w:t>
      </w:r>
      <w:r>
        <w:rPr>
          <w:rFonts w:hint="eastAsia" w:ascii="仿宋_GB2312" w:eastAsia="仿宋_GB2312"/>
          <w:color w:val="auto"/>
          <w:sz w:val="32"/>
          <w:szCs w:val="32"/>
          <w:lang w:eastAsia="zh-CN"/>
        </w:rPr>
        <w:t>》和</w:t>
      </w:r>
      <w:r>
        <w:rPr>
          <w:rFonts w:hint="eastAsia" w:ascii="仿宋_GB2312" w:eastAsia="仿宋_GB2312"/>
          <w:color w:val="auto"/>
          <w:sz w:val="32"/>
          <w:szCs w:val="32"/>
        </w:rPr>
        <w:t>《北京市城市建筑物外立面保持整洁管理规定》，保持机械式、简易自走式立体停车设备临街外立面整洁和完好。</w:t>
      </w:r>
    </w:p>
    <w:p w14:paraId="638E8A5B">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val="en-US" w:eastAsia="zh-CN"/>
        </w:rPr>
        <w:t>一</w:t>
      </w:r>
      <w:r>
        <w:rPr>
          <w:rFonts w:hint="eastAsia" w:ascii="黑体" w:hAnsi="黑体" w:eastAsia="黑体"/>
          <w:color w:val="auto"/>
          <w:sz w:val="32"/>
          <w:szCs w:val="32"/>
        </w:rPr>
        <w:t>条</w:t>
      </w:r>
      <w:r>
        <w:rPr>
          <w:rFonts w:hint="eastAsia" w:ascii="仿宋_GB2312" w:eastAsia="仿宋_GB2312"/>
          <w:color w:val="auto"/>
          <w:sz w:val="32"/>
          <w:szCs w:val="32"/>
        </w:rPr>
        <w:t xml:space="preserve"> 项目法人单位或者运营管理单位应当建立定期检验和强制维护制度及应急预案，按规定开展定期检验和维护，确保设施设备正常完好、使用安全。鼓励机械式、简易自走式立体停车设备项目法人单位或者运营管理单位投保公共责任险。机械式、简易自走式立体停车设备投资可以纳入固定资产进行管理，并依据固定资产管理有关规定，按照使用年限计提折旧。</w:t>
      </w:r>
    </w:p>
    <w:p w14:paraId="6E5E9E98">
      <w:pPr>
        <w:spacing w:after="0"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val="en-US" w:eastAsia="zh-CN"/>
        </w:rPr>
        <w:t>二</w:t>
      </w:r>
      <w:r>
        <w:rPr>
          <w:rFonts w:hint="eastAsia" w:ascii="黑体" w:hAnsi="黑体" w:eastAsia="黑体"/>
          <w:color w:val="auto"/>
          <w:sz w:val="32"/>
          <w:szCs w:val="32"/>
        </w:rPr>
        <w:t>条</w:t>
      </w:r>
      <w:r>
        <w:rPr>
          <w:rFonts w:hint="eastAsia" w:ascii="仿宋_GB2312" w:eastAsia="仿宋_GB2312"/>
          <w:color w:val="auto"/>
          <w:sz w:val="32"/>
          <w:szCs w:val="32"/>
        </w:rPr>
        <w:t xml:space="preserve"> 因城乡规划实施、城市建设管理需要时，设备产权人应按照相关要求予以配合及时腾退</w:t>
      </w:r>
      <w:bookmarkStart w:id="8" w:name="_Hlk186820236"/>
      <w:r>
        <w:rPr>
          <w:rFonts w:hint="eastAsia" w:ascii="仿宋_GB2312" w:eastAsia="仿宋_GB2312"/>
          <w:color w:val="auto"/>
          <w:sz w:val="32"/>
          <w:szCs w:val="32"/>
        </w:rPr>
        <w:t>。</w:t>
      </w:r>
    </w:p>
    <w:p w14:paraId="3EF72FBF">
      <w:pPr>
        <w:spacing w:after="0" w:line="560" w:lineRule="exact"/>
        <w:ind w:firstLine="640" w:firstLineChars="200"/>
        <w:contextualSpacing/>
        <w:rPr>
          <w:rFonts w:ascii="仿宋_GB2312" w:eastAsia="仿宋_GB2312"/>
          <w:color w:val="auto"/>
          <w:sz w:val="32"/>
          <w:szCs w:val="32"/>
        </w:rPr>
      </w:pPr>
      <w:r>
        <w:rPr>
          <w:rFonts w:hint="eastAsia" w:ascii="仿宋_GB2312" w:eastAsia="仿宋_GB2312"/>
          <w:color w:val="auto"/>
          <w:sz w:val="32"/>
          <w:szCs w:val="32"/>
        </w:rPr>
        <w:t>机械式停车设备未经定期检验或者检验不合格的，不得继续使用。简易自走式立体停车设备达到设计使用年限（</w:t>
      </w:r>
      <w:r>
        <w:rPr>
          <w:rFonts w:hint="eastAsia" w:ascii="仿宋_GB2312" w:eastAsia="仿宋_GB2312"/>
          <w:color w:val="auto"/>
          <w:sz w:val="32"/>
          <w:szCs w:val="32"/>
          <w:lang w:val="en-US" w:eastAsia="zh-CN"/>
        </w:rPr>
        <w:t>或</w:t>
      </w:r>
      <w:r>
        <w:rPr>
          <w:rFonts w:hint="eastAsia" w:ascii="仿宋_GB2312" w:eastAsia="仿宋_GB2312"/>
          <w:color w:val="auto"/>
          <w:sz w:val="32"/>
          <w:szCs w:val="32"/>
        </w:rPr>
        <w:t>不超过25年）后，应开展安全性鉴定，如果部分或整体结构不能满足安全使用要求，应停止使用或予以拆除</w:t>
      </w:r>
      <w:bookmarkEnd w:id="8"/>
      <w:r>
        <w:rPr>
          <w:rFonts w:hint="eastAsia" w:ascii="仿宋_GB2312" w:eastAsia="仿宋_GB2312"/>
          <w:color w:val="auto"/>
          <w:sz w:val="32"/>
          <w:szCs w:val="32"/>
        </w:rPr>
        <w:t>。</w:t>
      </w:r>
    </w:p>
    <w:p w14:paraId="2BEF760C">
      <w:pPr>
        <w:spacing w:line="560" w:lineRule="exact"/>
        <w:contextualSpacing/>
        <w:jc w:val="center"/>
        <w:rPr>
          <w:rFonts w:ascii="黑体" w:hAnsi="黑体" w:eastAsia="黑体"/>
          <w:color w:val="auto"/>
          <w:sz w:val="32"/>
          <w:szCs w:val="32"/>
        </w:rPr>
      </w:pPr>
      <w:r>
        <w:rPr>
          <w:rFonts w:hint="eastAsia" w:ascii="黑体" w:hAnsi="黑体" w:eastAsia="黑体"/>
          <w:color w:val="auto"/>
          <w:sz w:val="32"/>
          <w:szCs w:val="32"/>
        </w:rPr>
        <w:t>第五章 安全监管要求</w:t>
      </w:r>
    </w:p>
    <w:p w14:paraId="1C908506">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val="en-US" w:eastAsia="zh-CN"/>
        </w:rPr>
        <w:t>三</w:t>
      </w:r>
      <w:r>
        <w:rPr>
          <w:rFonts w:hint="eastAsia" w:ascii="黑体" w:hAnsi="黑体" w:eastAsia="黑体"/>
          <w:color w:val="auto"/>
          <w:sz w:val="32"/>
          <w:szCs w:val="32"/>
        </w:rPr>
        <w:t>条</w:t>
      </w:r>
      <w:r>
        <w:rPr>
          <w:rFonts w:hint="eastAsia" w:ascii="仿宋_GB2312" w:eastAsia="仿宋_GB2312"/>
          <w:color w:val="auto"/>
          <w:sz w:val="32"/>
          <w:szCs w:val="32"/>
        </w:rPr>
        <w:t xml:space="preserve"> 机械式停车设备应按照特种设备管理规定向区市场监管部门办理特种设备开工告知后方可开展施工。</w:t>
      </w:r>
    </w:p>
    <w:p w14:paraId="6F4C08C6">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val="en-US" w:eastAsia="zh-CN"/>
        </w:rPr>
        <w:t>四</w:t>
      </w:r>
      <w:r>
        <w:rPr>
          <w:rFonts w:hint="eastAsia" w:ascii="黑体" w:hAnsi="黑体" w:eastAsia="黑体"/>
          <w:color w:val="auto"/>
          <w:sz w:val="32"/>
          <w:szCs w:val="32"/>
        </w:rPr>
        <w:t>条</w:t>
      </w:r>
      <w:r>
        <w:rPr>
          <w:rFonts w:hint="eastAsia" w:ascii="仿宋_GB2312" w:eastAsia="仿宋_GB2312"/>
          <w:color w:val="auto"/>
          <w:sz w:val="32"/>
          <w:szCs w:val="32"/>
        </w:rPr>
        <w:t xml:space="preserve"> 机械式、简易自走式立体停车设备所属街道办事处、乡镇人民政府要落实属地监管责任，加大日常巡查力度，对日常检验维护制度及应急预案等进行检查。</w:t>
      </w:r>
      <w:bookmarkStart w:id="9" w:name="_Hlk168476582"/>
    </w:p>
    <w:p w14:paraId="52F98CB7">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val="en-US" w:eastAsia="zh-CN"/>
        </w:rPr>
        <w:t>五</w:t>
      </w:r>
      <w:r>
        <w:rPr>
          <w:rFonts w:hint="eastAsia" w:ascii="黑体" w:hAnsi="黑体" w:eastAsia="黑体"/>
          <w:color w:val="auto"/>
          <w:sz w:val="32"/>
          <w:szCs w:val="32"/>
        </w:rPr>
        <w:t>条</w:t>
      </w:r>
      <w:r>
        <w:rPr>
          <w:rFonts w:hint="eastAsia" w:ascii="仿宋_GB2312" w:eastAsia="仿宋_GB2312"/>
          <w:color w:val="auto"/>
          <w:sz w:val="32"/>
          <w:szCs w:val="32"/>
        </w:rPr>
        <w:t xml:space="preserve"> 对于未取得实施意见私自建设、未按照实施意见明确的设计方案建设或涉及其他违法行为的，由相关部门按照各自职责分工开展监管。</w:t>
      </w:r>
      <w:bookmarkEnd w:id="9"/>
    </w:p>
    <w:p w14:paraId="4A981AD4">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val="en-US" w:eastAsia="zh-CN"/>
        </w:rPr>
        <w:t>六</w:t>
      </w:r>
      <w:r>
        <w:rPr>
          <w:rFonts w:hint="eastAsia" w:ascii="黑体" w:hAnsi="黑体" w:eastAsia="黑体"/>
          <w:color w:val="auto"/>
          <w:sz w:val="32"/>
          <w:szCs w:val="32"/>
        </w:rPr>
        <w:t>条</w:t>
      </w:r>
      <w:r>
        <w:rPr>
          <w:rFonts w:hint="eastAsia" w:ascii="仿宋_GB2312" w:eastAsia="仿宋_GB2312"/>
          <w:color w:val="auto"/>
          <w:sz w:val="32"/>
          <w:szCs w:val="32"/>
        </w:rPr>
        <w:t xml:space="preserve"> 对改变机械式、简易自走式立体停车设备用途的行为，由城市管理综合执法部门指导街道办事处、乡镇人民政府按照《北京市机动车停车条例》第三十三条有关规定处理。</w:t>
      </w:r>
    </w:p>
    <w:p w14:paraId="484A0265">
      <w:pPr>
        <w:spacing w:line="560" w:lineRule="exact"/>
        <w:contextualSpacing/>
        <w:jc w:val="center"/>
        <w:rPr>
          <w:rFonts w:ascii="黑体" w:hAnsi="黑体" w:eastAsia="黑体"/>
          <w:color w:val="auto"/>
          <w:sz w:val="32"/>
          <w:szCs w:val="32"/>
        </w:rPr>
      </w:pPr>
      <w:r>
        <w:rPr>
          <w:rFonts w:hint="eastAsia" w:ascii="黑体" w:hAnsi="黑体" w:eastAsia="黑体"/>
          <w:color w:val="auto"/>
          <w:sz w:val="32"/>
          <w:szCs w:val="32"/>
        </w:rPr>
        <w:t>第六章 附则</w:t>
      </w:r>
    </w:p>
    <w:p w14:paraId="5A4AAC30">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三十七</w:t>
      </w:r>
      <w:r>
        <w:rPr>
          <w:rFonts w:hint="eastAsia" w:ascii="黑体" w:hAnsi="黑体" w:eastAsia="黑体"/>
          <w:color w:val="auto"/>
          <w:sz w:val="32"/>
          <w:szCs w:val="32"/>
        </w:rPr>
        <w:t>条</w:t>
      </w:r>
      <w:r>
        <w:rPr>
          <w:rFonts w:hint="eastAsia" w:ascii="仿宋_GB2312" w:eastAsia="仿宋_GB2312"/>
          <w:color w:val="auto"/>
          <w:sz w:val="32"/>
          <w:szCs w:val="32"/>
        </w:rPr>
        <w:t xml:space="preserve"> 本办法所称的机械式停车设备是指利用地上空间，通过机械搬运的方式实现汽车立体停放的设备；简易自走式立体停车设备是指利用地上空间，以钢结构为主体，车辆通过多层停车空间之间衔接通道直接驶入（出）停车泊位，从而实现车辆停放的停车设备。</w:t>
      </w:r>
    </w:p>
    <w:p w14:paraId="7DBCA2EC">
      <w:pPr>
        <w:spacing w:line="560" w:lineRule="exact"/>
        <w:ind w:firstLine="640" w:firstLineChars="200"/>
        <w:contextualSpacing/>
        <w:rPr>
          <w:rFonts w:ascii="仿宋_GB2312" w:eastAsia="仿宋_GB2312"/>
          <w:color w:val="auto"/>
          <w:sz w:val="32"/>
          <w:szCs w:val="32"/>
        </w:rPr>
      </w:pPr>
      <w:r>
        <w:rPr>
          <w:rFonts w:hint="eastAsia" w:ascii="仿宋_GB2312" w:hAnsi="仿宋_GB2312" w:eastAsia="仿宋_GB2312" w:cs="仿宋_GB2312"/>
          <w:color w:val="auto"/>
          <w:sz w:val="32"/>
          <w:szCs w:val="32"/>
        </w:rPr>
        <w:t>本办法所称的项目法人单位是指投资建设机械式、简易自走式立体停车</w:t>
      </w:r>
      <w:r>
        <w:rPr>
          <w:rFonts w:hint="eastAsia" w:ascii="仿宋_GB2312" w:eastAsia="仿宋_GB2312"/>
          <w:color w:val="auto"/>
          <w:sz w:val="32"/>
          <w:szCs w:val="32"/>
        </w:rPr>
        <w:t>设备</w:t>
      </w:r>
      <w:r>
        <w:rPr>
          <w:rFonts w:hint="eastAsia" w:ascii="仿宋_GB2312" w:hAnsi="仿宋_GB2312" w:eastAsia="仿宋_GB2312" w:cs="仿宋_GB2312"/>
          <w:color w:val="auto"/>
          <w:sz w:val="32"/>
          <w:szCs w:val="32"/>
        </w:rPr>
        <w:t>的责任主体，土地权属单位是指停车</w:t>
      </w:r>
      <w:r>
        <w:rPr>
          <w:rFonts w:hint="eastAsia" w:ascii="仿宋_GB2312" w:eastAsia="仿宋_GB2312"/>
          <w:color w:val="auto"/>
          <w:sz w:val="32"/>
          <w:szCs w:val="32"/>
        </w:rPr>
        <w:t>设备</w:t>
      </w:r>
      <w:r>
        <w:rPr>
          <w:rFonts w:hint="eastAsia" w:ascii="仿宋_GB2312" w:hAnsi="仿宋_GB2312" w:eastAsia="仿宋_GB2312" w:cs="仿宋_GB2312"/>
          <w:color w:val="auto"/>
          <w:sz w:val="32"/>
          <w:szCs w:val="32"/>
        </w:rPr>
        <w:t>用地产权方，运营管理单位是指停车</w:t>
      </w:r>
      <w:r>
        <w:rPr>
          <w:rFonts w:hint="eastAsia" w:ascii="仿宋_GB2312" w:eastAsia="仿宋_GB2312"/>
          <w:color w:val="auto"/>
          <w:sz w:val="32"/>
          <w:szCs w:val="32"/>
        </w:rPr>
        <w:t>设备</w:t>
      </w:r>
      <w:r>
        <w:rPr>
          <w:rFonts w:hint="eastAsia" w:ascii="仿宋_GB2312" w:hAnsi="仿宋_GB2312" w:eastAsia="仿宋_GB2312" w:cs="仿宋_GB2312"/>
          <w:color w:val="auto"/>
          <w:sz w:val="32"/>
          <w:szCs w:val="32"/>
        </w:rPr>
        <w:t>运营管理方。</w:t>
      </w:r>
    </w:p>
    <w:p w14:paraId="48C330BE">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三十八</w:t>
      </w:r>
      <w:r>
        <w:rPr>
          <w:rFonts w:hint="eastAsia" w:ascii="黑体" w:hAnsi="黑体" w:eastAsia="黑体"/>
          <w:color w:val="auto"/>
          <w:sz w:val="32"/>
          <w:szCs w:val="32"/>
        </w:rPr>
        <w:t xml:space="preserve">条 </w:t>
      </w:r>
      <w:r>
        <w:rPr>
          <w:rFonts w:hint="eastAsia" w:ascii="仿宋_GB2312" w:eastAsia="仿宋_GB2312"/>
          <w:color w:val="auto"/>
          <w:sz w:val="32"/>
          <w:szCs w:val="32"/>
        </w:rPr>
        <w:t>各区政府、相关主管部门可根据本办法制定有关实施办法或者实施细则。</w:t>
      </w:r>
    </w:p>
    <w:p w14:paraId="0331D05B">
      <w:pPr>
        <w:spacing w:line="560" w:lineRule="exact"/>
        <w:ind w:firstLine="640" w:firstLineChars="200"/>
        <w:contextualSpacing/>
        <w:rPr>
          <w:rFonts w:ascii="仿宋_GB2312"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val="en-US" w:eastAsia="zh-CN"/>
        </w:rPr>
        <w:t>三十九</w:t>
      </w:r>
      <w:r>
        <w:rPr>
          <w:rFonts w:hint="eastAsia" w:ascii="黑体" w:hAnsi="黑体" w:eastAsia="黑体"/>
          <w:color w:val="auto"/>
          <w:sz w:val="32"/>
          <w:szCs w:val="32"/>
        </w:rPr>
        <w:t>条</w:t>
      </w:r>
      <w:r>
        <w:rPr>
          <w:rFonts w:hint="eastAsia" w:ascii="仿宋_GB2312" w:eastAsia="仿宋_GB2312"/>
          <w:color w:val="auto"/>
          <w:sz w:val="32"/>
          <w:szCs w:val="32"/>
        </w:rPr>
        <w:t xml:space="preserve"> </w:t>
      </w:r>
      <w:bookmarkStart w:id="10" w:name="OLE_LINK1"/>
      <w:r>
        <w:rPr>
          <w:rFonts w:hint="eastAsia" w:ascii="仿宋_GB2312" w:eastAsia="仿宋_GB2312"/>
          <w:color w:val="auto"/>
          <w:sz w:val="32"/>
          <w:szCs w:val="32"/>
        </w:rPr>
        <w:t>本办法自印发之日起实施</w:t>
      </w:r>
      <w:bookmarkEnd w:id="10"/>
      <w:r>
        <w:rPr>
          <w:rFonts w:hint="eastAsia" w:ascii="仿宋_GB2312" w:eastAsia="仿宋_GB2312"/>
          <w:color w:val="auto"/>
          <w:sz w:val="32"/>
          <w:szCs w:val="32"/>
        </w:rPr>
        <w:t>，原有关文件规定与本办法不一致的，以本办法为准。</w:t>
      </w:r>
    </w:p>
    <w:p w14:paraId="2912D2AE">
      <w:pPr>
        <w:spacing w:line="560" w:lineRule="exact"/>
        <w:ind w:firstLine="640" w:firstLineChars="200"/>
        <w:contextualSpacing/>
        <w:rPr>
          <w:rFonts w:ascii="仿宋_GB2312" w:eastAsia="仿宋_GB2312"/>
          <w:color w:val="auto"/>
          <w:sz w:val="32"/>
          <w:szCs w:val="32"/>
        </w:rPr>
      </w:pPr>
      <w:r>
        <w:rPr>
          <w:rFonts w:hint="eastAsia" w:ascii="仿宋_GB2312" w:eastAsia="仿宋_GB2312"/>
          <w:color w:val="auto"/>
          <w:sz w:val="32"/>
          <w:szCs w:val="32"/>
        </w:rPr>
        <w:t>在具体应用中产生的问题，由市交通运输部门会同相关部门按职责分工负责解释。</w:t>
      </w:r>
      <w:r>
        <w:rPr>
          <w:rFonts w:hint="eastAsia" w:ascii="仿宋_GB2312" w:eastAsia="仿宋_GB2312"/>
          <w:color w:val="auto"/>
          <w:sz w:val="32"/>
          <w:szCs w:val="32"/>
        </w:rPr>
        <w:br w:type="page"/>
      </w:r>
    </w:p>
    <w:p w14:paraId="522929B7">
      <w:pPr>
        <w:widowControl/>
        <w:spacing w:line="560" w:lineRule="exact"/>
        <w:contextualSpacing/>
        <w:jc w:val="left"/>
        <w:rPr>
          <w:rFonts w:ascii="仿宋_GB2312" w:eastAsia="仿宋_GB2312"/>
          <w:color w:val="auto"/>
          <w:sz w:val="32"/>
          <w:szCs w:val="32"/>
        </w:rPr>
      </w:pPr>
      <w:r>
        <w:rPr>
          <w:rFonts w:hint="eastAsia" w:ascii="仿宋_GB2312" w:eastAsia="仿宋_GB2312"/>
          <w:color w:val="auto"/>
          <w:sz w:val="32"/>
          <w:szCs w:val="32"/>
        </w:rPr>
        <w:t>附件</w:t>
      </w:r>
    </w:p>
    <w:p w14:paraId="10322D6C">
      <w:pPr>
        <w:widowControl/>
        <w:spacing w:line="560" w:lineRule="exact"/>
        <w:contextualSpacing/>
        <w:jc w:val="center"/>
        <w:rPr>
          <w:rFonts w:ascii="方正小标宋简体" w:eastAsia="方正小标宋简体"/>
          <w:color w:val="auto"/>
          <w:sz w:val="44"/>
          <w:szCs w:val="44"/>
        </w:rPr>
      </w:pPr>
      <w:r>
        <w:rPr>
          <w:rFonts w:hint="eastAsia" w:ascii="方正小标宋简体" w:eastAsia="方正小标宋简体"/>
          <w:color w:val="auto"/>
          <w:sz w:val="44"/>
          <w:szCs w:val="44"/>
        </w:rPr>
        <w:t>机械式、简易自走式立体停车设备</w:t>
      </w:r>
    </w:p>
    <w:p w14:paraId="700536D6">
      <w:pPr>
        <w:widowControl/>
        <w:spacing w:line="560" w:lineRule="exact"/>
        <w:contextualSpacing/>
        <w:jc w:val="center"/>
        <w:rPr>
          <w:rFonts w:ascii="方正小标宋简体" w:eastAsia="方正小标宋简体"/>
          <w:color w:val="auto"/>
          <w:sz w:val="44"/>
          <w:szCs w:val="44"/>
        </w:rPr>
      </w:pPr>
      <w:bookmarkStart w:id="11" w:name="OLE_LINK2"/>
      <w:r>
        <w:rPr>
          <w:rFonts w:hint="eastAsia" w:ascii="方正小标宋简体" w:eastAsia="方正小标宋简体"/>
          <w:color w:val="auto"/>
          <w:sz w:val="44"/>
          <w:szCs w:val="44"/>
        </w:rPr>
        <w:t>可用地类型</w:t>
      </w:r>
      <w:bookmarkEnd w:id="11"/>
      <w:r>
        <w:rPr>
          <w:rFonts w:hint="eastAsia" w:ascii="方正小标宋简体" w:eastAsia="方正小标宋简体"/>
          <w:color w:val="auto"/>
          <w:sz w:val="44"/>
          <w:szCs w:val="44"/>
        </w:rPr>
        <w:t>清单</w:t>
      </w:r>
    </w:p>
    <w:tbl>
      <w:tblPr>
        <w:tblStyle w:val="22"/>
        <w:tblW w:w="9512"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1120"/>
        <w:gridCol w:w="837"/>
        <w:gridCol w:w="2520"/>
        <w:gridCol w:w="977"/>
        <w:gridCol w:w="3220"/>
      </w:tblGrid>
      <w:tr w14:paraId="50D00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 w:hRule="atLeast"/>
        </w:trPr>
        <w:tc>
          <w:tcPr>
            <w:tcW w:w="1958" w:type="dxa"/>
            <w:gridSpan w:val="2"/>
            <w:tcBorders>
              <w:top w:val="single" w:color="000000" w:sz="2" w:space="0"/>
              <w:bottom w:val="single" w:color="000000" w:sz="2" w:space="0"/>
            </w:tcBorders>
            <w:vAlign w:val="center"/>
          </w:tcPr>
          <w:p w14:paraId="1315AF33">
            <w:pPr>
              <w:spacing w:after="0" w:line="360" w:lineRule="exact"/>
              <w:contextualSpacing/>
              <w:jc w:val="center"/>
              <w:rPr>
                <w:rFonts w:ascii="仿宋_GB2312" w:hAnsi="MS Gothic" w:eastAsia="仿宋_GB2312" w:cs="MS Gothic"/>
                <w:b/>
                <w:bCs/>
                <w:snapToGrid w:val="0"/>
                <w:color w:val="auto"/>
                <w:sz w:val="24"/>
                <w:szCs w:val="24"/>
                <w:lang w:eastAsia="en-US"/>
              </w:rPr>
            </w:pPr>
            <w:r>
              <w:rPr>
                <w:rFonts w:hint="eastAsia" w:ascii="仿宋_GB2312" w:hAnsi="宋体" w:eastAsia="仿宋_GB2312" w:cs="宋体"/>
                <w:b/>
                <w:bCs/>
                <w:snapToGrid w:val="0"/>
                <w:color w:val="auto"/>
                <w:sz w:val="24"/>
                <w:szCs w:val="24"/>
                <w:lang w:eastAsia="en-US"/>
              </w:rPr>
              <w:t>一级类</w:t>
            </w:r>
          </w:p>
        </w:tc>
        <w:tc>
          <w:tcPr>
            <w:tcW w:w="3357" w:type="dxa"/>
            <w:gridSpan w:val="2"/>
            <w:tcBorders>
              <w:top w:val="single" w:color="000000" w:sz="2" w:space="0"/>
              <w:bottom w:val="single" w:color="000000" w:sz="2" w:space="0"/>
            </w:tcBorders>
            <w:vAlign w:val="center"/>
          </w:tcPr>
          <w:p w14:paraId="41EEE9F4">
            <w:pPr>
              <w:spacing w:after="0" w:line="360" w:lineRule="exact"/>
              <w:contextualSpacing/>
              <w:jc w:val="center"/>
              <w:rPr>
                <w:rFonts w:ascii="仿宋_GB2312" w:hAnsi="宋体" w:eastAsia="仿宋_GB2312" w:cs="宋体"/>
                <w:b/>
                <w:bCs/>
                <w:snapToGrid w:val="0"/>
                <w:color w:val="auto"/>
                <w:sz w:val="24"/>
                <w:szCs w:val="24"/>
                <w:lang w:eastAsia="en-US"/>
              </w:rPr>
            </w:pPr>
            <w:r>
              <w:rPr>
                <w:rFonts w:hint="eastAsia" w:ascii="仿宋_GB2312" w:hAnsi="宋体" w:eastAsia="仿宋_GB2312" w:cs="宋体"/>
                <w:b/>
                <w:bCs/>
                <w:snapToGrid w:val="0"/>
                <w:color w:val="auto"/>
                <w:sz w:val="24"/>
                <w:szCs w:val="24"/>
                <w:lang w:eastAsia="en-US"/>
              </w:rPr>
              <w:t>二级类</w:t>
            </w:r>
          </w:p>
        </w:tc>
        <w:tc>
          <w:tcPr>
            <w:tcW w:w="4197" w:type="dxa"/>
            <w:gridSpan w:val="2"/>
            <w:tcBorders>
              <w:top w:val="single" w:color="000000" w:sz="2" w:space="0"/>
              <w:bottom w:val="single" w:color="000000" w:sz="2" w:space="0"/>
            </w:tcBorders>
            <w:vAlign w:val="center"/>
          </w:tcPr>
          <w:p w14:paraId="059218D9">
            <w:pPr>
              <w:spacing w:after="0" w:line="360" w:lineRule="exact"/>
              <w:contextualSpacing/>
              <w:jc w:val="center"/>
              <w:rPr>
                <w:rFonts w:ascii="仿宋_GB2312" w:hAnsi="宋体" w:eastAsia="仿宋_GB2312" w:cs="宋体"/>
                <w:b/>
                <w:bCs/>
                <w:snapToGrid w:val="0"/>
                <w:color w:val="auto"/>
                <w:sz w:val="24"/>
                <w:szCs w:val="24"/>
                <w:lang w:eastAsia="en-US"/>
              </w:rPr>
            </w:pPr>
            <w:r>
              <w:rPr>
                <w:rFonts w:hint="eastAsia" w:ascii="仿宋_GB2312" w:hAnsi="宋体" w:eastAsia="仿宋_GB2312" w:cs="宋体"/>
                <w:b/>
                <w:bCs/>
                <w:snapToGrid w:val="0"/>
                <w:color w:val="auto"/>
                <w:sz w:val="24"/>
                <w:szCs w:val="24"/>
                <w:lang w:eastAsia="en-US"/>
              </w:rPr>
              <w:t>三级类</w:t>
            </w:r>
          </w:p>
        </w:tc>
      </w:tr>
      <w:tr w14:paraId="58157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838" w:type="dxa"/>
            <w:tcBorders>
              <w:top w:val="single" w:color="000000" w:sz="2" w:space="0"/>
              <w:bottom w:val="single" w:color="000000" w:sz="2" w:space="0"/>
            </w:tcBorders>
            <w:vAlign w:val="center"/>
          </w:tcPr>
          <w:p w14:paraId="571737C8">
            <w:pPr>
              <w:spacing w:after="0" w:line="360" w:lineRule="exact"/>
              <w:contextualSpacing/>
              <w:jc w:val="center"/>
              <w:rPr>
                <w:rFonts w:ascii="仿宋_GB2312" w:hAnsi="宋体" w:eastAsia="仿宋_GB2312" w:cs="宋体"/>
                <w:b/>
                <w:bCs/>
                <w:snapToGrid w:val="0"/>
                <w:color w:val="auto"/>
                <w:sz w:val="24"/>
                <w:szCs w:val="24"/>
                <w:lang w:eastAsia="en-US"/>
              </w:rPr>
            </w:pPr>
            <w:r>
              <w:rPr>
                <w:rFonts w:hint="eastAsia" w:ascii="仿宋_GB2312" w:hAnsi="宋体" w:eastAsia="仿宋_GB2312" w:cs="宋体"/>
                <w:b/>
                <w:bCs/>
                <w:snapToGrid w:val="0"/>
                <w:color w:val="auto"/>
                <w:sz w:val="24"/>
                <w:szCs w:val="24"/>
                <w:lang w:eastAsia="en-US"/>
              </w:rPr>
              <w:t>代码</w:t>
            </w:r>
          </w:p>
        </w:tc>
        <w:tc>
          <w:tcPr>
            <w:tcW w:w="1120" w:type="dxa"/>
            <w:tcBorders>
              <w:top w:val="single" w:color="000000" w:sz="2" w:space="0"/>
              <w:bottom w:val="single" w:color="000000" w:sz="2" w:space="0"/>
            </w:tcBorders>
            <w:vAlign w:val="center"/>
          </w:tcPr>
          <w:p w14:paraId="30C3CA59">
            <w:pPr>
              <w:spacing w:after="0" w:line="360" w:lineRule="exact"/>
              <w:contextualSpacing/>
              <w:jc w:val="center"/>
              <w:rPr>
                <w:rFonts w:ascii="仿宋_GB2312" w:hAnsi="MS Gothic" w:eastAsia="仿宋_GB2312" w:cs="MS Gothic"/>
                <w:b/>
                <w:bCs/>
                <w:snapToGrid w:val="0"/>
                <w:color w:val="auto"/>
                <w:sz w:val="24"/>
                <w:szCs w:val="24"/>
                <w:lang w:eastAsia="en-US"/>
              </w:rPr>
            </w:pPr>
            <w:r>
              <w:rPr>
                <w:rFonts w:hint="eastAsia" w:ascii="仿宋_GB2312" w:hAnsi="宋体" w:eastAsia="仿宋_GB2312" w:cs="宋体"/>
                <w:b/>
                <w:bCs/>
                <w:snapToGrid w:val="0"/>
                <w:color w:val="auto"/>
                <w:sz w:val="24"/>
                <w:szCs w:val="24"/>
                <w:lang w:eastAsia="en-US"/>
              </w:rPr>
              <w:t>名称</w:t>
            </w:r>
          </w:p>
        </w:tc>
        <w:tc>
          <w:tcPr>
            <w:tcW w:w="837" w:type="dxa"/>
            <w:tcBorders>
              <w:top w:val="single" w:color="000000" w:sz="2" w:space="0"/>
              <w:bottom w:val="single" w:color="000000" w:sz="2" w:space="0"/>
            </w:tcBorders>
            <w:vAlign w:val="center"/>
          </w:tcPr>
          <w:p w14:paraId="6236983D">
            <w:pPr>
              <w:spacing w:after="0" w:line="360" w:lineRule="exact"/>
              <w:contextualSpacing/>
              <w:jc w:val="center"/>
              <w:rPr>
                <w:rFonts w:ascii="仿宋_GB2312" w:hAnsi="宋体" w:eastAsia="仿宋_GB2312" w:cs="宋体"/>
                <w:b/>
                <w:bCs/>
                <w:snapToGrid w:val="0"/>
                <w:color w:val="auto"/>
                <w:sz w:val="24"/>
                <w:szCs w:val="24"/>
                <w:lang w:eastAsia="en-US"/>
              </w:rPr>
            </w:pPr>
            <w:r>
              <w:rPr>
                <w:rFonts w:hint="eastAsia" w:ascii="仿宋_GB2312" w:hAnsi="宋体" w:eastAsia="仿宋_GB2312" w:cs="宋体"/>
                <w:b/>
                <w:bCs/>
                <w:snapToGrid w:val="0"/>
                <w:color w:val="auto"/>
                <w:sz w:val="24"/>
                <w:szCs w:val="24"/>
                <w:lang w:eastAsia="en-US"/>
              </w:rPr>
              <w:t>代码</w:t>
            </w:r>
          </w:p>
        </w:tc>
        <w:tc>
          <w:tcPr>
            <w:tcW w:w="2520" w:type="dxa"/>
            <w:tcBorders>
              <w:top w:val="single" w:color="000000" w:sz="2" w:space="0"/>
              <w:bottom w:val="single" w:color="000000" w:sz="2" w:space="0"/>
            </w:tcBorders>
            <w:vAlign w:val="center"/>
          </w:tcPr>
          <w:p w14:paraId="637B492E">
            <w:pPr>
              <w:spacing w:after="0" w:line="360" w:lineRule="exact"/>
              <w:contextualSpacing/>
              <w:jc w:val="center"/>
              <w:rPr>
                <w:rFonts w:ascii="仿宋_GB2312" w:hAnsi="MS Gothic" w:eastAsia="仿宋_GB2312" w:cs="MS Gothic"/>
                <w:b/>
                <w:bCs/>
                <w:snapToGrid w:val="0"/>
                <w:color w:val="auto"/>
                <w:sz w:val="24"/>
                <w:szCs w:val="24"/>
                <w:lang w:eastAsia="en-US"/>
              </w:rPr>
            </w:pPr>
            <w:r>
              <w:rPr>
                <w:rFonts w:hint="eastAsia" w:ascii="仿宋_GB2312" w:hAnsi="宋体" w:eastAsia="仿宋_GB2312" w:cs="宋体"/>
                <w:b/>
                <w:bCs/>
                <w:snapToGrid w:val="0"/>
                <w:color w:val="auto"/>
                <w:sz w:val="24"/>
                <w:szCs w:val="24"/>
                <w:lang w:eastAsia="en-US"/>
              </w:rPr>
              <w:t>名称</w:t>
            </w:r>
          </w:p>
        </w:tc>
        <w:tc>
          <w:tcPr>
            <w:tcW w:w="977" w:type="dxa"/>
            <w:tcBorders>
              <w:top w:val="single" w:color="000000" w:sz="2" w:space="0"/>
              <w:bottom w:val="single" w:color="000000" w:sz="2" w:space="0"/>
            </w:tcBorders>
            <w:vAlign w:val="center"/>
          </w:tcPr>
          <w:p w14:paraId="0BB34E91">
            <w:pPr>
              <w:spacing w:after="0" w:line="360" w:lineRule="exact"/>
              <w:contextualSpacing/>
              <w:jc w:val="center"/>
              <w:rPr>
                <w:rFonts w:ascii="仿宋_GB2312" w:hAnsi="MS Gothic" w:eastAsia="仿宋_GB2312" w:cs="MS Gothic"/>
                <w:b/>
                <w:bCs/>
                <w:snapToGrid w:val="0"/>
                <w:color w:val="auto"/>
                <w:sz w:val="24"/>
                <w:szCs w:val="24"/>
                <w:lang w:eastAsia="en-US"/>
              </w:rPr>
            </w:pPr>
            <w:r>
              <w:rPr>
                <w:rFonts w:hint="eastAsia" w:ascii="仿宋_GB2312" w:hAnsi="宋体" w:eastAsia="仿宋_GB2312" w:cs="宋体"/>
                <w:b/>
                <w:bCs/>
                <w:snapToGrid w:val="0"/>
                <w:color w:val="auto"/>
                <w:sz w:val="24"/>
                <w:szCs w:val="24"/>
                <w:lang w:eastAsia="en-US"/>
              </w:rPr>
              <w:t>代码</w:t>
            </w:r>
          </w:p>
        </w:tc>
        <w:tc>
          <w:tcPr>
            <w:tcW w:w="3220" w:type="dxa"/>
            <w:tcBorders>
              <w:top w:val="single" w:color="000000" w:sz="2" w:space="0"/>
              <w:bottom w:val="single" w:color="000000" w:sz="2" w:space="0"/>
            </w:tcBorders>
            <w:vAlign w:val="center"/>
          </w:tcPr>
          <w:p w14:paraId="78D9D6E1">
            <w:pPr>
              <w:spacing w:after="0" w:line="360" w:lineRule="exact"/>
              <w:contextualSpacing/>
              <w:jc w:val="center"/>
              <w:rPr>
                <w:rFonts w:ascii="仿宋_GB2312" w:hAnsi="MS Gothic" w:eastAsia="仿宋_GB2312" w:cs="MS Gothic"/>
                <w:b/>
                <w:bCs/>
                <w:snapToGrid w:val="0"/>
                <w:color w:val="auto"/>
                <w:sz w:val="24"/>
                <w:szCs w:val="24"/>
                <w:lang w:eastAsia="en-US"/>
              </w:rPr>
            </w:pPr>
            <w:r>
              <w:rPr>
                <w:rFonts w:hint="eastAsia" w:ascii="仿宋_GB2312" w:hAnsi="宋体" w:eastAsia="仿宋_GB2312" w:cs="宋体"/>
                <w:b/>
                <w:bCs/>
                <w:snapToGrid w:val="0"/>
                <w:color w:val="auto"/>
                <w:sz w:val="24"/>
                <w:szCs w:val="24"/>
                <w:lang w:eastAsia="en-US"/>
              </w:rPr>
              <w:t>名称</w:t>
            </w:r>
          </w:p>
        </w:tc>
      </w:tr>
      <w:tr w14:paraId="61C77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38" w:type="dxa"/>
            <w:vMerge w:val="restart"/>
            <w:tcBorders>
              <w:top w:val="single" w:color="000000" w:sz="2" w:space="0"/>
              <w:bottom w:val="nil"/>
            </w:tcBorders>
            <w:vAlign w:val="center"/>
          </w:tcPr>
          <w:p w14:paraId="4B7CC329">
            <w:pPr>
              <w:spacing w:after="0" w:line="36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07</w:t>
            </w:r>
          </w:p>
        </w:tc>
        <w:tc>
          <w:tcPr>
            <w:tcW w:w="1120" w:type="dxa"/>
            <w:vMerge w:val="restart"/>
            <w:tcBorders>
              <w:top w:val="single" w:color="000000" w:sz="2" w:space="0"/>
              <w:bottom w:val="nil"/>
            </w:tcBorders>
            <w:vAlign w:val="center"/>
          </w:tcPr>
          <w:p w14:paraId="0C57DB0F">
            <w:pPr>
              <w:spacing w:after="0" w:line="36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居住用地</w:t>
            </w:r>
          </w:p>
        </w:tc>
        <w:tc>
          <w:tcPr>
            <w:tcW w:w="837" w:type="dxa"/>
            <w:vMerge w:val="restart"/>
            <w:tcBorders>
              <w:top w:val="single" w:color="000000" w:sz="2" w:space="0"/>
              <w:bottom w:val="nil"/>
            </w:tcBorders>
            <w:vAlign w:val="center"/>
          </w:tcPr>
          <w:p w14:paraId="217B75CA">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0701</w:t>
            </w:r>
          </w:p>
        </w:tc>
        <w:tc>
          <w:tcPr>
            <w:tcW w:w="2520" w:type="dxa"/>
            <w:vMerge w:val="restart"/>
            <w:tcBorders>
              <w:top w:val="single" w:color="000000" w:sz="2" w:space="0"/>
              <w:bottom w:val="nil"/>
            </w:tcBorders>
            <w:vAlign w:val="center"/>
          </w:tcPr>
          <w:p w14:paraId="186287B9">
            <w:pPr>
              <w:spacing w:after="0" w:line="36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城镇住宅用地</w:t>
            </w:r>
          </w:p>
        </w:tc>
        <w:tc>
          <w:tcPr>
            <w:tcW w:w="977" w:type="dxa"/>
            <w:tcBorders>
              <w:top w:val="single" w:color="000000" w:sz="2" w:space="0"/>
              <w:bottom w:val="single" w:color="000000" w:sz="2" w:space="0"/>
            </w:tcBorders>
            <w:vAlign w:val="center"/>
          </w:tcPr>
          <w:p w14:paraId="16FD86AC">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070101</w:t>
            </w:r>
          </w:p>
        </w:tc>
        <w:tc>
          <w:tcPr>
            <w:tcW w:w="3220" w:type="dxa"/>
            <w:tcBorders>
              <w:top w:val="single" w:color="000000" w:sz="2" w:space="0"/>
              <w:bottom w:val="single" w:color="000000" w:sz="2" w:space="0"/>
            </w:tcBorders>
            <w:vAlign w:val="center"/>
          </w:tcPr>
          <w:p w14:paraId="17242C62">
            <w:pPr>
              <w:spacing w:after="0" w:line="36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一类城镇住宅用地</w:t>
            </w:r>
          </w:p>
        </w:tc>
      </w:tr>
      <w:tr w14:paraId="496E6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838" w:type="dxa"/>
            <w:vMerge w:val="continue"/>
            <w:tcBorders>
              <w:top w:val="nil"/>
              <w:bottom w:val="nil"/>
            </w:tcBorders>
            <w:vAlign w:val="center"/>
          </w:tcPr>
          <w:p w14:paraId="3B7CF292">
            <w:pPr>
              <w:pStyle w:val="23"/>
              <w:snapToGrid/>
              <w:spacing w:after="0" w:line="360" w:lineRule="exact"/>
              <w:contextualSpacing/>
              <w:jc w:val="center"/>
              <w:rPr>
                <w:rFonts w:ascii="仿宋_GB2312" w:eastAsia="仿宋_GB2312"/>
                <w:color w:val="auto"/>
                <w:sz w:val="24"/>
                <w:szCs w:val="24"/>
              </w:rPr>
            </w:pPr>
          </w:p>
        </w:tc>
        <w:tc>
          <w:tcPr>
            <w:tcW w:w="1120" w:type="dxa"/>
            <w:vMerge w:val="continue"/>
            <w:tcBorders>
              <w:top w:val="nil"/>
              <w:bottom w:val="nil"/>
            </w:tcBorders>
            <w:vAlign w:val="center"/>
          </w:tcPr>
          <w:p w14:paraId="4372AF5E">
            <w:pPr>
              <w:pStyle w:val="23"/>
              <w:snapToGrid/>
              <w:spacing w:after="0" w:line="360" w:lineRule="exact"/>
              <w:contextualSpacing/>
              <w:jc w:val="center"/>
              <w:rPr>
                <w:rFonts w:ascii="仿宋_GB2312" w:eastAsia="仿宋_GB2312"/>
                <w:color w:val="auto"/>
                <w:sz w:val="24"/>
                <w:szCs w:val="24"/>
              </w:rPr>
            </w:pPr>
          </w:p>
        </w:tc>
        <w:tc>
          <w:tcPr>
            <w:tcW w:w="837" w:type="dxa"/>
            <w:vMerge w:val="continue"/>
            <w:tcBorders>
              <w:top w:val="nil"/>
              <w:bottom w:val="nil"/>
            </w:tcBorders>
            <w:vAlign w:val="center"/>
          </w:tcPr>
          <w:p w14:paraId="21BE8B4F">
            <w:pPr>
              <w:pStyle w:val="23"/>
              <w:snapToGrid/>
              <w:spacing w:after="0" w:line="360" w:lineRule="exact"/>
              <w:contextualSpacing/>
              <w:jc w:val="center"/>
              <w:rPr>
                <w:rFonts w:ascii="仿宋_GB2312" w:eastAsia="仿宋_GB2312"/>
                <w:color w:val="auto"/>
                <w:sz w:val="24"/>
                <w:szCs w:val="24"/>
              </w:rPr>
            </w:pPr>
          </w:p>
        </w:tc>
        <w:tc>
          <w:tcPr>
            <w:tcW w:w="2520" w:type="dxa"/>
            <w:vMerge w:val="continue"/>
            <w:tcBorders>
              <w:top w:val="nil"/>
              <w:bottom w:val="nil"/>
            </w:tcBorders>
            <w:vAlign w:val="center"/>
          </w:tcPr>
          <w:p w14:paraId="25F3073B">
            <w:pPr>
              <w:pStyle w:val="23"/>
              <w:snapToGrid/>
              <w:spacing w:after="0" w:line="360" w:lineRule="exact"/>
              <w:contextualSpacing/>
              <w:jc w:val="center"/>
              <w:rPr>
                <w:rFonts w:ascii="仿宋_GB2312" w:eastAsia="仿宋_GB2312"/>
                <w:color w:val="auto"/>
                <w:sz w:val="24"/>
                <w:szCs w:val="24"/>
              </w:rPr>
            </w:pPr>
          </w:p>
        </w:tc>
        <w:tc>
          <w:tcPr>
            <w:tcW w:w="977" w:type="dxa"/>
            <w:tcBorders>
              <w:top w:val="single" w:color="000000" w:sz="2" w:space="0"/>
              <w:bottom w:val="single" w:color="000000" w:sz="2" w:space="0"/>
            </w:tcBorders>
            <w:vAlign w:val="center"/>
          </w:tcPr>
          <w:p w14:paraId="77691861">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070102</w:t>
            </w:r>
          </w:p>
        </w:tc>
        <w:tc>
          <w:tcPr>
            <w:tcW w:w="3220" w:type="dxa"/>
            <w:tcBorders>
              <w:top w:val="single" w:color="000000" w:sz="2" w:space="0"/>
              <w:bottom w:val="single" w:color="000000" w:sz="2" w:space="0"/>
            </w:tcBorders>
            <w:vAlign w:val="center"/>
          </w:tcPr>
          <w:p w14:paraId="15D9390D">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二类城镇住宅用地</w:t>
            </w:r>
          </w:p>
        </w:tc>
      </w:tr>
      <w:tr w14:paraId="7ADED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838" w:type="dxa"/>
            <w:vMerge w:val="continue"/>
            <w:tcBorders>
              <w:top w:val="nil"/>
              <w:bottom w:val="nil"/>
            </w:tcBorders>
            <w:vAlign w:val="center"/>
          </w:tcPr>
          <w:p w14:paraId="2C3CE7B7">
            <w:pPr>
              <w:pStyle w:val="23"/>
              <w:snapToGrid/>
              <w:spacing w:after="0" w:line="360" w:lineRule="exact"/>
              <w:contextualSpacing/>
              <w:jc w:val="center"/>
              <w:rPr>
                <w:rFonts w:ascii="仿宋_GB2312" w:eastAsia="仿宋_GB2312"/>
                <w:color w:val="auto"/>
                <w:sz w:val="24"/>
                <w:szCs w:val="24"/>
              </w:rPr>
            </w:pPr>
          </w:p>
        </w:tc>
        <w:tc>
          <w:tcPr>
            <w:tcW w:w="1120" w:type="dxa"/>
            <w:vMerge w:val="continue"/>
            <w:tcBorders>
              <w:top w:val="nil"/>
              <w:bottom w:val="nil"/>
            </w:tcBorders>
            <w:vAlign w:val="center"/>
          </w:tcPr>
          <w:p w14:paraId="37921DFD">
            <w:pPr>
              <w:pStyle w:val="23"/>
              <w:snapToGrid/>
              <w:spacing w:after="0" w:line="360" w:lineRule="exact"/>
              <w:contextualSpacing/>
              <w:jc w:val="center"/>
              <w:rPr>
                <w:rFonts w:ascii="仿宋_GB2312" w:eastAsia="仿宋_GB2312"/>
                <w:color w:val="auto"/>
                <w:sz w:val="24"/>
                <w:szCs w:val="24"/>
              </w:rPr>
            </w:pPr>
          </w:p>
        </w:tc>
        <w:tc>
          <w:tcPr>
            <w:tcW w:w="837" w:type="dxa"/>
            <w:vMerge w:val="continue"/>
            <w:tcBorders>
              <w:top w:val="nil"/>
              <w:bottom w:val="single" w:color="000000" w:sz="2" w:space="0"/>
            </w:tcBorders>
            <w:vAlign w:val="center"/>
          </w:tcPr>
          <w:p w14:paraId="7B9549D3">
            <w:pPr>
              <w:pStyle w:val="23"/>
              <w:snapToGrid/>
              <w:spacing w:after="0" w:line="360" w:lineRule="exact"/>
              <w:contextualSpacing/>
              <w:jc w:val="center"/>
              <w:rPr>
                <w:rFonts w:ascii="仿宋_GB2312" w:eastAsia="仿宋_GB2312"/>
                <w:color w:val="auto"/>
                <w:sz w:val="24"/>
                <w:szCs w:val="24"/>
              </w:rPr>
            </w:pPr>
          </w:p>
        </w:tc>
        <w:tc>
          <w:tcPr>
            <w:tcW w:w="2520" w:type="dxa"/>
            <w:vMerge w:val="continue"/>
            <w:tcBorders>
              <w:top w:val="nil"/>
              <w:bottom w:val="single" w:color="000000" w:sz="2" w:space="0"/>
            </w:tcBorders>
            <w:vAlign w:val="center"/>
          </w:tcPr>
          <w:p w14:paraId="293E1878">
            <w:pPr>
              <w:pStyle w:val="23"/>
              <w:snapToGrid/>
              <w:spacing w:after="0" w:line="360" w:lineRule="exact"/>
              <w:contextualSpacing/>
              <w:jc w:val="center"/>
              <w:rPr>
                <w:rFonts w:ascii="仿宋_GB2312" w:eastAsia="仿宋_GB2312"/>
                <w:color w:val="auto"/>
                <w:sz w:val="24"/>
                <w:szCs w:val="24"/>
              </w:rPr>
            </w:pPr>
          </w:p>
        </w:tc>
        <w:tc>
          <w:tcPr>
            <w:tcW w:w="977" w:type="dxa"/>
            <w:tcBorders>
              <w:top w:val="single" w:color="000000" w:sz="2" w:space="0"/>
              <w:bottom w:val="single" w:color="000000" w:sz="2" w:space="0"/>
            </w:tcBorders>
            <w:vAlign w:val="center"/>
          </w:tcPr>
          <w:p w14:paraId="4E3D6DF6">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070103</w:t>
            </w:r>
          </w:p>
        </w:tc>
        <w:tc>
          <w:tcPr>
            <w:tcW w:w="3220" w:type="dxa"/>
            <w:tcBorders>
              <w:top w:val="single" w:color="000000" w:sz="2" w:space="0"/>
              <w:bottom w:val="single" w:color="000000" w:sz="2" w:space="0"/>
            </w:tcBorders>
            <w:vAlign w:val="center"/>
          </w:tcPr>
          <w:p w14:paraId="25B06351">
            <w:pPr>
              <w:spacing w:after="0" w:line="36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三类城镇住宅用地</w:t>
            </w:r>
          </w:p>
        </w:tc>
      </w:tr>
      <w:tr w14:paraId="778FD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838" w:type="dxa"/>
            <w:vMerge w:val="continue"/>
            <w:tcBorders>
              <w:top w:val="nil"/>
              <w:bottom w:val="nil"/>
            </w:tcBorders>
            <w:vAlign w:val="center"/>
          </w:tcPr>
          <w:p w14:paraId="5129219B">
            <w:pPr>
              <w:pStyle w:val="23"/>
              <w:snapToGrid/>
              <w:spacing w:after="0" w:line="360" w:lineRule="exact"/>
              <w:contextualSpacing/>
              <w:jc w:val="center"/>
              <w:rPr>
                <w:rFonts w:ascii="仿宋_GB2312" w:eastAsia="仿宋_GB2312"/>
                <w:color w:val="auto"/>
                <w:sz w:val="24"/>
                <w:szCs w:val="24"/>
              </w:rPr>
            </w:pPr>
          </w:p>
        </w:tc>
        <w:tc>
          <w:tcPr>
            <w:tcW w:w="1120" w:type="dxa"/>
            <w:vMerge w:val="continue"/>
            <w:tcBorders>
              <w:top w:val="nil"/>
              <w:bottom w:val="nil"/>
            </w:tcBorders>
            <w:vAlign w:val="center"/>
          </w:tcPr>
          <w:p w14:paraId="31FB1858">
            <w:pPr>
              <w:pStyle w:val="23"/>
              <w:snapToGrid/>
              <w:spacing w:after="0" w:line="360" w:lineRule="exact"/>
              <w:contextualSpacing/>
              <w:jc w:val="center"/>
              <w:rPr>
                <w:rFonts w:ascii="仿宋_GB2312" w:eastAsia="仿宋_GB2312"/>
                <w:color w:val="auto"/>
                <w:sz w:val="24"/>
                <w:szCs w:val="24"/>
              </w:rPr>
            </w:pPr>
          </w:p>
        </w:tc>
        <w:tc>
          <w:tcPr>
            <w:tcW w:w="837" w:type="dxa"/>
            <w:tcBorders>
              <w:top w:val="single" w:color="000000" w:sz="2" w:space="0"/>
              <w:bottom w:val="single" w:color="000000" w:sz="2" w:space="0"/>
            </w:tcBorders>
            <w:vAlign w:val="center"/>
          </w:tcPr>
          <w:p w14:paraId="08E1A411">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0702</w:t>
            </w:r>
          </w:p>
        </w:tc>
        <w:tc>
          <w:tcPr>
            <w:tcW w:w="2520" w:type="dxa"/>
            <w:tcBorders>
              <w:top w:val="single" w:color="000000" w:sz="2" w:space="0"/>
              <w:bottom w:val="single" w:color="000000" w:sz="2" w:space="0"/>
            </w:tcBorders>
            <w:vAlign w:val="center"/>
          </w:tcPr>
          <w:p w14:paraId="535FC736">
            <w:pPr>
              <w:spacing w:after="0" w:line="36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城镇社区服务设施用地</w:t>
            </w:r>
          </w:p>
        </w:tc>
        <w:tc>
          <w:tcPr>
            <w:tcW w:w="977" w:type="dxa"/>
            <w:tcBorders>
              <w:top w:val="single" w:color="000000" w:sz="2" w:space="0"/>
              <w:bottom w:val="single" w:color="000000" w:sz="2" w:space="0"/>
            </w:tcBorders>
            <w:vAlign w:val="center"/>
          </w:tcPr>
          <w:p w14:paraId="1C6A54CF">
            <w:pPr>
              <w:spacing w:after="0" w:line="360" w:lineRule="exact"/>
              <w:contextualSpacing/>
              <w:jc w:val="center"/>
              <w:rPr>
                <w:rFonts w:ascii="仿宋_GB2312" w:hAnsi="宋体" w:eastAsia="仿宋_GB2312" w:cs="宋体"/>
                <w:snapToGrid w:val="0"/>
                <w:color w:val="auto"/>
                <w:sz w:val="24"/>
                <w:szCs w:val="24"/>
                <w:lang w:eastAsia="en-US"/>
              </w:rPr>
            </w:pPr>
          </w:p>
        </w:tc>
        <w:tc>
          <w:tcPr>
            <w:tcW w:w="3220" w:type="dxa"/>
            <w:tcBorders>
              <w:top w:val="single" w:color="000000" w:sz="2" w:space="0"/>
              <w:bottom w:val="single" w:color="000000" w:sz="2" w:space="0"/>
            </w:tcBorders>
            <w:vAlign w:val="center"/>
          </w:tcPr>
          <w:p w14:paraId="36445C25">
            <w:pPr>
              <w:spacing w:after="0" w:line="360" w:lineRule="exact"/>
              <w:contextualSpacing/>
              <w:jc w:val="center"/>
              <w:rPr>
                <w:rFonts w:ascii="仿宋_GB2312" w:hAnsi="宋体" w:eastAsia="仿宋_GB2312" w:cs="宋体"/>
                <w:snapToGrid w:val="0"/>
                <w:color w:val="auto"/>
                <w:sz w:val="24"/>
                <w:szCs w:val="24"/>
                <w:lang w:eastAsia="en-US"/>
              </w:rPr>
            </w:pPr>
          </w:p>
        </w:tc>
      </w:tr>
      <w:tr w14:paraId="6E1B2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838" w:type="dxa"/>
            <w:vMerge w:val="continue"/>
            <w:tcBorders>
              <w:top w:val="nil"/>
              <w:bottom w:val="single" w:color="auto" w:sz="4" w:space="0"/>
            </w:tcBorders>
            <w:vAlign w:val="center"/>
          </w:tcPr>
          <w:p w14:paraId="63CCA3C8">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nil"/>
              <w:bottom w:val="single" w:color="auto" w:sz="4" w:space="0"/>
            </w:tcBorders>
            <w:vAlign w:val="center"/>
          </w:tcPr>
          <w:p w14:paraId="3CB42837">
            <w:pPr>
              <w:pStyle w:val="23"/>
              <w:snapToGrid/>
              <w:spacing w:after="0" w:line="360" w:lineRule="exact"/>
              <w:contextualSpacing/>
              <w:jc w:val="center"/>
              <w:rPr>
                <w:rFonts w:ascii="仿宋_GB2312" w:eastAsia="仿宋_GB2312"/>
                <w:color w:val="auto"/>
                <w:sz w:val="24"/>
                <w:szCs w:val="24"/>
                <w:lang w:eastAsia="zh-CN"/>
              </w:rPr>
            </w:pPr>
          </w:p>
        </w:tc>
        <w:tc>
          <w:tcPr>
            <w:tcW w:w="837" w:type="dxa"/>
            <w:tcBorders>
              <w:top w:val="single" w:color="000000" w:sz="2" w:space="0"/>
              <w:bottom w:val="single" w:color="auto" w:sz="4" w:space="0"/>
            </w:tcBorders>
            <w:vAlign w:val="center"/>
          </w:tcPr>
          <w:p w14:paraId="6677A9C8">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0704</w:t>
            </w:r>
          </w:p>
        </w:tc>
        <w:tc>
          <w:tcPr>
            <w:tcW w:w="2520" w:type="dxa"/>
            <w:tcBorders>
              <w:top w:val="single" w:color="000000" w:sz="2" w:space="0"/>
              <w:bottom w:val="single" w:color="auto" w:sz="4" w:space="0"/>
            </w:tcBorders>
            <w:vAlign w:val="center"/>
          </w:tcPr>
          <w:p w14:paraId="17B95BC3">
            <w:pPr>
              <w:spacing w:after="0" w:line="36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农村社区服务设施用地</w:t>
            </w:r>
          </w:p>
        </w:tc>
        <w:tc>
          <w:tcPr>
            <w:tcW w:w="977" w:type="dxa"/>
            <w:tcBorders>
              <w:top w:val="single" w:color="000000" w:sz="2" w:space="0"/>
              <w:bottom w:val="single" w:color="auto" w:sz="4" w:space="0"/>
            </w:tcBorders>
            <w:vAlign w:val="center"/>
          </w:tcPr>
          <w:p w14:paraId="3D021637">
            <w:pPr>
              <w:spacing w:after="0" w:line="360" w:lineRule="exact"/>
              <w:contextualSpacing/>
              <w:jc w:val="center"/>
              <w:rPr>
                <w:rFonts w:ascii="仿宋_GB2312" w:hAnsi="宋体" w:eastAsia="仿宋_GB2312" w:cs="宋体"/>
                <w:snapToGrid w:val="0"/>
                <w:color w:val="auto"/>
                <w:sz w:val="24"/>
                <w:szCs w:val="24"/>
                <w:lang w:eastAsia="en-US"/>
              </w:rPr>
            </w:pPr>
          </w:p>
        </w:tc>
        <w:tc>
          <w:tcPr>
            <w:tcW w:w="3220" w:type="dxa"/>
            <w:tcBorders>
              <w:top w:val="single" w:color="000000" w:sz="2" w:space="0"/>
              <w:bottom w:val="single" w:color="auto" w:sz="4" w:space="0"/>
            </w:tcBorders>
            <w:vAlign w:val="center"/>
          </w:tcPr>
          <w:p w14:paraId="141B15AC">
            <w:pPr>
              <w:spacing w:after="0" w:line="360" w:lineRule="exact"/>
              <w:contextualSpacing/>
              <w:jc w:val="center"/>
              <w:rPr>
                <w:rFonts w:ascii="仿宋_GB2312" w:hAnsi="宋体" w:eastAsia="仿宋_GB2312" w:cs="宋体"/>
                <w:snapToGrid w:val="0"/>
                <w:color w:val="auto"/>
                <w:sz w:val="24"/>
                <w:szCs w:val="24"/>
                <w:lang w:eastAsia="en-US"/>
              </w:rPr>
            </w:pPr>
          </w:p>
        </w:tc>
      </w:tr>
      <w:tr w14:paraId="092B2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838" w:type="dxa"/>
            <w:vMerge w:val="restart"/>
            <w:tcBorders>
              <w:top w:val="single" w:color="auto" w:sz="4" w:space="0"/>
              <w:left w:val="single" w:color="auto" w:sz="4" w:space="0"/>
              <w:bottom w:val="single" w:color="auto" w:sz="4" w:space="0"/>
              <w:right w:val="single" w:color="auto" w:sz="4" w:space="0"/>
            </w:tcBorders>
            <w:vAlign w:val="center"/>
          </w:tcPr>
          <w:p w14:paraId="2355E4FA">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08</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313E185F">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公共管理与公共服务用地</w:t>
            </w:r>
          </w:p>
        </w:tc>
        <w:tc>
          <w:tcPr>
            <w:tcW w:w="837" w:type="dxa"/>
            <w:vMerge w:val="restart"/>
            <w:tcBorders>
              <w:top w:val="single" w:color="auto" w:sz="4" w:space="0"/>
              <w:left w:val="single" w:color="auto" w:sz="4" w:space="0"/>
              <w:bottom w:val="single" w:color="auto" w:sz="4" w:space="0"/>
              <w:right w:val="single" w:color="auto" w:sz="4" w:space="0"/>
            </w:tcBorders>
            <w:vAlign w:val="center"/>
          </w:tcPr>
          <w:p w14:paraId="3639CE47">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0801</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14:paraId="62AB447F">
            <w:pPr>
              <w:spacing w:after="0" w:line="36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机关团体用地</w:t>
            </w:r>
          </w:p>
        </w:tc>
        <w:tc>
          <w:tcPr>
            <w:tcW w:w="977" w:type="dxa"/>
            <w:tcBorders>
              <w:top w:val="single" w:color="auto" w:sz="4" w:space="0"/>
              <w:left w:val="single" w:color="auto" w:sz="4" w:space="0"/>
              <w:bottom w:val="single" w:color="auto" w:sz="4" w:space="0"/>
              <w:right w:val="single" w:color="auto" w:sz="4" w:space="0"/>
            </w:tcBorders>
            <w:vAlign w:val="center"/>
          </w:tcPr>
          <w:p w14:paraId="5F6F99A5">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080101</w:t>
            </w:r>
          </w:p>
        </w:tc>
        <w:tc>
          <w:tcPr>
            <w:tcW w:w="3220" w:type="dxa"/>
            <w:tcBorders>
              <w:top w:val="single" w:color="auto" w:sz="4" w:space="0"/>
              <w:left w:val="single" w:color="auto" w:sz="4" w:space="0"/>
              <w:bottom w:val="single" w:color="auto" w:sz="4" w:space="0"/>
              <w:right w:val="single" w:color="auto" w:sz="4" w:space="0"/>
            </w:tcBorders>
            <w:vAlign w:val="center"/>
          </w:tcPr>
          <w:p w14:paraId="57664327">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国家机关团体用地</w:t>
            </w:r>
          </w:p>
        </w:tc>
      </w:tr>
      <w:tr w14:paraId="5983F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572FD36B">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60CE8EE1">
            <w:pPr>
              <w:pStyle w:val="23"/>
              <w:snapToGrid/>
              <w:spacing w:after="0" w:line="360" w:lineRule="exact"/>
              <w:contextualSpacing/>
              <w:jc w:val="center"/>
              <w:rPr>
                <w:rFonts w:ascii="仿宋_GB2312" w:eastAsia="仿宋_GB2312"/>
                <w:color w:val="auto"/>
                <w:sz w:val="24"/>
                <w:szCs w:val="24"/>
                <w:lang w:eastAsia="zh-CN"/>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6F4C33DD">
            <w:pPr>
              <w:pStyle w:val="23"/>
              <w:snapToGrid/>
              <w:spacing w:after="0" w:line="360" w:lineRule="exact"/>
              <w:contextualSpacing/>
              <w:jc w:val="center"/>
              <w:rPr>
                <w:rFonts w:ascii="仿宋_GB2312" w:eastAsia="仿宋_GB2312"/>
                <w:color w:val="auto"/>
                <w:sz w:val="24"/>
                <w:szCs w:val="24"/>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596E953A">
            <w:pPr>
              <w:pStyle w:val="23"/>
              <w:snapToGrid/>
              <w:spacing w:after="0" w:line="360" w:lineRule="exact"/>
              <w:contextualSpacing/>
              <w:jc w:val="center"/>
              <w:rPr>
                <w:rFonts w:ascii="仿宋_GB2312" w:eastAsia="仿宋_GB2312"/>
                <w:color w:val="auto"/>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025FBA4D">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080102</w:t>
            </w:r>
          </w:p>
        </w:tc>
        <w:tc>
          <w:tcPr>
            <w:tcW w:w="3220" w:type="dxa"/>
            <w:tcBorders>
              <w:top w:val="single" w:color="auto" w:sz="4" w:space="0"/>
              <w:left w:val="single" w:color="auto" w:sz="4" w:space="0"/>
              <w:bottom w:val="single" w:color="auto" w:sz="4" w:space="0"/>
              <w:right w:val="single" w:color="auto" w:sz="4" w:space="0"/>
            </w:tcBorders>
            <w:vAlign w:val="center"/>
          </w:tcPr>
          <w:p w14:paraId="2D7AC27D">
            <w:pPr>
              <w:spacing w:after="0" w:line="36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市级机关团体用地</w:t>
            </w:r>
          </w:p>
        </w:tc>
      </w:tr>
      <w:tr w14:paraId="56666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36A0DD16">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544E6610">
            <w:pPr>
              <w:pStyle w:val="23"/>
              <w:snapToGrid/>
              <w:spacing w:after="0" w:line="360" w:lineRule="exact"/>
              <w:contextualSpacing/>
              <w:jc w:val="center"/>
              <w:rPr>
                <w:rFonts w:ascii="仿宋_GB2312" w:eastAsia="仿宋_GB2312"/>
                <w:color w:val="auto"/>
                <w:sz w:val="24"/>
                <w:szCs w:val="24"/>
                <w:lang w:eastAsia="zh-CN"/>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5EAE622E">
            <w:pPr>
              <w:pStyle w:val="23"/>
              <w:snapToGrid/>
              <w:spacing w:after="0" w:line="360" w:lineRule="exact"/>
              <w:contextualSpacing/>
              <w:jc w:val="center"/>
              <w:rPr>
                <w:rFonts w:ascii="仿宋_GB2312" w:eastAsia="仿宋_GB2312"/>
                <w:color w:val="auto"/>
                <w:sz w:val="24"/>
                <w:szCs w:val="24"/>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62F96DE7">
            <w:pPr>
              <w:pStyle w:val="23"/>
              <w:snapToGrid/>
              <w:spacing w:after="0" w:line="360" w:lineRule="exact"/>
              <w:contextualSpacing/>
              <w:jc w:val="center"/>
              <w:rPr>
                <w:rFonts w:ascii="仿宋_GB2312" w:eastAsia="仿宋_GB2312"/>
                <w:color w:val="auto"/>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15FA260A">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080103</w:t>
            </w:r>
          </w:p>
        </w:tc>
        <w:tc>
          <w:tcPr>
            <w:tcW w:w="3220" w:type="dxa"/>
            <w:tcBorders>
              <w:top w:val="single" w:color="auto" w:sz="4" w:space="0"/>
              <w:left w:val="single" w:color="auto" w:sz="4" w:space="0"/>
              <w:bottom w:val="single" w:color="auto" w:sz="4" w:space="0"/>
              <w:right w:val="single" w:color="auto" w:sz="4" w:space="0"/>
            </w:tcBorders>
            <w:vAlign w:val="center"/>
          </w:tcPr>
          <w:p w14:paraId="38920F6C">
            <w:pPr>
              <w:spacing w:after="0" w:line="36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区级及以下机关团体用地</w:t>
            </w:r>
          </w:p>
        </w:tc>
      </w:tr>
      <w:tr w14:paraId="26D88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31B618FA">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31E8F7E0">
            <w:pPr>
              <w:pStyle w:val="23"/>
              <w:snapToGrid/>
              <w:spacing w:after="0" w:line="360" w:lineRule="exact"/>
              <w:contextualSpacing/>
              <w:jc w:val="center"/>
              <w:rPr>
                <w:rFonts w:ascii="仿宋_GB2312" w:eastAsia="仿宋_GB2312"/>
                <w:color w:val="auto"/>
                <w:sz w:val="24"/>
                <w:szCs w:val="24"/>
                <w:lang w:eastAsia="zh-CN"/>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517A2A09">
            <w:pPr>
              <w:pStyle w:val="23"/>
              <w:snapToGrid/>
              <w:spacing w:after="0" w:line="360" w:lineRule="exact"/>
              <w:contextualSpacing/>
              <w:jc w:val="center"/>
              <w:rPr>
                <w:rFonts w:ascii="仿宋_GB2312" w:eastAsia="仿宋_GB2312"/>
                <w:color w:val="auto"/>
                <w:sz w:val="24"/>
                <w:szCs w:val="24"/>
                <w:lang w:eastAsia="zh-CN"/>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56AB770E">
            <w:pPr>
              <w:pStyle w:val="23"/>
              <w:snapToGrid/>
              <w:spacing w:after="0" w:line="360" w:lineRule="exact"/>
              <w:contextualSpacing/>
              <w:jc w:val="center"/>
              <w:rPr>
                <w:rFonts w:ascii="仿宋_GB2312" w:eastAsia="仿宋_GB2312"/>
                <w:color w:val="auto"/>
                <w:sz w:val="24"/>
                <w:szCs w:val="24"/>
                <w:lang w:eastAsia="zh-CN"/>
              </w:rPr>
            </w:pPr>
          </w:p>
        </w:tc>
        <w:tc>
          <w:tcPr>
            <w:tcW w:w="977" w:type="dxa"/>
            <w:tcBorders>
              <w:top w:val="single" w:color="auto" w:sz="4" w:space="0"/>
              <w:left w:val="single" w:color="auto" w:sz="4" w:space="0"/>
              <w:bottom w:val="single" w:color="auto" w:sz="4" w:space="0"/>
              <w:right w:val="single" w:color="auto" w:sz="4" w:space="0"/>
            </w:tcBorders>
            <w:vAlign w:val="center"/>
          </w:tcPr>
          <w:p w14:paraId="0B03417C">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080104</w:t>
            </w:r>
          </w:p>
        </w:tc>
        <w:tc>
          <w:tcPr>
            <w:tcW w:w="3220" w:type="dxa"/>
            <w:tcBorders>
              <w:top w:val="single" w:color="auto" w:sz="4" w:space="0"/>
              <w:left w:val="single" w:color="auto" w:sz="4" w:space="0"/>
              <w:bottom w:val="single" w:color="auto" w:sz="4" w:space="0"/>
              <w:right w:val="single" w:color="auto" w:sz="4" w:space="0"/>
            </w:tcBorders>
            <w:vAlign w:val="center"/>
          </w:tcPr>
          <w:p w14:paraId="16F3ED05">
            <w:pPr>
              <w:spacing w:after="0" w:line="36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其他机关团体用地</w:t>
            </w:r>
          </w:p>
        </w:tc>
      </w:tr>
      <w:tr w14:paraId="30F6F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5C430E26">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1382BB7F">
            <w:pPr>
              <w:pStyle w:val="23"/>
              <w:snapToGrid/>
              <w:spacing w:after="0" w:line="360" w:lineRule="exact"/>
              <w:contextualSpacing/>
              <w:jc w:val="center"/>
              <w:rPr>
                <w:rFonts w:ascii="仿宋_GB2312" w:eastAsia="仿宋_GB2312"/>
                <w:color w:val="auto"/>
                <w:sz w:val="24"/>
                <w:szCs w:val="24"/>
                <w:lang w:eastAsia="zh-CN"/>
              </w:rPr>
            </w:pPr>
          </w:p>
        </w:tc>
        <w:tc>
          <w:tcPr>
            <w:tcW w:w="837" w:type="dxa"/>
            <w:tcBorders>
              <w:top w:val="single" w:color="auto" w:sz="4" w:space="0"/>
              <w:left w:val="single" w:color="auto" w:sz="4" w:space="0"/>
              <w:bottom w:val="single" w:color="auto" w:sz="4" w:space="0"/>
              <w:right w:val="single" w:color="auto" w:sz="4" w:space="0"/>
            </w:tcBorders>
            <w:vAlign w:val="center"/>
          </w:tcPr>
          <w:p w14:paraId="195FBC00">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 xml:space="preserve">0802 </w:t>
            </w:r>
          </w:p>
        </w:tc>
        <w:tc>
          <w:tcPr>
            <w:tcW w:w="2520" w:type="dxa"/>
            <w:tcBorders>
              <w:top w:val="single" w:color="auto" w:sz="4" w:space="0"/>
              <w:left w:val="single" w:color="auto" w:sz="4" w:space="0"/>
              <w:bottom w:val="single" w:color="auto" w:sz="4" w:space="0"/>
              <w:right w:val="single" w:color="auto" w:sz="4" w:space="0"/>
            </w:tcBorders>
            <w:vAlign w:val="center"/>
          </w:tcPr>
          <w:p w14:paraId="08BBFCB5">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科研用地</w:t>
            </w:r>
          </w:p>
        </w:tc>
        <w:tc>
          <w:tcPr>
            <w:tcW w:w="977" w:type="dxa"/>
            <w:tcBorders>
              <w:top w:val="single" w:color="auto" w:sz="4" w:space="0"/>
              <w:left w:val="single" w:color="auto" w:sz="4" w:space="0"/>
              <w:bottom w:val="single" w:color="auto" w:sz="4" w:space="0"/>
              <w:right w:val="single" w:color="auto" w:sz="4" w:space="0"/>
            </w:tcBorders>
            <w:vAlign w:val="center"/>
          </w:tcPr>
          <w:p w14:paraId="2EDA61C7">
            <w:pPr>
              <w:spacing w:after="0" w:line="360" w:lineRule="exact"/>
              <w:contextualSpacing/>
              <w:jc w:val="center"/>
              <w:rPr>
                <w:rFonts w:ascii="仿宋_GB2312" w:hAnsi="宋体" w:eastAsia="仿宋_GB2312" w:cs="宋体"/>
                <w:snapToGrid w:val="0"/>
                <w:color w:val="auto"/>
                <w:sz w:val="24"/>
                <w:szCs w:val="24"/>
                <w:lang w:eastAsia="en-US"/>
              </w:rPr>
            </w:pPr>
          </w:p>
        </w:tc>
        <w:tc>
          <w:tcPr>
            <w:tcW w:w="3220" w:type="dxa"/>
            <w:tcBorders>
              <w:top w:val="single" w:color="auto" w:sz="4" w:space="0"/>
              <w:left w:val="single" w:color="auto" w:sz="4" w:space="0"/>
              <w:bottom w:val="single" w:color="auto" w:sz="4" w:space="0"/>
              <w:right w:val="single" w:color="auto" w:sz="4" w:space="0"/>
            </w:tcBorders>
            <w:vAlign w:val="center"/>
          </w:tcPr>
          <w:p w14:paraId="0AE5E7B6">
            <w:pPr>
              <w:spacing w:after="0" w:line="360" w:lineRule="exact"/>
              <w:contextualSpacing/>
              <w:jc w:val="center"/>
              <w:rPr>
                <w:rFonts w:ascii="仿宋_GB2312" w:hAnsi="宋体" w:eastAsia="仿宋_GB2312" w:cs="宋体"/>
                <w:snapToGrid w:val="0"/>
                <w:color w:val="auto"/>
                <w:sz w:val="24"/>
                <w:szCs w:val="24"/>
                <w:lang w:eastAsia="en-US"/>
              </w:rPr>
            </w:pPr>
          </w:p>
        </w:tc>
      </w:tr>
      <w:tr w14:paraId="0F8A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0C9AD6A6">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2B29656A">
            <w:pPr>
              <w:pStyle w:val="23"/>
              <w:snapToGrid/>
              <w:spacing w:after="0" w:line="360" w:lineRule="exact"/>
              <w:contextualSpacing/>
              <w:jc w:val="center"/>
              <w:rPr>
                <w:rFonts w:ascii="仿宋_GB2312" w:eastAsia="仿宋_GB2312"/>
                <w:color w:val="auto"/>
                <w:sz w:val="24"/>
                <w:szCs w:val="24"/>
                <w:lang w:eastAsia="zh-CN"/>
              </w:rPr>
            </w:pPr>
          </w:p>
        </w:tc>
        <w:tc>
          <w:tcPr>
            <w:tcW w:w="837" w:type="dxa"/>
            <w:vMerge w:val="restart"/>
            <w:tcBorders>
              <w:top w:val="single" w:color="auto" w:sz="4" w:space="0"/>
              <w:left w:val="single" w:color="auto" w:sz="4" w:space="0"/>
              <w:bottom w:val="single" w:color="auto" w:sz="4" w:space="0"/>
              <w:right w:val="single" w:color="auto" w:sz="4" w:space="0"/>
            </w:tcBorders>
            <w:vAlign w:val="center"/>
          </w:tcPr>
          <w:p w14:paraId="6E245571">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0803</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14:paraId="02EECA43">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文化用地</w:t>
            </w:r>
          </w:p>
        </w:tc>
        <w:tc>
          <w:tcPr>
            <w:tcW w:w="977" w:type="dxa"/>
            <w:tcBorders>
              <w:top w:val="single" w:color="auto" w:sz="4" w:space="0"/>
              <w:left w:val="single" w:color="auto" w:sz="4" w:space="0"/>
              <w:bottom w:val="single" w:color="auto" w:sz="4" w:space="0"/>
              <w:right w:val="single" w:color="auto" w:sz="4" w:space="0"/>
            </w:tcBorders>
            <w:vAlign w:val="center"/>
          </w:tcPr>
          <w:p w14:paraId="1DD229B5">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080301</w:t>
            </w:r>
          </w:p>
        </w:tc>
        <w:tc>
          <w:tcPr>
            <w:tcW w:w="3220" w:type="dxa"/>
            <w:tcBorders>
              <w:top w:val="single" w:color="auto" w:sz="4" w:space="0"/>
              <w:left w:val="single" w:color="auto" w:sz="4" w:space="0"/>
              <w:bottom w:val="single" w:color="auto" w:sz="4" w:space="0"/>
              <w:right w:val="single" w:color="auto" w:sz="4" w:space="0"/>
            </w:tcBorders>
            <w:vAlign w:val="center"/>
          </w:tcPr>
          <w:p w14:paraId="2296D588">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图书与展览用地</w:t>
            </w:r>
          </w:p>
        </w:tc>
      </w:tr>
      <w:tr w14:paraId="4578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5031F5BE">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27AD6878">
            <w:pPr>
              <w:pStyle w:val="23"/>
              <w:snapToGrid/>
              <w:spacing w:after="0" w:line="360" w:lineRule="exact"/>
              <w:contextualSpacing/>
              <w:jc w:val="center"/>
              <w:rPr>
                <w:rFonts w:ascii="仿宋_GB2312" w:eastAsia="仿宋_GB2312"/>
                <w:color w:val="auto"/>
                <w:sz w:val="24"/>
                <w:szCs w:val="24"/>
                <w:lang w:eastAsia="zh-CN"/>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428D9364">
            <w:pPr>
              <w:pStyle w:val="23"/>
              <w:snapToGrid/>
              <w:spacing w:after="0" w:line="360" w:lineRule="exact"/>
              <w:contextualSpacing/>
              <w:jc w:val="center"/>
              <w:rPr>
                <w:rFonts w:ascii="仿宋_GB2312" w:eastAsia="仿宋_GB2312"/>
                <w:color w:val="auto"/>
                <w:sz w:val="24"/>
                <w:szCs w:val="24"/>
                <w:lang w:eastAsia="zh-CN"/>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4C5C4E53">
            <w:pPr>
              <w:pStyle w:val="23"/>
              <w:snapToGrid/>
              <w:spacing w:after="0" w:line="360" w:lineRule="exact"/>
              <w:contextualSpacing/>
              <w:jc w:val="center"/>
              <w:rPr>
                <w:rFonts w:ascii="仿宋_GB2312" w:eastAsia="仿宋_GB2312"/>
                <w:color w:val="auto"/>
                <w:sz w:val="24"/>
                <w:szCs w:val="24"/>
                <w:lang w:eastAsia="zh-CN"/>
              </w:rPr>
            </w:pPr>
          </w:p>
        </w:tc>
        <w:tc>
          <w:tcPr>
            <w:tcW w:w="977" w:type="dxa"/>
            <w:tcBorders>
              <w:top w:val="single" w:color="auto" w:sz="4" w:space="0"/>
              <w:left w:val="single" w:color="auto" w:sz="4" w:space="0"/>
              <w:bottom w:val="single" w:color="auto" w:sz="4" w:space="0"/>
              <w:right w:val="single" w:color="auto" w:sz="4" w:space="0"/>
            </w:tcBorders>
            <w:vAlign w:val="center"/>
          </w:tcPr>
          <w:p w14:paraId="0C35AEAE">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080302</w:t>
            </w:r>
          </w:p>
        </w:tc>
        <w:tc>
          <w:tcPr>
            <w:tcW w:w="3220" w:type="dxa"/>
            <w:tcBorders>
              <w:top w:val="single" w:color="auto" w:sz="4" w:space="0"/>
              <w:left w:val="single" w:color="auto" w:sz="4" w:space="0"/>
              <w:bottom w:val="single" w:color="auto" w:sz="4" w:space="0"/>
              <w:right w:val="single" w:color="auto" w:sz="4" w:space="0"/>
            </w:tcBorders>
            <w:vAlign w:val="center"/>
          </w:tcPr>
          <w:p w14:paraId="027B0B9A">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文化活动用地</w:t>
            </w:r>
          </w:p>
        </w:tc>
      </w:tr>
      <w:tr w14:paraId="2EA3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44FF334E">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0D601A65">
            <w:pPr>
              <w:pStyle w:val="23"/>
              <w:snapToGrid/>
              <w:spacing w:after="0" w:line="360" w:lineRule="exact"/>
              <w:contextualSpacing/>
              <w:jc w:val="center"/>
              <w:rPr>
                <w:rFonts w:ascii="仿宋_GB2312" w:eastAsia="仿宋_GB2312"/>
                <w:color w:val="auto"/>
                <w:sz w:val="24"/>
                <w:szCs w:val="24"/>
                <w:lang w:eastAsia="zh-CN"/>
              </w:rPr>
            </w:pPr>
          </w:p>
        </w:tc>
        <w:tc>
          <w:tcPr>
            <w:tcW w:w="837" w:type="dxa"/>
            <w:vMerge w:val="restart"/>
            <w:tcBorders>
              <w:top w:val="single" w:color="auto" w:sz="4" w:space="0"/>
              <w:left w:val="single" w:color="auto" w:sz="4" w:space="0"/>
              <w:bottom w:val="single" w:color="auto" w:sz="4" w:space="0"/>
              <w:right w:val="single" w:color="auto" w:sz="4" w:space="0"/>
            </w:tcBorders>
            <w:vAlign w:val="center"/>
          </w:tcPr>
          <w:p w14:paraId="3AE14D1D">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0804</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14:paraId="705822C1">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教育用地</w:t>
            </w:r>
          </w:p>
        </w:tc>
        <w:tc>
          <w:tcPr>
            <w:tcW w:w="977" w:type="dxa"/>
            <w:tcBorders>
              <w:top w:val="single" w:color="auto" w:sz="4" w:space="0"/>
              <w:left w:val="single" w:color="auto" w:sz="4" w:space="0"/>
              <w:bottom w:val="single" w:color="auto" w:sz="4" w:space="0"/>
              <w:right w:val="single" w:color="auto" w:sz="4" w:space="0"/>
            </w:tcBorders>
            <w:vAlign w:val="center"/>
          </w:tcPr>
          <w:p w14:paraId="003A426C">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080401</w:t>
            </w:r>
          </w:p>
        </w:tc>
        <w:tc>
          <w:tcPr>
            <w:tcW w:w="3220" w:type="dxa"/>
            <w:tcBorders>
              <w:top w:val="single" w:color="auto" w:sz="4" w:space="0"/>
              <w:left w:val="single" w:color="auto" w:sz="4" w:space="0"/>
              <w:bottom w:val="single" w:color="auto" w:sz="4" w:space="0"/>
              <w:right w:val="single" w:color="auto" w:sz="4" w:space="0"/>
            </w:tcBorders>
            <w:vAlign w:val="center"/>
          </w:tcPr>
          <w:p w14:paraId="5612E9E5">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高等教育用地</w:t>
            </w:r>
          </w:p>
        </w:tc>
      </w:tr>
      <w:tr w14:paraId="5221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61C910EA">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799AC602">
            <w:pPr>
              <w:pStyle w:val="23"/>
              <w:snapToGrid/>
              <w:spacing w:after="0" w:line="360" w:lineRule="exact"/>
              <w:contextualSpacing/>
              <w:jc w:val="center"/>
              <w:rPr>
                <w:rFonts w:ascii="仿宋_GB2312" w:eastAsia="仿宋_GB2312"/>
                <w:color w:val="auto"/>
                <w:sz w:val="24"/>
                <w:szCs w:val="24"/>
                <w:lang w:eastAsia="zh-CN"/>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41AB353C">
            <w:pPr>
              <w:pStyle w:val="23"/>
              <w:snapToGrid/>
              <w:spacing w:after="0" w:line="360" w:lineRule="exact"/>
              <w:contextualSpacing/>
              <w:jc w:val="center"/>
              <w:rPr>
                <w:rFonts w:ascii="仿宋_GB2312" w:eastAsia="仿宋_GB2312"/>
                <w:color w:val="auto"/>
                <w:sz w:val="24"/>
                <w:szCs w:val="24"/>
                <w:lang w:eastAsia="zh-CN"/>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60261809">
            <w:pPr>
              <w:pStyle w:val="23"/>
              <w:snapToGrid/>
              <w:spacing w:after="0" w:line="360" w:lineRule="exact"/>
              <w:contextualSpacing/>
              <w:jc w:val="center"/>
              <w:rPr>
                <w:rFonts w:ascii="仿宋_GB2312" w:eastAsia="仿宋_GB2312"/>
                <w:color w:val="auto"/>
                <w:sz w:val="24"/>
                <w:szCs w:val="24"/>
                <w:lang w:eastAsia="zh-CN"/>
              </w:rPr>
            </w:pPr>
          </w:p>
        </w:tc>
        <w:tc>
          <w:tcPr>
            <w:tcW w:w="977" w:type="dxa"/>
            <w:tcBorders>
              <w:top w:val="single" w:color="auto" w:sz="4" w:space="0"/>
              <w:left w:val="single" w:color="auto" w:sz="4" w:space="0"/>
              <w:bottom w:val="single" w:color="auto" w:sz="4" w:space="0"/>
              <w:right w:val="single" w:color="auto" w:sz="4" w:space="0"/>
            </w:tcBorders>
            <w:vAlign w:val="center"/>
          </w:tcPr>
          <w:p w14:paraId="3074F7EC">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080402</w:t>
            </w:r>
          </w:p>
        </w:tc>
        <w:tc>
          <w:tcPr>
            <w:tcW w:w="3220" w:type="dxa"/>
            <w:tcBorders>
              <w:top w:val="single" w:color="auto" w:sz="4" w:space="0"/>
              <w:left w:val="single" w:color="auto" w:sz="4" w:space="0"/>
              <w:bottom w:val="single" w:color="auto" w:sz="4" w:space="0"/>
              <w:right w:val="single" w:color="auto" w:sz="4" w:space="0"/>
            </w:tcBorders>
            <w:vAlign w:val="center"/>
          </w:tcPr>
          <w:p w14:paraId="1257ECBB">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中等职业教育用地</w:t>
            </w:r>
          </w:p>
        </w:tc>
      </w:tr>
      <w:tr w14:paraId="6F15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6C3145D1">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395060A8">
            <w:pPr>
              <w:pStyle w:val="23"/>
              <w:snapToGrid/>
              <w:spacing w:after="0" w:line="360" w:lineRule="exact"/>
              <w:contextualSpacing/>
              <w:jc w:val="center"/>
              <w:rPr>
                <w:rFonts w:ascii="仿宋_GB2312" w:eastAsia="仿宋_GB2312"/>
                <w:color w:val="auto"/>
                <w:sz w:val="24"/>
                <w:szCs w:val="24"/>
                <w:lang w:eastAsia="zh-CN"/>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5B98DF14">
            <w:pPr>
              <w:pStyle w:val="23"/>
              <w:snapToGrid/>
              <w:spacing w:after="0" w:line="360" w:lineRule="exact"/>
              <w:contextualSpacing/>
              <w:jc w:val="center"/>
              <w:rPr>
                <w:rFonts w:ascii="仿宋_GB2312" w:eastAsia="仿宋_GB2312"/>
                <w:color w:val="auto"/>
                <w:sz w:val="24"/>
                <w:szCs w:val="24"/>
                <w:lang w:eastAsia="zh-CN"/>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12B2D823">
            <w:pPr>
              <w:pStyle w:val="23"/>
              <w:snapToGrid/>
              <w:spacing w:after="0" w:line="360" w:lineRule="exact"/>
              <w:contextualSpacing/>
              <w:jc w:val="center"/>
              <w:rPr>
                <w:rFonts w:ascii="仿宋_GB2312" w:eastAsia="仿宋_GB2312"/>
                <w:color w:val="auto"/>
                <w:sz w:val="24"/>
                <w:szCs w:val="24"/>
                <w:lang w:eastAsia="zh-CN"/>
              </w:rPr>
            </w:pPr>
          </w:p>
        </w:tc>
        <w:tc>
          <w:tcPr>
            <w:tcW w:w="977" w:type="dxa"/>
            <w:tcBorders>
              <w:top w:val="single" w:color="auto" w:sz="4" w:space="0"/>
              <w:left w:val="single" w:color="auto" w:sz="4" w:space="0"/>
              <w:bottom w:val="single" w:color="auto" w:sz="4" w:space="0"/>
              <w:right w:val="single" w:color="auto" w:sz="4" w:space="0"/>
            </w:tcBorders>
            <w:vAlign w:val="center"/>
          </w:tcPr>
          <w:p w14:paraId="721A7055">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080405</w:t>
            </w:r>
          </w:p>
        </w:tc>
        <w:tc>
          <w:tcPr>
            <w:tcW w:w="3220" w:type="dxa"/>
            <w:tcBorders>
              <w:top w:val="single" w:color="auto" w:sz="4" w:space="0"/>
              <w:left w:val="single" w:color="auto" w:sz="4" w:space="0"/>
              <w:bottom w:val="single" w:color="auto" w:sz="4" w:space="0"/>
              <w:right w:val="single" w:color="auto" w:sz="4" w:space="0"/>
            </w:tcBorders>
            <w:vAlign w:val="center"/>
          </w:tcPr>
          <w:p w14:paraId="7B5460DD">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其他教育用地</w:t>
            </w:r>
          </w:p>
        </w:tc>
      </w:tr>
      <w:tr w14:paraId="7867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147C4743">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7EC693E7">
            <w:pPr>
              <w:pStyle w:val="23"/>
              <w:snapToGrid/>
              <w:spacing w:after="0" w:line="360" w:lineRule="exact"/>
              <w:contextualSpacing/>
              <w:jc w:val="center"/>
              <w:rPr>
                <w:rFonts w:ascii="仿宋_GB2312" w:eastAsia="仿宋_GB2312"/>
                <w:color w:val="auto"/>
                <w:sz w:val="24"/>
                <w:szCs w:val="24"/>
                <w:lang w:eastAsia="zh-CN"/>
              </w:rPr>
            </w:pPr>
          </w:p>
        </w:tc>
        <w:tc>
          <w:tcPr>
            <w:tcW w:w="837" w:type="dxa"/>
            <w:tcBorders>
              <w:top w:val="single" w:color="auto" w:sz="4" w:space="0"/>
              <w:left w:val="single" w:color="auto" w:sz="4" w:space="0"/>
              <w:bottom w:val="single" w:color="auto" w:sz="4" w:space="0"/>
              <w:right w:val="single" w:color="auto" w:sz="4" w:space="0"/>
            </w:tcBorders>
            <w:vAlign w:val="center"/>
          </w:tcPr>
          <w:p w14:paraId="2324F876">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0805</w:t>
            </w:r>
          </w:p>
        </w:tc>
        <w:tc>
          <w:tcPr>
            <w:tcW w:w="2520" w:type="dxa"/>
            <w:tcBorders>
              <w:top w:val="single" w:color="auto" w:sz="4" w:space="0"/>
              <w:left w:val="single" w:color="auto" w:sz="4" w:space="0"/>
              <w:bottom w:val="single" w:color="auto" w:sz="4" w:space="0"/>
              <w:right w:val="single" w:color="auto" w:sz="4" w:space="0"/>
            </w:tcBorders>
            <w:vAlign w:val="center"/>
          </w:tcPr>
          <w:p w14:paraId="5C5C7DF0">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体育用地</w:t>
            </w:r>
          </w:p>
        </w:tc>
        <w:tc>
          <w:tcPr>
            <w:tcW w:w="977" w:type="dxa"/>
            <w:tcBorders>
              <w:top w:val="single" w:color="auto" w:sz="4" w:space="0"/>
              <w:left w:val="single" w:color="auto" w:sz="4" w:space="0"/>
              <w:bottom w:val="single" w:color="auto" w:sz="4" w:space="0"/>
              <w:right w:val="single" w:color="auto" w:sz="4" w:space="0"/>
            </w:tcBorders>
            <w:vAlign w:val="center"/>
          </w:tcPr>
          <w:p w14:paraId="63584D6E">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080501</w:t>
            </w:r>
          </w:p>
        </w:tc>
        <w:tc>
          <w:tcPr>
            <w:tcW w:w="3220" w:type="dxa"/>
            <w:tcBorders>
              <w:top w:val="single" w:color="auto" w:sz="4" w:space="0"/>
              <w:left w:val="single" w:color="auto" w:sz="4" w:space="0"/>
              <w:bottom w:val="single" w:color="auto" w:sz="4" w:space="0"/>
              <w:right w:val="single" w:color="auto" w:sz="4" w:space="0"/>
            </w:tcBorders>
            <w:vAlign w:val="center"/>
          </w:tcPr>
          <w:p w14:paraId="4D9F6EB8">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体育场馆用地</w:t>
            </w:r>
          </w:p>
        </w:tc>
      </w:tr>
      <w:tr w14:paraId="34F9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3235FA41">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5BCE640E">
            <w:pPr>
              <w:pStyle w:val="23"/>
              <w:snapToGrid/>
              <w:spacing w:after="0" w:line="360" w:lineRule="exact"/>
              <w:contextualSpacing/>
              <w:jc w:val="center"/>
              <w:rPr>
                <w:rFonts w:ascii="仿宋_GB2312" w:eastAsia="仿宋_GB2312"/>
                <w:color w:val="auto"/>
                <w:sz w:val="24"/>
                <w:szCs w:val="24"/>
                <w:lang w:eastAsia="zh-CN"/>
              </w:rPr>
            </w:pPr>
          </w:p>
        </w:tc>
        <w:tc>
          <w:tcPr>
            <w:tcW w:w="837" w:type="dxa"/>
            <w:vMerge w:val="restart"/>
            <w:tcBorders>
              <w:top w:val="single" w:color="auto" w:sz="4" w:space="0"/>
              <w:left w:val="single" w:color="auto" w:sz="4" w:space="0"/>
              <w:bottom w:val="single" w:color="auto" w:sz="4" w:space="0"/>
              <w:right w:val="single" w:color="auto" w:sz="4" w:space="0"/>
            </w:tcBorders>
            <w:vAlign w:val="center"/>
          </w:tcPr>
          <w:p w14:paraId="17E16220">
            <w:pPr>
              <w:pStyle w:val="23"/>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0806</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14:paraId="3C7E34D3">
            <w:pPr>
              <w:pStyle w:val="23"/>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医疗卫生用地</w:t>
            </w:r>
          </w:p>
        </w:tc>
        <w:tc>
          <w:tcPr>
            <w:tcW w:w="977" w:type="dxa"/>
            <w:tcBorders>
              <w:top w:val="single" w:color="auto" w:sz="4" w:space="0"/>
              <w:left w:val="single" w:color="auto" w:sz="4" w:space="0"/>
              <w:bottom w:val="single" w:color="auto" w:sz="4" w:space="0"/>
              <w:right w:val="single" w:color="auto" w:sz="4" w:space="0"/>
            </w:tcBorders>
            <w:vAlign w:val="center"/>
          </w:tcPr>
          <w:p w14:paraId="50BD5C44">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080502</w:t>
            </w:r>
          </w:p>
        </w:tc>
        <w:tc>
          <w:tcPr>
            <w:tcW w:w="3220" w:type="dxa"/>
            <w:tcBorders>
              <w:top w:val="single" w:color="auto" w:sz="4" w:space="0"/>
              <w:left w:val="single" w:color="auto" w:sz="4" w:space="0"/>
              <w:bottom w:val="single" w:color="auto" w:sz="4" w:space="0"/>
              <w:right w:val="single" w:color="auto" w:sz="4" w:space="0"/>
            </w:tcBorders>
            <w:vAlign w:val="center"/>
          </w:tcPr>
          <w:p w14:paraId="0B897FD6">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体育训练用地</w:t>
            </w:r>
          </w:p>
        </w:tc>
      </w:tr>
      <w:tr w14:paraId="03D8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74178973">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4600FD75">
            <w:pPr>
              <w:pStyle w:val="23"/>
              <w:snapToGrid/>
              <w:spacing w:after="0" w:line="360" w:lineRule="exact"/>
              <w:contextualSpacing/>
              <w:jc w:val="center"/>
              <w:rPr>
                <w:rFonts w:ascii="仿宋_GB2312" w:eastAsia="仿宋_GB2312"/>
                <w:color w:val="auto"/>
                <w:sz w:val="24"/>
                <w:szCs w:val="24"/>
                <w:lang w:eastAsia="zh-CN"/>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2F0854EF">
            <w:pPr>
              <w:pStyle w:val="23"/>
              <w:spacing w:after="0" w:line="360" w:lineRule="exact"/>
              <w:contextualSpacing/>
              <w:jc w:val="center"/>
              <w:rPr>
                <w:rFonts w:ascii="仿宋_GB2312" w:eastAsia="仿宋_GB2312"/>
                <w:color w:val="auto"/>
                <w:sz w:val="24"/>
                <w:szCs w:val="24"/>
                <w:lang w:eastAsia="zh-CN"/>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6DAF3016">
            <w:pPr>
              <w:pStyle w:val="23"/>
              <w:spacing w:after="0" w:line="360" w:lineRule="exact"/>
              <w:contextualSpacing/>
              <w:jc w:val="center"/>
              <w:rPr>
                <w:rFonts w:ascii="仿宋_GB2312" w:eastAsia="仿宋_GB2312"/>
                <w:color w:val="auto"/>
                <w:sz w:val="24"/>
                <w:szCs w:val="24"/>
                <w:lang w:eastAsia="zh-CN"/>
              </w:rPr>
            </w:pPr>
          </w:p>
        </w:tc>
        <w:tc>
          <w:tcPr>
            <w:tcW w:w="977" w:type="dxa"/>
            <w:tcBorders>
              <w:top w:val="single" w:color="auto" w:sz="4" w:space="0"/>
              <w:left w:val="single" w:color="auto" w:sz="4" w:space="0"/>
              <w:bottom w:val="single" w:color="auto" w:sz="4" w:space="0"/>
              <w:right w:val="single" w:color="auto" w:sz="4" w:space="0"/>
            </w:tcBorders>
            <w:vAlign w:val="center"/>
          </w:tcPr>
          <w:p w14:paraId="74D49EF8">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080503</w:t>
            </w:r>
          </w:p>
        </w:tc>
        <w:tc>
          <w:tcPr>
            <w:tcW w:w="3220" w:type="dxa"/>
            <w:tcBorders>
              <w:top w:val="single" w:color="auto" w:sz="4" w:space="0"/>
              <w:left w:val="single" w:color="auto" w:sz="4" w:space="0"/>
              <w:bottom w:val="single" w:color="auto" w:sz="4" w:space="0"/>
              <w:right w:val="single" w:color="auto" w:sz="4" w:space="0"/>
            </w:tcBorders>
            <w:vAlign w:val="center"/>
          </w:tcPr>
          <w:p w14:paraId="1BE38E5A">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康体用地</w:t>
            </w:r>
          </w:p>
        </w:tc>
      </w:tr>
      <w:tr w14:paraId="29F4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2E991343">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4184B1B4">
            <w:pPr>
              <w:pStyle w:val="23"/>
              <w:snapToGrid/>
              <w:spacing w:after="0" w:line="360" w:lineRule="exact"/>
              <w:contextualSpacing/>
              <w:jc w:val="center"/>
              <w:rPr>
                <w:rFonts w:ascii="仿宋_GB2312" w:eastAsia="仿宋_GB2312"/>
                <w:color w:val="auto"/>
                <w:sz w:val="24"/>
                <w:szCs w:val="24"/>
                <w:lang w:eastAsia="zh-CN"/>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1AA2215B">
            <w:pPr>
              <w:pStyle w:val="23"/>
              <w:snapToGrid/>
              <w:spacing w:after="0" w:line="360" w:lineRule="exact"/>
              <w:contextualSpacing/>
              <w:jc w:val="center"/>
              <w:rPr>
                <w:rFonts w:ascii="仿宋_GB2312" w:eastAsia="仿宋_GB2312"/>
                <w:color w:val="auto"/>
                <w:sz w:val="24"/>
                <w:szCs w:val="24"/>
                <w:lang w:eastAsia="zh-CN"/>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58E6672A">
            <w:pPr>
              <w:pStyle w:val="23"/>
              <w:snapToGrid/>
              <w:spacing w:after="0" w:line="360" w:lineRule="exact"/>
              <w:contextualSpacing/>
              <w:jc w:val="center"/>
              <w:rPr>
                <w:rFonts w:ascii="仿宋_GB2312" w:eastAsia="仿宋_GB2312"/>
                <w:color w:val="auto"/>
                <w:sz w:val="24"/>
                <w:szCs w:val="24"/>
                <w:lang w:eastAsia="zh-CN"/>
              </w:rPr>
            </w:pPr>
          </w:p>
        </w:tc>
        <w:tc>
          <w:tcPr>
            <w:tcW w:w="977" w:type="dxa"/>
            <w:tcBorders>
              <w:top w:val="single" w:color="auto" w:sz="4" w:space="0"/>
              <w:left w:val="single" w:color="auto" w:sz="4" w:space="0"/>
              <w:bottom w:val="single" w:color="auto" w:sz="4" w:space="0"/>
              <w:right w:val="single" w:color="auto" w:sz="4" w:space="0"/>
            </w:tcBorders>
            <w:vAlign w:val="center"/>
          </w:tcPr>
          <w:p w14:paraId="1A109E90">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080601</w:t>
            </w:r>
          </w:p>
        </w:tc>
        <w:tc>
          <w:tcPr>
            <w:tcW w:w="3220" w:type="dxa"/>
            <w:tcBorders>
              <w:top w:val="single" w:color="auto" w:sz="4" w:space="0"/>
              <w:left w:val="single" w:color="auto" w:sz="4" w:space="0"/>
              <w:bottom w:val="single" w:color="auto" w:sz="4" w:space="0"/>
              <w:right w:val="single" w:color="auto" w:sz="4" w:space="0"/>
            </w:tcBorders>
            <w:vAlign w:val="center"/>
          </w:tcPr>
          <w:p w14:paraId="0A9FA7CC">
            <w:pPr>
              <w:spacing w:after="0" w:line="36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医院用地</w:t>
            </w:r>
          </w:p>
        </w:tc>
      </w:tr>
      <w:tr w14:paraId="1E98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36370B39">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78B66052">
            <w:pPr>
              <w:pStyle w:val="23"/>
              <w:snapToGrid/>
              <w:spacing w:after="0" w:line="360" w:lineRule="exact"/>
              <w:contextualSpacing/>
              <w:jc w:val="center"/>
              <w:rPr>
                <w:rFonts w:ascii="仿宋_GB2312" w:eastAsia="仿宋_GB2312"/>
                <w:color w:val="auto"/>
                <w:sz w:val="24"/>
                <w:szCs w:val="24"/>
                <w:lang w:eastAsia="zh-CN"/>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079A2919">
            <w:pPr>
              <w:pStyle w:val="23"/>
              <w:snapToGrid/>
              <w:spacing w:after="0" w:line="360" w:lineRule="exact"/>
              <w:contextualSpacing/>
              <w:jc w:val="center"/>
              <w:rPr>
                <w:rFonts w:ascii="仿宋_GB2312" w:eastAsia="仿宋_GB2312"/>
                <w:color w:val="auto"/>
                <w:sz w:val="24"/>
                <w:szCs w:val="24"/>
                <w:lang w:eastAsia="zh-CN"/>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40274893">
            <w:pPr>
              <w:pStyle w:val="23"/>
              <w:snapToGrid/>
              <w:spacing w:after="0" w:line="360" w:lineRule="exact"/>
              <w:contextualSpacing/>
              <w:jc w:val="center"/>
              <w:rPr>
                <w:rFonts w:ascii="仿宋_GB2312" w:eastAsia="仿宋_GB2312"/>
                <w:color w:val="auto"/>
                <w:sz w:val="24"/>
                <w:szCs w:val="24"/>
                <w:lang w:eastAsia="zh-CN"/>
              </w:rPr>
            </w:pPr>
          </w:p>
        </w:tc>
        <w:tc>
          <w:tcPr>
            <w:tcW w:w="977" w:type="dxa"/>
            <w:tcBorders>
              <w:top w:val="single" w:color="auto" w:sz="4" w:space="0"/>
              <w:left w:val="single" w:color="auto" w:sz="4" w:space="0"/>
              <w:bottom w:val="single" w:color="auto" w:sz="4" w:space="0"/>
              <w:right w:val="single" w:color="auto" w:sz="4" w:space="0"/>
            </w:tcBorders>
            <w:vAlign w:val="center"/>
          </w:tcPr>
          <w:p w14:paraId="3E17F47D">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080602</w:t>
            </w:r>
          </w:p>
        </w:tc>
        <w:tc>
          <w:tcPr>
            <w:tcW w:w="3220" w:type="dxa"/>
            <w:tcBorders>
              <w:top w:val="single" w:color="auto" w:sz="4" w:space="0"/>
              <w:left w:val="single" w:color="auto" w:sz="4" w:space="0"/>
              <w:bottom w:val="single" w:color="auto" w:sz="4" w:space="0"/>
              <w:right w:val="single" w:color="auto" w:sz="4" w:space="0"/>
            </w:tcBorders>
            <w:vAlign w:val="center"/>
          </w:tcPr>
          <w:p w14:paraId="380B2505">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基层医疗卫生设施用地</w:t>
            </w:r>
          </w:p>
        </w:tc>
      </w:tr>
      <w:tr w14:paraId="1AAD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486511A5">
            <w:pPr>
              <w:pStyle w:val="23"/>
              <w:snapToGrid/>
              <w:spacing w:after="0" w:line="360" w:lineRule="exact"/>
              <w:contextualSpacing/>
              <w:jc w:val="center"/>
              <w:rPr>
                <w:rFonts w:ascii="仿宋_GB2312" w:eastAsia="仿宋_GB2312"/>
                <w:color w:val="auto"/>
                <w:sz w:val="24"/>
                <w:szCs w:val="24"/>
                <w:lang w:eastAsia="zh-CN"/>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6862C31A">
            <w:pPr>
              <w:pStyle w:val="23"/>
              <w:snapToGrid/>
              <w:spacing w:after="0" w:line="360" w:lineRule="exact"/>
              <w:contextualSpacing/>
              <w:jc w:val="center"/>
              <w:rPr>
                <w:rFonts w:ascii="仿宋_GB2312" w:eastAsia="仿宋_GB2312"/>
                <w:color w:val="auto"/>
                <w:sz w:val="24"/>
                <w:szCs w:val="24"/>
                <w:lang w:eastAsia="zh-CN"/>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2FE3A652">
            <w:pPr>
              <w:pStyle w:val="23"/>
              <w:snapToGrid/>
              <w:spacing w:after="0" w:line="360" w:lineRule="exact"/>
              <w:contextualSpacing/>
              <w:jc w:val="center"/>
              <w:rPr>
                <w:rFonts w:ascii="仿宋_GB2312" w:eastAsia="仿宋_GB2312"/>
                <w:color w:val="auto"/>
                <w:sz w:val="24"/>
                <w:szCs w:val="24"/>
                <w:lang w:eastAsia="zh-CN"/>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4B706484">
            <w:pPr>
              <w:pStyle w:val="23"/>
              <w:snapToGrid/>
              <w:spacing w:after="0" w:line="360" w:lineRule="exact"/>
              <w:contextualSpacing/>
              <w:jc w:val="center"/>
              <w:rPr>
                <w:rFonts w:ascii="仿宋_GB2312" w:eastAsia="仿宋_GB2312"/>
                <w:color w:val="auto"/>
                <w:sz w:val="24"/>
                <w:szCs w:val="24"/>
                <w:lang w:eastAsia="zh-CN"/>
              </w:rPr>
            </w:pPr>
          </w:p>
        </w:tc>
        <w:tc>
          <w:tcPr>
            <w:tcW w:w="977" w:type="dxa"/>
            <w:tcBorders>
              <w:top w:val="single" w:color="auto" w:sz="4" w:space="0"/>
              <w:left w:val="single" w:color="auto" w:sz="4" w:space="0"/>
              <w:bottom w:val="single" w:color="auto" w:sz="4" w:space="0"/>
              <w:right w:val="single" w:color="auto" w:sz="4" w:space="0"/>
            </w:tcBorders>
            <w:vAlign w:val="center"/>
          </w:tcPr>
          <w:p w14:paraId="31CCF5CB">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080603</w:t>
            </w:r>
          </w:p>
        </w:tc>
        <w:tc>
          <w:tcPr>
            <w:tcW w:w="3220" w:type="dxa"/>
            <w:tcBorders>
              <w:top w:val="single" w:color="auto" w:sz="4" w:space="0"/>
              <w:left w:val="single" w:color="auto" w:sz="4" w:space="0"/>
              <w:bottom w:val="single" w:color="auto" w:sz="4" w:space="0"/>
              <w:right w:val="single" w:color="auto" w:sz="4" w:space="0"/>
            </w:tcBorders>
            <w:vAlign w:val="center"/>
          </w:tcPr>
          <w:p w14:paraId="1EFE3E6C">
            <w:pPr>
              <w:pStyle w:val="23"/>
              <w:snapToGrid/>
              <w:spacing w:after="0" w:line="36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公共卫生用地</w:t>
            </w:r>
          </w:p>
        </w:tc>
      </w:tr>
      <w:tr w14:paraId="4C1B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restart"/>
            <w:tcBorders>
              <w:top w:val="single" w:color="auto" w:sz="4" w:space="0"/>
              <w:left w:val="single" w:color="auto" w:sz="4" w:space="0"/>
              <w:right w:val="single" w:color="auto" w:sz="4" w:space="0"/>
            </w:tcBorders>
            <w:vAlign w:val="center"/>
          </w:tcPr>
          <w:p w14:paraId="0985A092">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09</w:t>
            </w:r>
          </w:p>
        </w:tc>
        <w:tc>
          <w:tcPr>
            <w:tcW w:w="1120" w:type="dxa"/>
            <w:vMerge w:val="restart"/>
            <w:tcBorders>
              <w:top w:val="single" w:color="auto" w:sz="4" w:space="0"/>
              <w:left w:val="single" w:color="auto" w:sz="4" w:space="0"/>
              <w:right w:val="single" w:color="auto" w:sz="4" w:space="0"/>
            </w:tcBorders>
            <w:vAlign w:val="center"/>
          </w:tcPr>
          <w:p w14:paraId="666DA66D">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商业服务业用地</w:t>
            </w:r>
          </w:p>
        </w:tc>
        <w:tc>
          <w:tcPr>
            <w:tcW w:w="837" w:type="dxa"/>
            <w:vMerge w:val="restart"/>
            <w:tcBorders>
              <w:top w:val="single" w:color="auto" w:sz="4" w:space="0"/>
              <w:left w:val="single" w:color="auto" w:sz="4" w:space="0"/>
              <w:right w:val="single" w:color="auto" w:sz="4" w:space="0"/>
            </w:tcBorders>
            <w:vAlign w:val="center"/>
          </w:tcPr>
          <w:p w14:paraId="179695F1">
            <w:pPr>
              <w:pStyle w:val="4"/>
              <w:snapToGrid/>
              <w:spacing w:after="0" w:line="420" w:lineRule="exact"/>
              <w:contextualSpacing/>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0901</w:t>
            </w:r>
          </w:p>
        </w:tc>
        <w:tc>
          <w:tcPr>
            <w:tcW w:w="2520" w:type="dxa"/>
            <w:vMerge w:val="restart"/>
            <w:tcBorders>
              <w:top w:val="single" w:color="auto" w:sz="4" w:space="0"/>
              <w:left w:val="single" w:color="auto" w:sz="4" w:space="0"/>
              <w:right w:val="single" w:color="auto" w:sz="4" w:space="0"/>
            </w:tcBorders>
            <w:vAlign w:val="center"/>
          </w:tcPr>
          <w:p w14:paraId="0702F913">
            <w:pPr>
              <w:pStyle w:val="4"/>
              <w:snapToGrid/>
              <w:spacing w:after="0" w:line="420" w:lineRule="exact"/>
              <w:contextualSpacing/>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商业用地</w:t>
            </w:r>
          </w:p>
        </w:tc>
        <w:tc>
          <w:tcPr>
            <w:tcW w:w="977" w:type="dxa"/>
            <w:tcBorders>
              <w:top w:val="single" w:color="auto" w:sz="4" w:space="0"/>
              <w:left w:val="single" w:color="auto" w:sz="4" w:space="0"/>
              <w:bottom w:val="single" w:color="auto" w:sz="4" w:space="0"/>
              <w:right w:val="single" w:color="auto" w:sz="4" w:space="0"/>
            </w:tcBorders>
            <w:vAlign w:val="center"/>
          </w:tcPr>
          <w:p w14:paraId="1819FC10">
            <w:pPr>
              <w:pStyle w:val="4"/>
              <w:snapToGrid/>
              <w:spacing w:after="0" w:line="420" w:lineRule="exact"/>
              <w:contextualSpacing/>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090101</w:t>
            </w:r>
          </w:p>
        </w:tc>
        <w:tc>
          <w:tcPr>
            <w:tcW w:w="3220" w:type="dxa"/>
            <w:tcBorders>
              <w:top w:val="single" w:color="auto" w:sz="4" w:space="0"/>
              <w:left w:val="single" w:color="auto" w:sz="4" w:space="0"/>
              <w:bottom w:val="single" w:color="auto" w:sz="4" w:space="0"/>
              <w:right w:val="single" w:color="auto" w:sz="4" w:space="0"/>
            </w:tcBorders>
            <w:vAlign w:val="center"/>
          </w:tcPr>
          <w:p w14:paraId="37E7A118">
            <w:pPr>
              <w:spacing w:after="0" w:line="420" w:lineRule="exact"/>
              <w:contextualSpacing/>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零售商业用地</w:t>
            </w:r>
          </w:p>
        </w:tc>
      </w:tr>
      <w:tr w14:paraId="2297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left w:val="single" w:color="auto" w:sz="4" w:space="0"/>
              <w:right w:val="single" w:color="auto" w:sz="4" w:space="0"/>
            </w:tcBorders>
            <w:vAlign w:val="center"/>
          </w:tcPr>
          <w:p w14:paraId="648BCC19">
            <w:pPr>
              <w:pStyle w:val="23"/>
              <w:snapToGrid/>
              <w:spacing w:after="0" w:line="420" w:lineRule="exact"/>
              <w:contextualSpacing/>
              <w:jc w:val="center"/>
              <w:rPr>
                <w:rFonts w:ascii="仿宋_GB2312" w:eastAsia="仿宋_GB2312"/>
                <w:color w:val="auto"/>
                <w:sz w:val="24"/>
                <w:szCs w:val="24"/>
                <w:lang w:eastAsia="zh-CN"/>
              </w:rPr>
            </w:pPr>
          </w:p>
        </w:tc>
        <w:tc>
          <w:tcPr>
            <w:tcW w:w="1120" w:type="dxa"/>
            <w:vMerge w:val="continue"/>
            <w:tcBorders>
              <w:left w:val="single" w:color="auto" w:sz="4" w:space="0"/>
              <w:right w:val="single" w:color="auto" w:sz="4" w:space="0"/>
            </w:tcBorders>
            <w:vAlign w:val="center"/>
          </w:tcPr>
          <w:p w14:paraId="6221BAB0">
            <w:pPr>
              <w:pStyle w:val="23"/>
              <w:snapToGrid/>
              <w:spacing w:after="0" w:line="420" w:lineRule="exact"/>
              <w:contextualSpacing/>
              <w:jc w:val="center"/>
              <w:rPr>
                <w:rFonts w:ascii="仿宋_GB2312" w:eastAsia="仿宋_GB2312"/>
                <w:color w:val="auto"/>
                <w:sz w:val="24"/>
                <w:szCs w:val="24"/>
                <w:lang w:eastAsia="zh-CN"/>
              </w:rPr>
            </w:pPr>
          </w:p>
        </w:tc>
        <w:tc>
          <w:tcPr>
            <w:tcW w:w="837" w:type="dxa"/>
            <w:vMerge w:val="continue"/>
            <w:tcBorders>
              <w:left w:val="single" w:color="auto" w:sz="4" w:space="0"/>
              <w:right w:val="single" w:color="auto" w:sz="4" w:space="0"/>
            </w:tcBorders>
            <w:vAlign w:val="center"/>
          </w:tcPr>
          <w:p w14:paraId="4303E973">
            <w:pPr>
              <w:pStyle w:val="23"/>
              <w:snapToGrid/>
              <w:spacing w:after="0" w:line="420" w:lineRule="exact"/>
              <w:contextualSpacing/>
              <w:jc w:val="center"/>
              <w:rPr>
                <w:rFonts w:ascii="仿宋_GB2312" w:eastAsia="仿宋_GB2312"/>
                <w:color w:val="auto"/>
                <w:sz w:val="24"/>
                <w:szCs w:val="24"/>
                <w:lang w:eastAsia="zh-CN"/>
              </w:rPr>
            </w:pPr>
          </w:p>
        </w:tc>
        <w:tc>
          <w:tcPr>
            <w:tcW w:w="2520" w:type="dxa"/>
            <w:vMerge w:val="continue"/>
            <w:tcBorders>
              <w:left w:val="single" w:color="auto" w:sz="4" w:space="0"/>
              <w:right w:val="single" w:color="auto" w:sz="4" w:space="0"/>
            </w:tcBorders>
            <w:vAlign w:val="center"/>
          </w:tcPr>
          <w:p w14:paraId="081FAFC1">
            <w:pPr>
              <w:pStyle w:val="23"/>
              <w:snapToGrid/>
              <w:spacing w:after="0" w:line="420" w:lineRule="exact"/>
              <w:contextualSpacing/>
              <w:jc w:val="center"/>
              <w:rPr>
                <w:rFonts w:ascii="仿宋_GB2312" w:eastAsia="仿宋_GB2312"/>
                <w:color w:val="auto"/>
                <w:sz w:val="24"/>
                <w:szCs w:val="24"/>
                <w:lang w:eastAsia="zh-CN"/>
              </w:rPr>
            </w:pPr>
          </w:p>
        </w:tc>
        <w:tc>
          <w:tcPr>
            <w:tcW w:w="977" w:type="dxa"/>
            <w:tcBorders>
              <w:top w:val="single" w:color="auto" w:sz="4" w:space="0"/>
              <w:left w:val="single" w:color="auto" w:sz="4" w:space="0"/>
              <w:bottom w:val="single" w:color="auto" w:sz="4" w:space="0"/>
              <w:right w:val="single" w:color="auto" w:sz="4" w:space="0"/>
            </w:tcBorders>
            <w:vAlign w:val="center"/>
          </w:tcPr>
          <w:p w14:paraId="42A643D3">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090102</w:t>
            </w:r>
          </w:p>
        </w:tc>
        <w:tc>
          <w:tcPr>
            <w:tcW w:w="3220" w:type="dxa"/>
            <w:tcBorders>
              <w:top w:val="single" w:color="auto" w:sz="4" w:space="0"/>
              <w:left w:val="single" w:color="auto" w:sz="4" w:space="0"/>
              <w:bottom w:val="single" w:color="auto" w:sz="4" w:space="0"/>
              <w:right w:val="single" w:color="auto" w:sz="4" w:space="0"/>
            </w:tcBorders>
            <w:vAlign w:val="center"/>
          </w:tcPr>
          <w:p w14:paraId="7F84BEC7">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批发市场用地</w:t>
            </w:r>
          </w:p>
        </w:tc>
      </w:tr>
      <w:tr w14:paraId="569D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left w:val="single" w:color="auto" w:sz="4" w:space="0"/>
              <w:right w:val="single" w:color="auto" w:sz="4" w:space="0"/>
            </w:tcBorders>
            <w:vAlign w:val="center"/>
          </w:tcPr>
          <w:p w14:paraId="37F73F43">
            <w:pPr>
              <w:pStyle w:val="23"/>
              <w:snapToGrid/>
              <w:spacing w:after="0" w:line="420" w:lineRule="exact"/>
              <w:contextualSpacing/>
              <w:jc w:val="center"/>
              <w:rPr>
                <w:rFonts w:ascii="仿宋_GB2312" w:eastAsia="仿宋_GB2312"/>
                <w:color w:val="auto"/>
                <w:sz w:val="24"/>
                <w:szCs w:val="24"/>
                <w:lang w:eastAsia="zh-CN"/>
              </w:rPr>
            </w:pPr>
          </w:p>
        </w:tc>
        <w:tc>
          <w:tcPr>
            <w:tcW w:w="1120" w:type="dxa"/>
            <w:vMerge w:val="continue"/>
            <w:tcBorders>
              <w:left w:val="single" w:color="auto" w:sz="4" w:space="0"/>
              <w:right w:val="single" w:color="auto" w:sz="4" w:space="0"/>
            </w:tcBorders>
            <w:vAlign w:val="center"/>
          </w:tcPr>
          <w:p w14:paraId="2342BBB8">
            <w:pPr>
              <w:pStyle w:val="23"/>
              <w:snapToGrid/>
              <w:spacing w:after="0" w:line="420" w:lineRule="exact"/>
              <w:contextualSpacing/>
              <w:jc w:val="center"/>
              <w:rPr>
                <w:rFonts w:ascii="仿宋_GB2312" w:eastAsia="仿宋_GB2312"/>
                <w:color w:val="auto"/>
                <w:sz w:val="24"/>
                <w:szCs w:val="24"/>
                <w:lang w:eastAsia="zh-CN"/>
              </w:rPr>
            </w:pPr>
          </w:p>
        </w:tc>
        <w:tc>
          <w:tcPr>
            <w:tcW w:w="837" w:type="dxa"/>
            <w:vMerge w:val="continue"/>
            <w:tcBorders>
              <w:left w:val="single" w:color="auto" w:sz="4" w:space="0"/>
              <w:right w:val="single" w:color="auto" w:sz="4" w:space="0"/>
            </w:tcBorders>
            <w:vAlign w:val="center"/>
          </w:tcPr>
          <w:p w14:paraId="5228352B">
            <w:pPr>
              <w:pStyle w:val="23"/>
              <w:snapToGrid/>
              <w:spacing w:after="0" w:line="420" w:lineRule="exact"/>
              <w:contextualSpacing/>
              <w:jc w:val="center"/>
              <w:rPr>
                <w:rFonts w:ascii="仿宋_GB2312" w:eastAsia="仿宋_GB2312"/>
                <w:color w:val="auto"/>
                <w:sz w:val="24"/>
                <w:szCs w:val="24"/>
                <w:lang w:eastAsia="zh-CN"/>
              </w:rPr>
            </w:pPr>
          </w:p>
        </w:tc>
        <w:tc>
          <w:tcPr>
            <w:tcW w:w="2520" w:type="dxa"/>
            <w:vMerge w:val="continue"/>
            <w:tcBorders>
              <w:left w:val="single" w:color="auto" w:sz="4" w:space="0"/>
              <w:right w:val="single" w:color="auto" w:sz="4" w:space="0"/>
            </w:tcBorders>
            <w:vAlign w:val="center"/>
          </w:tcPr>
          <w:p w14:paraId="6B8C9CB8">
            <w:pPr>
              <w:pStyle w:val="23"/>
              <w:snapToGrid/>
              <w:spacing w:after="0" w:line="420" w:lineRule="exact"/>
              <w:contextualSpacing/>
              <w:jc w:val="center"/>
              <w:rPr>
                <w:rFonts w:ascii="仿宋_GB2312" w:eastAsia="仿宋_GB2312"/>
                <w:color w:val="auto"/>
                <w:sz w:val="24"/>
                <w:szCs w:val="24"/>
                <w:lang w:eastAsia="zh-CN"/>
              </w:rPr>
            </w:pPr>
          </w:p>
        </w:tc>
        <w:tc>
          <w:tcPr>
            <w:tcW w:w="977" w:type="dxa"/>
            <w:tcBorders>
              <w:top w:val="single" w:color="auto" w:sz="4" w:space="0"/>
              <w:left w:val="single" w:color="auto" w:sz="4" w:space="0"/>
              <w:bottom w:val="single" w:color="auto" w:sz="4" w:space="0"/>
              <w:right w:val="single" w:color="auto" w:sz="4" w:space="0"/>
            </w:tcBorders>
            <w:vAlign w:val="center"/>
          </w:tcPr>
          <w:p w14:paraId="0C65207B">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090103</w:t>
            </w:r>
          </w:p>
        </w:tc>
        <w:tc>
          <w:tcPr>
            <w:tcW w:w="3220" w:type="dxa"/>
            <w:tcBorders>
              <w:top w:val="single" w:color="auto" w:sz="4" w:space="0"/>
              <w:left w:val="single" w:color="auto" w:sz="4" w:space="0"/>
              <w:bottom w:val="single" w:color="auto" w:sz="4" w:space="0"/>
              <w:right w:val="single" w:color="auto" w:sz="4" w:space="0"/>
            </w:tcBorders>
            <w:vAlign w:val="center"/>
          </w:tcPr>
          <w:p w14:paraId="1E9BB5E0">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餐饮用地</w:t>
            </w:r>
          </w:p>
        </w:tc>
      </w:tr>
      <w:tr w14:paraId="78DC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left w:val="single" w:color="auto" w:sz="4" w:space="0"/>
              <w:right w:val="single" w:color="auto" w:sz="4" w:space="0"/>
            </w:tcBorders>
            <w:vAlign w:val="center"/>
          </w:tcPr>
          <w:p w14:paraId="60F36DFF">
            <w:pPr>
              <w:pStyle w:val="23"/>
              <w:snapToGrid/>
              <w:spacing w:after="0" w:line="420" w:lineRule="exact"/>
              <w:contextualSpacing/>
              <w:jc w:val="center"/>
              <w:rPr>
                <w:rFonts w:ascii="仿宋_GB2312" w:eastAsia="仿宋_GB2312"/>
                <w:color w:val="auto"/>
                <w:sz w:val="24"/>
                <w:szCs w:val="24"/>
                <w:lang w:eastAsia="zh-CN"/>
              </w:rPr>
            </w:pPr>
          </w:p>
        </w:tc>
        <w:tc>
          <w:tcPr>
            <w:tcW w:w="1120" w:type="dxa"/>
            <w:vMerge w:val="continue"/>
            <w:tcBorders>
              <w:left w:val="single" w:color="auto" w:sz="4" w:space="0"/>
              <w:right w:val="single" w:color="auto" w:sz="4" w:space="0"/>
            </w:tcBorders>
            <w:vAlign w:val="center"/>
          </w:tcPr>
          <w:p w14:paraId="75CFAD25">
            <w:pPr>
              <w:pStyle w:val="23"/>
              <w:snapToGrid/>
              <w:spacing w:after="0" w:line="420" w:lineRule="exact"/>
              <w:contextualSpacing/>
              <w:jc w:val="center"/>
              <w:rPr>
                <w:rFonts w:ascii="仿宋_GB2312" w:eastAsia="仿宋_GB2312"/>
                <w:color w:val="auto"/>
                <w:sz w:val="24"/>
                <w:szCs w:val="24"/>
                <w:lang w:eastAsia="zh-CN"/>
              </w:rPr>
            </w:pPr>
          </w:p>
        </w:tc>
        <w:tc>
          <w:tcPr>
            <w:tcW w:w="837" w:type="dxa"/>
            <w:vMerge w:val="continue"/>
            <w:tcBorders>
              <w:left w:val="single" w:color="auto" w:sz="4" w:space="0"/>
              <w:right w:val="single" w:color="auto" w:sz="4" w:space="0"/>
            </w:tcBorders>
            <w:vAlign w:val="center"/>
          </w:tcPr>
          <w:p w14:paraId="3B3258A8">
            <w:pPr>
              <w:pStyle w:val="23"/>
              <w:snapToGrid/>
              <w:spacing w:after="0" w:line="420" w:lineRule="exact"/>
              <w:contextualSpacing/>
              <w:jc w:val="center"/>
              <w:rPr>
                <w:rFonts w:ascii="仿宋_GB2312" w:eastAsia="仿宋_GB2312"/>
                <w:color w:val="auto"/>
                <w:sz w:val="24"/>
                <w:szCs w:val="24"/>
                <w:lang w:eastAsia="zh-CN"/>
              </w:rPr>
            </w:pPr>
          </w:p>
        </w:tc>
        <w:tc>
          <w:tcPr>
            <w:tcW w:w="2520" w:type="dxa"/>
            <w:vMerge w:val="continue"/>
            <w:tcBorders>
              <w:left w:val="single" w:color="auto" w:sz="4" w:space="0"/>
              <w:right w:val="single" w:color="auto" w:sz="4" w:space="0"/>
            </w:tcBorders>
            <w:vAlign w:val="center"/>
          </w:tcPr>
          <w:p w14:paraId="157FF462">
            <w:pPr>
              <w:pStyle w:val="23"/>
              <w:snapToGrid/>
              <w:spacing w:after="0" w:line="420" w:lineRule="exact"/>
              <w:contextualSpacing/>
              <w:jc w:val="center"/>
              <w:rPr>
                <w:rFonts w:ascii="仿宋_GB2312" w:eastAsia="仿宋_GB2312"/>
                <w:color w:val="auto"/>
                <w:sz w:val="24"/>
                <w:szCs w:val="24"/>
                <w:lang w:eastAsia="zh-CN"/>
              </w:rPr>
            </w:pPr>
          </w:p>
        </w:tc>
        <w:tc>
          <w:tcPr>
            <w:tcW w:w="977" w:type="dxa"/>
            <w:tcBorders>
              <w:top w:val="single" w:color="auto" w:sz="4" w:space="0"/>
              <w:left w:val="single" w:color="auto" w:sz="4" w:space="0"/>
              <w:bottom w:val="single" w:color="auto" w:sz="4" w:space="0"/>
              <w:right w:val="single" w:color="auto" w:sz="4" w:space="0"/>
            </w:tcBorders>
            <w:vAlign w:val="center"/>
          </w:tcPr>
          <w:p w14:paraId="68CF14C9">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090104</w:t>
            </w:r>
          </w:p>
        </w:tc>
        <w:tc>
          <w:tcPr>
            <w:tcW w:w="3220" w:type="dxa"/>
            <w:tcBorders>
              <w:top w:val="single" w:color="auto" w:sz="4" w:space="0"/>
              <w:left w:val="single" w:color="auto" w:sz="4" w:space="0"/>
              <w:bottom w:val="single" w:color="auto" w:sz="4" w:space="0"/>
              <w:right w:val="single" w:color="auto" w:sz="4" w:space="0"/>
            </w:tcBorders>
            <w:vAlign w:val="center"/>
          </w:tcPr>
          <w:p w14:paraId="6B5D6445">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旅馆用地</w:t>
            </w:r>
          </w:p>
        </w:tc>
      </w:tr>
      <w:tr w14:paraId="42CA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left w:val="single" w:color="auto" w:sz="4" w:space="0"/>
              <w:right w:val="single" w:color="auto" w:sz="4" w:space="0"/>
            </w:tcBorders>
            <w:vAlign w:val="center"/>
          </w:tcPr>
          <w:p w14:paraId="40C95419">
            <w:pPr>
              <w:pStyle w:val="23"/>
              <w:snapToGrid/>
              <w:spacing w:after="0" w:line="420" w:lineRule="exact"/>
              <w:contextualSpacing/>
              <w:jc w:val="center"/>
              <w:rPr>
                <w:rFonts w:ascii="仿宋_GB2312" w:eastAsia="仿宋_GB2312"/>
                <w:color w:val="auto"/>
                <w:sz w:val="24"/>
                <w:szCs w:val="24"/>
                <w:lang w:eastAsia="zh-CN"/>
              </w:rPr>
            </w:pPr>
          </w:p>
        </w:tc>
        <w:tc>
          <w:tcPr>
            <w:tcW w:w="1120" w:type="dxa"/>
            <w:vMerge w:val="continue"/>
            <w:tcBorders>
              <w:left w:val="single" w:color="auto" w:sz="4" w:space="0"/>
              <w:right w:val="single" w:color="auto" w:sz="4" w:space="0"/>
            </w:tcBorders>
            <w:vAlign w:val="center"/>
          </w:tcPr>
          <w:p w14:paraId="06AC16A2">
            <w:pPr>
              <w:pStyle w:val="23"/>
              <w:snapToGrid/>
              <w:spacing w:after="0" w:line="420" w:lineRule="exact"/>
              <w:contextualSpacing/>
              <w:jc w:val="center"/>
              <w:rPr>
                <w:rFonts w:ascii="仿宋_GB2312" w:eastAsia="仿宋_GB2312"/>
                <w:color w:val="auto"/>
                <w:sz w:val="24"/>
                <w:szCs w:val="24"/>
                <w:lang w:eastAsia="zh-CN"/>
              </w:rPr>
            </w:pPr>
          </w:p>
        </w:tc>
        <w:tc>
          <w:tcPr>
            <w:tcW w:w="837" w:type="dxa"/>
            <w:vMerge w:val="continue"/>
            <w:tcBorders>
              <w:left w:val="single" w:color="auto" w:sz="4" w:space="0"/>
              <w:bottom w:val="single" w:color="auto" w:sz="4" w:space="0"/>
              <w:right w:val="single" w:color="auto" w:sz="4" w:space="0"/>
            </w:tcBorders>
            <w:vAlign w:val="center"/>
          </w:tcPr>
          <w:p w14:paraId="12ECE646">
            <w:pPr>
              <w:pStyle w:val="23"/>
              <w:snapToGrid/>
              <w:spacing w:after="0" w:line="420" w:lineRule="exact"/>
              <w:contextualSpacing/>
              <w:jc w:val="center"/>
              <w:rPr>
                <w:rFonts w:ascii="仿宋_GB2312" w:eastAsia="仿宋_GB2312"/>
                <w:color w:val="auto"/>
                <w:sz w:val="24"/>
                <w:szCs w:val="24"/>
                <w:lang w:eastAsia="zh-CN"/>
              </w:rPr>
            </w:pPr>
          </w:p>
        </w:tc>
        <w:tc>
          <w:tcPr>
            <w:tcW w:w="2520" w:type="dxa"/>
            <w:vMerge w:val="continue"/>
            <w:tcBorders>
              <w:left w:val="single" w:color="auto" w:sz="4" w:space="0"/>
              <w:bottom w:val="single" w:color="auto" w:sz="4" w:space="0"/>
              <w:right w:val="single" w:color="auto" w:sz="4" w:space="0"/>
            </w:tcBorders>
            <w:vAlign w:val="center"/>
          </w:tcPr>
          <w:p w14:paraId="254ABF5B">
            <w:pPr>
              <w:pStyle w:val="23"/>
              <w:snapToGrid/>
              <w:spacing w:after="0" w:line="420" w:lineRule="exact"/>
              <w:contextualSpacing/>
              <w:jc w:val="center"/>
              <w:rPr>
                <w:rFonts w:ascii="仿宋_GB2312" w:eastAsia="仿宋_GB2312"/>
                <w:color w:val="auto"/>
                <w:sz w:val="24"/>
                <w:szCs w:val="24"/>
                <w:lang w:eastAsia="zh-CN"/>
              </w:rPr>
            </w:pPr>
          </w:p>
        </w:tc>
        <w:tc>
          <w:tcPr>
            <w:tcW w:w="977" w:type="dxa"/>
            <w:tcBorders>
              <w:top w:val="single" w:color="auto" w:sz="4" w:space="0"/>
              <w:left w:val="single" w:color="auto" w:sz="4" w:space="0"/>
              <w:bottom w:val="single" w:color="auto" w:sz="4" w:space="0"/>
              <w:right w:val="single" w:color="auto" w:sz="4" w:space="0"/>
            </w:tcBorders>
            <w:vAlign w:val="center"/>
          </w:tcPr>
          <w:p w14:paraId="3F9BDB2D">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090105</w:t>
            </w:r>
          </w:p>
        </w:tc>
        <w:tc>
          <w:tcPr>
            <w:tcW w:w="3220" w:type="dxa"/>
            <w:tcBorders>
              <w:top w:val="single" w:color="auto" w:sz="4" w:space="0"/>
              <w:left w:val="single" w:color="auto" w:sz="4" w:space="0"/>
              <w:bottom w:val="single" w:color="auto" w:sz="4" w:space="0"/>
              <w:right w:val="single" w:color="auto" w:sz="4" w:space="0"/>
            </w:tcBorders>
            <w:vAlign w:val="center"/>
          </w:tcPr>
          <w:p w14:paraId="5934345F">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公用设施营业网点用地</w:t>
            </w:r>
          </w:p>
        </w:tc>
      </w:tr>
      <w:tr w14:paraId="1502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838" w:type="dxa"/>
            <w:vMerge w:val="continue"/>
            <w:tcBorders>
              <w:left w:val="single" w:color="auto" w:sz="4" w:space="0"/>
              <w:right w:val="single" w:color="auto" w:sz="4" w:space="0"/>
            </w:tcBorders>
            <w:vAlign w:val="center"/>
          </w:tcPr>
          <w:p w14:paraId="5DEE8E51">
            <w:pPr>
              <w:pStyle w:val="23"/>
              <w:snapToGrid/>
              <w:spacing w:after="0" w:line="420" w:lineRule="exact"/>
              <w:contextualSpacing/>
              <w:jc w:val="center"/>
              <w:rPr>
                <w:rFonts w:ascii="仿宋_GB2312" w:eastAsia="仿宋_GB2312"/>
                <w:color w:val="auto"/>
                <w:sz w:val="24"/>
                <w:szCs w:val="24"/>
                <w:lang w:eastAsia="zh-CN"/>
              </w:rPr>
            </w:pPr>
          </w:p>
        </w:tc>
        <w:tc>
          <w:tcPr>
            <w:tcW w:w="1120" w:type="dxa"/>
            <w:vMerge w:val="continue"/>
            <w:tcBorders>
              <w:left w:val="single" w:color="auto" w:sz="4" w:space="0"/>
              <w:right w:val="single" w:color="auto" w:sz="4" w:space="0"/>
            </w:tcBorders>
            <w:vAlign w:val="center"/>
          </w:tcPr>
          <w:p w14:paraId="23D6A33A">
            <w:pPr>
              <w:pStyle w:val="23"/>
              <w:snapToGrid/>
              <w:spacing w:after="0" w:line="420" w:lineRule="exact"/>
              <w:contextualSpacing/>
              <w:jc w:val="center"/>
              <w:rPr>
                <w:rFonts w:ascii="仿宋_GB2312" w:eastAsia="仿宋_GB2312"/>
                <w:color w:val="auto"/>
                <w:sz w:val="24"/>
                <w:szCs w:val="24"/>
                <w:lang w:eastAsia="zh-CN"/>
              </w:rPr>
            </w:pPr>
          </w:p>
        </w:tc>
        <w:tc>
          <w:tcPr>
            <w:tcW w:w="837" w:type="dxa"/>
            <w:vMerge w:val="restart"/>
            <w:tcBorders>
              <w:top w:val="single" w:color="auto" w:sz="4" w:space="0"/>
              <w:left w:val="single" w:color="auto" w:sz="4" w:space="0"/>
              <w:right w:val="single" w:color="auto" w:sz="4" w:space="0"/>
            </w:tcBorders>
            <w:vAlign w:val="center"/>
          </w:tcPr>
          <w:p w14:paraId="7C40ADD3">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0902</w:t>
            </w:r>
          </w:p>
        </w:tc>
        <w:tc>
          <w:tcPr>
            <w:tcW w:w="2520" w:type="dxa"/>
            <w:vMerge w:val="restart"/>
            <w:tcBorders>
              <w:top w:val="single" w:color="auto" w:sz="4" w:space="0"/>
              <w:left w:val="single" w:color="auto" w:sz="4" w:space="0"/>
              <w:right w:val="single" w:color="auto" w:sz="4" w:space="0"/>
            </w:tcBorders>
            <w:vAlign w:val="center"/>
          </w:tcPr>
          <w:p w14:paraId="58597BF9">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商务金融用地</w:t>
            </w:r>
          </w:p>
        </w:tc>
        <w:tc>
          <w:tcPr>
            <w:tcW w:w="977" w:type="dxa"/>
            <w:tcBorders>
              <w:top w:val="single" w:color="auto" w:sz="4" w:space="0"/>
              <w:left w:val="single" w:color="auto" w:sz="4" w:space="0"/>
              <w:bottom w:val="single" w:color="auto" w:sz="4" w:space="0"/>
              <w:right w:val="single" w:color="auto" w:sz="4" w:space="0"/>
            </w:tcBorders>
            <w:vAlign w:val="center"/>
          </w:tcPr>
          <w:p w14:paraId="7BF5F744">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090201</w:t>
            </w:r>
          </w:p>
        </w:tc>
        <w:tc>
          <w:tcPr>
            <w:tcW w:w="3220" w:type="dxa"/>
            <w:tcBorders>
              <w:top w:val="single" w:color="auto" w:sz="4" w:space="0"/>
              <w:left w:val="single" w:color="auto" w:sz="4" w:space="0"/>
              <w:bottom w:val="single" w:color="auto" w:sz="4" w:space="0"/>
              <w:right w:val="single" w:color="auto" w:sz="4" w:space="0"/>
            </w:tcBorders>
            <w:vAlign w:val="center"/>
          </w:tcPr>
          <w:p w14:paraId="261BD68E">
            <w:pPr>
              <w:pStyle w:val="23"/>
              <w:snapToGrid/>
              <w:spacing w:after="0" w:line="420" w:lineRule="exact"/>
              <w:contextualSpacing/>
              <w:jc w:val="center"/>
              <w:rPr>
                <w:rFonts w:ascii="仿宋_GB2312" w:eastAsia="仿宋_GB2312"/>
                <w:color w:val="auto"/>
                <w:sz w:val="24"/>
                <w:szCs w:val="24"/>
                <w:lang w:eastAsia="zh-CN"/>
              </w:rPr>
            </w:pPr>
            <w:r>
              <w:rPr>
                <w:rFonts w:hint="eastAsia" w:ascii="仿宋_GB2312" w:eastAsia="仿宋_GB2312"/>
                <w:color w:val="auto"/>
                <w:sz w:val="24"/>
                <w:szCs w:val="24"/>
                <w:lang w:eastAsia="zh-CN"/>
              </w:rPr>
              <w:t>金融保险用地</w:t>
            </w:r>
          </w:p>
        </w:tc>
      </w:tr>
      <w:tr w14:paraId="0701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838" w:type="dxa"/>
            <w:vMerge w:val="continue"/>
            <w:tcBorders>
              <w:left w:val="single" w:color="auto" w:sz="4" w:space="0"/>
              <w:right w:val="single" w:color="auto" w:sz="4" w:space="0"/>
            </w:tcBorders>
            <w:vAlign w:val="center"/>
          </w:tcPr>
          <w:p w14:paraId="24A4EAEF">
            <w:pPr>
              <w:pStyle w:val="23"/>
              <w:snapToGrid/>
              <w:spacing w:after="0" w:line="420" w:lineRule="exact"/>
              <w:contextualSpacing/>
              <w:jc w:val="center"/>
              <w:rPr>
                <w:rFonts w:ascii="仿宋_GB2312" w:eastAsia="仿宋_GB2312"/>
                <w:color w:val="auto"/>
                <w:sz w:val="24"/>
                <w:szCs w:val="24"/>
              </w:rPr>
            </w:pPr>
          </w:p>
        </w:tc>
        <w:tc>
          <w:tcPr>
            <w:tcW w:w="1120" w:type="dxa"/>
            <w:vMerge w:val="continue"/>
            <w:tcBorders>
              <w:left w:val="single" w:color="auto" w:sz="4" w:space="0"/>
              <w:right w:val="single" w:color="auto" w:sz="4" w:space="0"/>
            </w:tcBorders>
            <w:vAlign w:val="center"/>
          </w:tcPr>
          <w:p w14:paraId="65D5A11F">
            <w:pPr>
              <w:pStyle w:val="23"/>
              <w:snapToGrid/>
              <w:spacing w:after="0" w:line="420" w:lineRule="exact"/>
              <w:contextualSpacing/>
              <w:jc w:val="center"/>
              <w:rPr>
                <w:rFonts w:ascii="仿宋_GB2312" w:eastAsia="仿宋_GB2312"/>
                <w:color w:val="auto"/>
                <w:sz w:val="24"/>
                <w:szCs w:val="24"/>
              </w:rPr>
            </w:pPr>
          </w:p>
        </w:tc>
        <w:tc>
          <w:tcPr>
            <w:tcW w:w="837" w:type="dxa"/>
            <w:vMerge w:val="continue"/>
            <w:tcBorders>
              <w:left w:val="single" w:color="auto" w:sz="4" w:space="0"/>
              <w:right w:val="single" w:color="auto" w:sz="4" w:space="0"/>
            </w:tcBorders>
            <w:vAlign w:val="center"/>
          </w:tcPr>
          <w:p w14:paraId="4F931B58">
            <w:pPr>
              <w:pStyle w:val="23"/>
              <w:snapToGrid/>
              <w:spacing w:after="0" w:line="420" w:lineRule="exact"/>
              <w:contextualSpacing/>
              <w:jc w:val="center"/>
              <w:rPr>
                <w:rFonts w:ascii="仿宋_GB2312" w:eastAsia="仿宋_GB2312"/>
                <w:color w:val="auto"/>
                <w:sz w:val="24"/>
                <w:szCs w:val="24"/>
              </w:rPr>
            </w:pPr>
          </w:p>
        </w:tc>
        <w:tc>
          <w:tcPr>
            <w:tcW w:w="2520" w:type="dxa"/>
            <w:vMerge w:val="continue"/>
            <w:tcBorders>
              <w:left w:val="single" w:color="auto" w:sz="4" w:space="0"/>
              <w:right w:val="single" w:color="auto" w:sz="4" w:space="0"/>
            </w:tcBorders>
            <w:vAlign w:val="center"/>
          </w:tcPr>
          <w:p w14:paraId="598CED30">
            <w:pPr>
              <w:pStyle w:val="23"/>
              <w:snapToGrid/>
              <w:spacing w:after="0" w:line="420" w:lineRule="exact"/>
              <w:contextualSpacing/>
              <w:jc w:val="center"/>
              <w:rPr>
                <w:rFonts w:ascii="仿宋_GB2312" w:eastAsia="仿宋_GB2312"/>
                <w:color w:val="auto"/>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0E742BB3">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090202</w:t>
            </w:r>
          </w:p>
        </w:tc>
        <w:tc>
          <w:tcPr>
            <w:tcW w:w="3220" w:type="dxa"/>
            <w:tcBorders>
              <w:top w:val="single" w:color="auto" w:sz="4" w:space="0"/>
              <w:left w:val="single" w:color="auto" w:sz="4" w:space="0"/>
              <w:bottom w:val="single" w:color="auto" w:sz="4" w:space="0"/>
              <w:right w:val="single" w:color="auto" w:sz="4" w:space="0"/>
            </w:tcBorders>
            <w:vAlign w:val="center"/>
          </w:tcPr>
          <w:p w14:paraId="19BD1CAA">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艺术传媒用地</w:t>
            </w:r>
          </w:p>
        </w:tc>
      </w:tr>
      <w:tr w14:paraId="23AE2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838" w:type="dxa"/>
            <w:vMerge w:val="continue"/>
            <w:tcBorders>
              <w:left w:val="single" w:color="auto" w:sz="4" w:space="0"/>
              <w:right w:val="single" w:color="auto" w:sz="4" w:space="0"/>
            </w:tcBorders>
            <w:vAlign w:val="center"/>
          </w:tcPr>
          <w:p w14:paraId="5BD16D0F">
            <w:pPr>
              <w:pStyle w:val="23"/>
              <w:snapToGrid/>
              <w:spacing w:after="0" w:line="420" w:lineRule="exact"/>
              <w:contextualSpacing/>
              <w:jc w:val="center"/>
              <w:rPr>
                <w:rFonts w:ascii="仿宋_GB2312" w:eastAsia="仿宋_GB2312"/>
                <w:color w:val="auto"/>
                <w:sz w:val="24"/>
                <w:szCs w:val="24"/>
              </w:rPr>
            </w:pPr>
          </w:p>
        </w:tc>
        <w:tc>
          <w:tcPr>
            <w:tcW w:w="1120" w:type="dxa"/>
            <w:vMerge w:val="continue"/>
            <w:tcBorders>
              <w:left w:val="single" w:color="auto" w:sz="4" w:space="0"/>
              <w:right w:val="single" w:color="auto" w:sz="4" w:space="0"/>
            </w:tcBorders>
            <w:vAlign w:val="center"/>
          </w:tcPr>
          <w:p w14:paraId="0C51C732">
            <w:pPr>
              <w:pStyle w:val="23"/>
              <w:snapToGrid/>
              <w:spacing w:after="0" w:line="420" w:lineRule="exact"/>
              <w:contextualSpacing/>
              <w:jc w:val="center"/>
              <w:rPr>
                <w:rFonts w:ascii="仿宋_GB2312" w:eastAsia="仿宋_GB2312"/>
                <w:color w:val="auto"/>
                <w:sz w:val="24"/>
                <w:szCs w:val="24"/>
              </w:rPr>
            </w:pPr>
          </w:p>
        </w:tc>
        <w:tc>
          <w:tcPr>
            <w:tcW w:w="837" w:type="dxa"/>
            <w:vMerge w:val="continue"/>
            <w:tcBorders>
              <w:left w:val="single" w:color="auto" w:sz="4" w:space="0"/>
              <w:right w:val="single" w:color="auto" w:sz="4" w:space="0"/>
            </w:tcBorders>
            <w:vAlign w:val="center"/>
          </w:tcPr>
          <w:p w14:paraId="38538E79">
            <w:pPr>
              <w:pStyle w:val="23"/>
              <w:snapToGrid/>
              <w:spacing w:after="0" w:line="420" w:lineRule="exact"/>
              <w:contextualSpacing/>
              <w:jc w:val="center"/>
              <w:rPr>
                <w:rFonts w:ascii="仿宋_GB2312" w:eastAsia="仿宋_GB2312"/>
                <w:color w:val="auto"/>
                <w:sz w:val="24"/>
                <w:szCs w:val="24"/>
              </w:rPr>
            </w:pPr>
          </w:p>
        </w:tc>
        <w:tc>
          <w:tcPr>
            <w:tcW w:w="2520" w:type="dxa"/>
            <w:vMerge w:val="continue"/>
            <w:tcBorders>
              <w:left w:val="single" w:color="auto" w:sz="4" w:space="0"/>
              <w:right w:val="single" w:color="auto" w:sz="4" w:space="0"/>
            </w:tcBorders>
            <w:vAlign w:val="center"/>
          </w:tcPr>
          <w:p w14:paraId="788D9278">
            <w:pPr>
              <w:pStyle w:val="23"/>
              <w:snapToGrid/>
              <w:spacing w:after="0" w:line="420" w:lineRule="exact"/>
              <w:contextualSpacing/>
              <w:jc w:val="center"/>
              <w:rPr>
                <w:rFonts w:ascii="仿宋_GB2312" w:eastAsia="仿宋_GB2312"/>
                <w:color w:val="auto"/>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6A38EF9D">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090203</w:t>
            </w:r>
          </w:p>
        </w:tc>
        <w:tc>
          <w:tcPr>
            <w:tcW w:w="3220" w:type="dxa"/>
            <w:tcBorders>
              <w:top w:val="single" w:color="auto" w:sz="4" w:space="0"/>
              <w:left w:val="single" w:color="auto" w:sz="4" w:space="0"/>
              <w:bottom w:val="single" w:color="auto" w:sz="4" w:space="0"/>
              <w:right w:val="single" w:color="auto" w:sz="4" w:space="0"/>
            </w:tcBorders>
            <w:vAlign w:val="center"/>
          </w:tcPr>
          <w:p w14:paraId="254D5B23">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办公设计用地</w:t>
            </w:r>
          </w:p>
        </w:tc>
      </w:tr>
      <w:tr w14:paraId="0E66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838" w:type="dxa"/>
            <w:vMerge w:val="continue"/>
            <w:tcBorders>
              <w:left w:val="single" w:color="auto" w:sz="4" w:space="0"/>
              <w:right w:val="single" w:color="auto" w:sz="4" w:space="0"/>
            </w:tcBorders>
            <w:vAlign w:val="center"/>
          </w:tcPr>
          <w:p w14:paraId="6AFF6674">
            <w:pPr>
              <w:pStyle w:val="23"/>
              <w:snapToGrid/>
              <w:spacing w:after="0" w:line="420" w:lineRule="exact"/>
              <w:contextualSpacing/>
              <w:jc w:val="center"/>
              <w:rPr>
                <w:rFonts w:ascii="仿宋_GB2312" w:eastAsia="仿宋_GB2312"/>
                <w:color w:val="auto"/>
                <w:sz w:val="24"/>
                <w:szCs w:val="24"/>
              </w:rPr>
            </w:pPr>
          </w:p>
        </w:tc>
        <w:tc>
          <w:tcPr>
            <w:tcW w:w="1120" w:type="dxa"/>
            <w:vMerge w:val="continue"/>
            <w:tcBorders>
              <w:left w:val="single" w:color="auto" w:sz="4" w:space="0"/>
              <w:right w:val="single" w:color="auto" w:sz="4" w:space="0"/>
            </w:tcBorders>
            <w:vAlign w:val="center"/>
          </w:tcPr>
          <w:p w14:paraId="630A6939">
            <w:pPr>
              <w:pStyle w:val="23"/>
              <w:snapToGrid/>
              <w:spacing w:after="0" w:line="420" w:lineRule="exact"/>
              <w:contextualSpacing/>
              <w:jc w:val="center"/>
              <w:rPr>
                <w:rFonts w:ascii="仿宋_GB2312" w:eastAsia="仿宋_GB2312"/>
                <w:color w:val="auto"/>
                <w:sz w:val="24"/>
                <w:szCs w:val="24"/>
              </w:rPr>
            </w:pPr>
          </w:p>
        </w:tc>
        <w:tc>
          <w:tcPr>
            <w:tcW w:w="837" w:type="dxa"/>
            <w:vMerge w:val="continue"/>
            <w:tcBorders>
              <w:left w:val="single" w:color="auto" w:sz="4" w:space="0"/>
              <w:bottom w:val="single" w:color="auto" w:sz="4" w:space="0"/>
              <w:right w:val="single" w:color="auto" w:sz="4" w:space="0"/>
            </w:tcBorders>
            <w:vAlign w:val="center"/>
          </w:tcPr>
          <w:p w14:paraId="21739DEE">
            <w:pPr>
              <w:pStyle w:val="23"/>
              <w:snapToGrid/>
              <w:spacing w:after="0" w:line="420" w:lineRule="exact"/>
              <w:contextualSpacing/>
              <w:jc w:val="center"/>
              <w:rPr>
                <w:rFonts w:ascii="仿宋_GB2312" w:eastAsia="仿宋_GB2312"/>
                <w:color w:val="auto"/>
                <w:sz w:val="24"/>
                <w:szCs w:val="24"/>
              </w:rPr>
            </w:pPr>
          </w:p>
        </w:tc>
        <w:tc>
          <w:tcPr>
            <w:tcW w:w="2520" w:type="dxa"/>
            <w:vMerge w:val="continue"/>
            <w:tcBorders>
              <w:left w:val="single" w:color="auto" w:sz="4" w:space="0"/>
              <w:bottom w:val="single" w:color="auto" w:sz="4" w:space="0"/>
              <w:right w:val="single" w:color="auto" w:sz="4" w:space="0"/>
            </w:tcBorders>
            <w:vAlign w:val="center"/>
          </w:tcPr>
          <w:p w14:paraId="6B7E6E5A">
            <w:pPr>
              <w:pStyle w:val="23"/>
              <w:snapToGrid/>
              <w:spacing w:after="0" w:line="420" w:lineRule="exact"/>
              <w:contextualSpacing/>
              <w:jc w:val="center"/>
              <w:rPr>
                <w:rFonts w:ascii="仿宋_GB2312" w:eastAsia="仿宋_GB2312"/>
                <w:color w:val="auto"/>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6C5C6A0E">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090204</w:t>
            </w:r>
          </w:p>
        </w:tc>
        <w:tc>
          <w:tcPr>
            <w:tcW w:w="3220" w:type="dxa"/>
            <w:tcBorders>
              <w:top w:val="single" w:color="auto" w:sz="4" w:space="0"/>
              <w:left w:val="single" w:color="auto" w:sz="4" w:space="0"/>
              <w:bottom w:val="single" w:color="auto" w:sz="4" w:space="0"/>
              <w:right w:val="single" w:color="auto" w:sz="4" w:space="0"/>
            </w:tcBorders>
            <w:vAlign w:val="center"/>
          </w:tcPr>
          <w:p w14:paraId="305D8290">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其他商务用地</w:t>
            </w:r>
          </w:p>
        </w:tc>
      </w:tr>
      <w:tr w14:paraId="29F9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838" w:type="dxa"/>
            <w:vMerge w:val="continue"/>
            <w:tcBorders>
              <w:left w:val="single" w:color="auto" w:sz="4" w:space="0"/>
              <w:right w:val="single" w:color="auto" w:sz="4" w:space="0"/>
            </w:tcBorders>
            <w:vAlign w:val="center"/>
          </w:tcPr>
          <w:p w14:paraId="126D7BEE">
            <w:pPr>
              <w:pStyle w:val="23"/>
              <w:snapToGrid/>
              <w:spacing w:after="0" w:line="420" w:lineRule="exact"/>
              <w:contextualSpacing/>
              <w:jc w:val="center"/>
              <w:rPr>
                <w:rFonts w:ascii="仿宋_GB2312" w:eastAsia="仿宋_GB2312"/>
                <w:color w:val="auto"/>
                <w:sz w:val="24"/>
                <w:szCs w:val="24"/>
              </w:rPr>
            </w:pPr>
          </w:p>
        </w:tc>
        <w:tc>
          <w:tcPr>
            <w:tcW w:w="1120" w:type="dxa"/>
            <w:vMerge w:val="continue"/>
            <w:tcBorders>
              <w:left w:val="single" w:color="auto" w:sz="4" w:space="0"/>
              <w:right w:val="single" w:color="auto" w:sz="4" w:space="0"/>
            </w:tcBorders>
            <w:vAlign w:val="center"/>
          </w:tcPr>
          <w:p w14:paraId="0D381B07">
            <w:pPr>
              <w:pStyle w:val="23"/>
              <w:snapToGrid/>
              <w:spacing w:after="0" w:line="420" w:lineRule="exact"/>
              <w:contextualSpacing/>
              <w:jc w:val="center"/>
              <w:rPr>
                <w:rFonts w:ascii="仿宋_GB2312" w:eastAsia="仿宋_GB2312"/>
                <w:color w:val="auto"/>
                <w:sz w:val="24"/>
                <w:szCs w:val="24"/>
              </w:rPr>
            </w:pPr>
          </w:p>
        </w:tc>
        <w:tc>
          <w:tcPr>
            <w:tcW w:w="837" w:type="dxa"/>
            <w:tcBorders>
              <w:top w:val="single" w:color="auto" w:sz="4" w:space="0"/>
              <w:left w:val="single" w:color="auto" w:sz="4" w:space="0"/>
              <w:bottom w:val="single" w:color="auto" w:sz="4" w:space="0"/>
              <w:right w:val="single" w:color="auto" w:sz="4" w:space="0"/>
            </w:tcBorders>
            <w:vAlign w:val="center"/>
          </w:tcPr>
          <w:p w14:paraId="3C718C8C">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0903</w:t>
            </w:r>
          </w:p>
        </w:tc>
        <w:tc>
          <w:tcPr>
            <w:tcW w:w="2520" w:type="dxa"/>
            <w:tcBorders>
              <w:top w:val="single" w:color="auto" w:sz="4" w:space="0"/>
              <w:left w:val="single" w:color="auto" w:sz="4" w:space="0"/>
              <w:bottom w:val="single" w:color="auto" w:sz="4" w:space="0"/>
              <w:right w:val="single" w:color="auto" w:sz="4" w:space="0"/>
            </w:tcBorders>
            <w:vAlign w:val="center"/>
          </w:tcPr>
          <w:p w14:paraId="6B29A8C1">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娱乐用地</w:t>
            </w:r>
          </w:p>
        </w:tc>
        <w:tc>
          <w:tcPr>
            <w:tcW w:w="977" w:type="dxa"/>
            <w:tcBorders>
              <w:top w:val="single" w:color="auto" w:sz="4" w:space="0"/>
              <w:left w:val="single" w:color="auto" w:sz="4" w:space="0"/>
              <w:bottom w:val="single" w:color="auto" w:sz="4" w:space="0"/>
              <w:right w:val="single" w:color="auto" w:sz="4" w:space="0"/>
            </w:tcBorders>
            <w:vAlign w:val="center"/>
          </w:tcPr>
          <w:p w14:paraId="383BE269">
            <w:pPr>
              <w:spacing w:after="0" w:line="420" w:lineRule="exact"/>
              <w:contextualSpacing/>
              <w:jc w:val="center"/>
              <w:rPr>
                <w:rFonts w:ascii="仿宋_GB2312" w:hAnsi="宋体" w:eastAsia="仿宋_GB2312" w:cs="宋体"/>
                <w:snapToGrid w:val="0"/>
                <w:color w:val="auto"/>
                <w:sz w:val="24"/>
                <w:szCs w:val="24"/>
                <w:lang w:eastAsia="en-US"/>
              </w:rPr>
            </w:pPr>
          </w:p>
        </w:tc>
        <w:tc>
          <w:tcPr>
            <w:tcW w:w="3220" w:type="dxa"/>
            <w:tcBorders>
              <w:top w:val="single" w:color="auto" w:sz="4" w:space="0"/>
              <w:left w:val="single" w:color="auto" w:sz="4" w:space="0"/>
              <w:bottom w:val="single" w:color="auto" w:sz="4" w:space="0"/>
              <w:right w:val="single" w:color="auto" w:sz="4" w:space="0"/>
            </w:tcBorders>
            <w:vAlign w:val="center"/>
          </w:tcPr>
          <w:p w14:paraId="6C699801">
            <w:pPr>
              <w:spacing w:after="0" w:line="420" w:lineRule="exact"/>
              <w:contextualSpacing/>
              <w:jc w:val="center"/>
              <w:rPr>
                <w:rFonts w:ascii="仿宋_GB2312" w:hAnsi="宋体" w:eastAsia="仿宋_GB2312" w:cs="宋体"/>
                <w:snapToGrid w:val="0"/>
                <w:color w:val="auto"/>
                <w:sz w:val="24"/>
                <w:szCs w:val="24"/>
                <w:lang w:eastAsia="en-US"/>
              </w:rPr>
            </w:pPr>
          </w:p>
        </w:tc>
      </w:tr>
      <w:tr w14:paraId="7DA8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838" w:type="dxa"/>
            <w:vMerge w:val="continue"/>
            <w:tcBorders>
              <w:left w:val="single" w:color="auto" w:sz="4" w:space="0"/>
              <w:bottom w:val="single" w:color="auto" w:sz="4" w:space="0"/>
              <w:right w:val="single" w:color="auto" w:sz="4" w:space="0"/>
            </w:tcBorders>
            <w:vAlign w:val="center"/>
          </w:tcPr>
          <w:p w14:paraId="5CBC68DF">
            <w:pPr>
              <w:pStyle w:val="23"/>
              <w:snapToGrid/>
              <w:spacing w:after="0" w:line="420" w:lineRule="exact"/>
              <w:contextualSpacing/>
              <w:jc w:val="center"/>
              <w:rPr>
                <w:rFonts w:ascii="仿宋_GB2312" w:eastAsia="仿宋_GB2312"/>
                <w:color w:val="auto"/>
                <w:sz w:val="24"/>
                <w:szCs w:val="24"/>
              </w:rPr>
            </w:pPr>
          </w:p>
        </w:tc>
        <w:tc>
          <w:tcPr>
            <w:tcW w:w="1120" w:type="dxa"/>
            <w:vMerge w:val="continue"/>
            <w:tcBorders>
              <w:left w:val="single" w:color="auto" w:sz="4" w:space="0"/>
              <w:bottom w:val="single" w:color="auto" w:sz="4" w:space="0"/>
              <w:right w:val="single" w:color="auto" w:sz="4" w:space="0"/>
            </w:tcBorders>
            <w:vAlign w:val="center"/>
          </w:tcPr>
          <w:p w14:paraId="43100A61">
            <w:pPr>
              <w:pStyle w:val="23"/>
              <w:snapToGrid/>
              <w:spacing w:after="0" w:line="420" w:lineRule="exact"/>
              <w:contextualSpacing/>
              <w:jc w:val="center"/>
              <w:rPr>
                <w:rFonts w:ascii="仿宋_GB2312" w:eastAsia="仿宋_GB2312"/>
                <w:color w:val="auto"/>
                <w:sz w:val="24"/>
                <w:szCs w:val="24"/>
              </w:rPr>
            </w:pPr>
          </w:p>
        </w:tc>
        <w:tc>
          <w:tcPr>
            <w:tcW w:w="837" w:type="dxa"/>
            <w:tcBorders>
              <w:top w:val="single" w:color="auto" w:sz="4" w:space="0"/>
              <w:left w:val="single" w:color="auto" w:sz="4" w:space="0"/>
              <w:bottom w:val="single" w:color="auto" w:sz="4" w:space="0"/>
              <w:right w:val="single" w:color="auto" w:sz="4" w:space="0"/>
            </w:tcBorders>
            <w:vAlign w:val="center"/>
          </w:tcPr>
          <w:p w14:paraId="596AFD22">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0904</w:t>
            </w:r>
          </w:p>
        </w:tc>
        <w:tc>
          <w:tcPr>
            <w:tcW w:w="2520" w:type="dxa"/>
            <w:tcBorders>
              <w:top w:val="single" w:color="auto" w:sz="4" w:space="0"/>
              <w:left w:val="single" w:color="auto" w:sz="4" w:space="0"/>
              <w:bottom w:val="single" w:color="auto" w:sz="4" w:space="0"/>
              <w:right w:val="single" w:color="auto" w:sz="4" w:space="0"/>
            </w:tcBorders>
            <w:vAlign w:val="center"/>
          </w:tcPr>
          <w:p w14:paraId="787DEFA5">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其他商业服务业用地</w:t>
            </w:r>
          </w:p>
        </w:tc>
        <w:tc>
          <w:tcPr>
            <w:tcW w:w="977" w:type="dxa"/>
            <w:tcBorders>
              <w:top w:val="single" w:color="auto" w:sz="4" w:space="0"/>
              <w:left w:val="single" w:color="auto" w:sz="4" w:space="0"/>
              <w:bottom w:val="single" w:color="auto" w:sz="4" w:space="0"/>
              <w:right w:val="single" w:color="auto" w:sz="4" w:space="0"/>
            </w:tcBorders>
            <w:vAlign w:val="center"/>
          </w:tcPr>
          <w:p w14:paraId="125F752B">
            <w:pPr>
              <w:spacing w:after="0" w:line="420" w:lineRule="exact"/>
              <w:contextualSpacing/>
              <w:jc w:val="center"/>
              <w:rPr>
                <w:rFonts w:ascii="仿宋_GB2312" w:hAnsi="宋体" w:eastAsia="仿宋_GB2312" w:cs="宋体"/>
                <w:snapToGrid w:val="0"/>
                <w:color w:val="auto"/>
                <w:sz w:val="24"/>
                <w:szCs w:val="24"/>
                <w:lang w:eastAsia="en-US"/>
              </w:rPr>
            </w:pPr>
          </w:p>
        </w:tc>
        <w:tc>
          <w:tcPr>
            <w:tcW w:w="3220" w:type="dxa"/>
            <w:tcBorders>
              <w:top w:val="single" w:color="auto" w:sz="4" w:space="0"/>
              <w:left w:val="single" w:color="auto" w:sz="4" w:space="0"/>
              <w:bottom w:val="single" w:color="auto" w:sz="4" w:space="0"/>
              <w:right w:val="single" w:color="auto" w:sz="4" w:space="0"/>
            </w:tcBorders>
            <w:vAlign w:val="center"/>
          </w:tcPr>
          <w:p w14:paraId="731EBF92">
            <w:pPr>
              <w:spacing w:after="0" w:line="420" w:lineRule="exact"/>
              <w:contextualSpacing/>
              <w:jc w:val="center"/>
              <w:rPr>
                <w:rFonts w:ascii="仿宋_GB2312" w:hAnsi="宋体" w:eastAsia="仿宋_GB2312" w:cs="宋体"/>
                <w:snapToGrid w:val="0"/>
                <w:color w:val="auto"/>
                <w:sz w:val="24"/>
                <w:szCs w:val="24"/>
                <w:lang w:eastAsia="en-US"/>
              </w:rPr>
            </w:pPr>
          </w:p>
        </w:tc>
      </w:tr>
      <w:tr w14:paraId="16B0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838" w:type="dxa"/>
            <w:vMerge w:val="restart"/>
            <w:tcBorders>
              <w:top w:val="single" w:color="auto" w:sz="4" w:space="0"/>
              <w:left w:val="single" w:color="auto" w:sz="4" w:space="0"/>
              <w:bottom w:val="single" w:color="auto" w:sz="4" w:space="0"/>
              <w:right w:val="single" w:color="auto" w:sz="4" w:space="0"/>
            </w:tcBorders>
            <w:vAlign w:val="center"/>
          </w:tcPr>
          <w:p w14:paraId="38B10E7B">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10</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7B8546D8">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工矿用地</w:t>
            </w:r>
          </w:p>
        </w:tc>
        <w:tc>
          <w:tcPr>
            <w:tcW w:w="837" w:type="dxa"/>
            <w:vMerge w:val="restart"/>
            <w:tcBorders>
              <w:top w:val="single" w:color="auto" w:sz="4" w:space="0"/>
              <w:left w:val="single" w:color="auto" w:sz="4" w:space="0"/>
              <w:bottom w:val="single" w:color="auto" w:sz="4" w:space="0"/>
              <w:right w:val="single" w:color="auto" w:sz="4" w:space="0"/>
            </w:tcBorders>
            <w:vAlign w:val="center"/>
          </w:tcPr>
          <w:p w14:paraId="42FBB538">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1001</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14:paraId="4D63FCC9">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工业用地</w:t>
            </w:r>
          </w:p>
        </w:tc>
        <w:tc>
          <w:tcPr>
            <w:tcW w:w="977" w:type="dxa"/>
            <w:tcBorders>
              <w:top w:val="single" w:color="auto" w:sz="4" w:space="0"/>
              <w:left w:val="single" w:color="auto" w:sz="4" w:space="0"/>
              <w:bottom w:val="single" w:color="auto" w:sz="4" w:space="0"/>
              <w:right w:val="single" w:color="auto" w:sz="4" w:space="0"/>
            </w:tcBorders>
            <w:vAlign w:val="center"/>
          </w:tcPr>
          <w:p w14:paraId="0FE583E3">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100101</w:t>
            </w:r>
          </w:p>
        </w:tc>
        <w:tc>
          <w:tcPr>
            <w:tcW w:w="3220" w:type="dxa"/>
            <w:tcBorders>
              <w:top w:val="single" w:color="auto" w:sz="4" w:space="0"/>
              <w:left w:val="single" w:color="auto" w:sz="4" w:space="0"/>
              <w:bottom w:val="single" w:color="auto" w:sz="4" w:space="0"/>
              <w:right w:val="single" w:color="auto" w:sz="4" w:space="0"/>
            </w:tcBorders>
            <w:vAlign w:val="center"/>
          </w:tcPr>
          <w:p w14:paraId="73015F46">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一类工业用地</w:t>
            </w:r>
          </w:p>
        </w:tc>
      </w:tr>
      <w:tr w14:paraId="3C5D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1BE8A143">
            <w:pPr>
              <w:pStyle w:val="23"/>
              <w:snapToGrid/>
              <w:spacing w:after="0" w:line="420" w:lineRule="exact"/>
              <w:contextualSpacing/>
              <w:jc w:val="center"/>
              <w:rPr>
                <w:rFonts w:ascii="仿宋_GB2312" w:eastAsia="仿宋_GB2312"/>
                <w:color w:val="auto"/>
                <w:sz w:val="24"/>
                <w:szCs w:val="24"/>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467F5A83">
            <w:pPr>
              <w:pStyle w:val="23"/>
              <w:snapToGrid/>
              <w:spacing w:after="0" w:line="420" w:lineRule="exact"/>
              <w:contextualSpacing/>
              <w:jc w:val="center"/>
              <w:rPr>
                <w:rFonts w:ascii="仿宋_GB2312" w:eastAsia="仿宋_GB2312"/>
                <w:color w:val="auto"/>
                <w:sz w:val="24"/>
                <w:szCs w:val="24"/>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1EC01EE5">
            <w:pPr>
              <w:pStyle w:val="23"/>
              <w:snapToGrid/>
              <w:spacing w:after="0" w:line="420" w:lineRule="exact"/>
              <w:contextualSpacing/>
              <w:jc w:val="center"/>
              <w:rPr>
                <w:rFonts w:ascii="仿宋_GB2312" w:eastAsia="仿宋_GB2312"/>
                <w:color w:val="auto"/>
                <w:sz w:val="24"/>
                <w:szCs w:val="24"/>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4B6DFFB9">
            <w:pPr>
              <w:pStyle w:val="23"/>
              <w:snapToGrid/>
              <w:spacing w:after="0" w:line="420" w:lineRule="exact"/>
              <w:contextualSpacing/>
              <w:jc w:val="center"/>
              <w:rPr>
                <w:rFonts w:ascii="仿宋_GB2312" w:eastAsia="仿宋_GB2312"/>
                <w:color w:val="auto"/>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55F82F74">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100104</w:t>
            </w:r>
          </w:p>
        </w:tc>
        <w:tc>
          <w:tcPr>
            <w:tcW w:w="3220" w:type="dxa"/>
            <w:tcBorders>
              <w:top w:val="single" w:color="auto" w:sz="4" w:space="0"/>
              <w:left w:val="single" w:color="auto" w:sz="4" w:space="0"/>
              <w:bottom w:val="single" w:color="auto" w:sz="4" w:space="0"/>
              <w:right w:val="single" w:color="auto" w:sz="4" w:space="0"/>
            </w:tcBorders>
            <w:vAlign w:val="center"/>
          </w:tcPr>
          <w:p w14:paraId="2D41476A">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工业研发用地</w:t>
            </w:r>
          </w:p>
        </w:tc>
      </w:tr>
      <w:tr w14:paraId="3C5D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838" w:type="dxa"/>
            <w:vMerge w:val="restart"/>
            <w:tcBorders>
              <w:top w:val="single" w:color="auto" w:sz="4" w:space="0"/>
              <w:left w:val="single" w:color="auto" w:sz="4" w:space="0"/>
              <w:bottom w:val="single" w:color="auto" w:sz="4" w:space="0"/>
              <w:right w:val="single" w:color="auto" w:sz="4" w:space="0"/>
            </w:tcBorders>
            <w:vAlign w:val="center"/>
          </w:tcPr>
          <w:p w14:paraId="67E817FD">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11</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4DED3A06">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仓储用地</w:t>
            </w:r>
          </w:p>
        </w:tc>
        <w:tc>
          <w:tcPr>
            <w:tcW w:w="837" w:type="dxa"/>
            <w:vMerge w:val="restart"/>
            <w:tcBorders>
              <w:top w:val="single" w:color="auto" w:sz="4" w:space="0"/>
              <w:left w:val="single" w:color="auto" w:sz="4" w:space="0"/>
              <w:bottom w:val="single" w:color="auto" w:sz="4" w:space="0"/>
              <w:right w:val="single" w:color="auto" w:sz="4" w:space="0"/>
            </w:tcBorders>
            <w:vAlign w:val="center"/>
          </w:tcPr>
          <w:p w14:paraId="20D7CE59">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1101</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14:paraId="121401D4">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物流仓储用地</w:t>
            </w:r>
          </w:p>
        </w:tc>
        <w:tc>
          <w:tcPr>
            <w:tcW w:w="977" w:type="dxa"/>
            <w:tcBorders>
              <w:top w:val="single" w:color="auto" w:sz="4" w:space="0"/>
              <w:left w:val="single" w:color="auto" w:sz="4" w:space="0"/>
              <w:bottom w:val="single" w:color="auto" w:sz="4" w:space="0"/>
              <w:right w:val="single" w:color="auto" w:sz="4" w:space="0"/>
            </w:tcBorders>
            <w:vAlign w:val="center"/>
          </w:tcPr>
          <w:p w14:paraId="2496DF29">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110101</w:t>
            </w:r>
          </w:p>
        </w:tc>
        <w:tc>
          <w:tcPr>
            <w:tcW w:w="3220" w:type="dxa"/>
            <w:tcBorders>
              <w:top w:val="single" w:color="auto" w:sz="4" w:space="0"/>
              <w:left w:val="single" w:color="auto" w:sz="4" w:space="0"/>
              <w:bottom w:val="single" w:color="auto" w:sz="4" w:space="0"/>
              <w:right w:val="single" w:color="auto" w:sz="4" w:space="0"/>
            </w:tcBorders>
            <w:vAlign w:val="center"/>
          </w:tcPr>
          <w:p w14:paraId="4AFBE3C3">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一类仓储用地</w:t>
            </w:r>
          </w:p>
        </w:tc>
      </w:tr>
      <w:tr w14:paraId="0533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6C384137">
            <w:pPr>
              <w:pStyle w:val="23"/>
              <w:snapToGrid/>
              <w:spacing w:after="0" w:line="420" w:lineRule="exact"/>
              <w:contextualSpacing/>
              <w:jc w:val="center"/>
              <w:rPr>
                <w:rFonts w:ascii="仿宋_GB2312" w:eastAsia="仿宋_GB2312"/>
                <w:color w:val="auto"/>
                <w:sz w:val="24"/>
                <w:szCs w:val="24"/>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452AD32A">
            <w:pPr>
              <w:pStyle w:val="23"/>
              <w:snapToGrid/>
              <w:spacing w:after="0" w:line="420" w:lineRule="exact"/>
              <w:contextualSpacing/>
              <w:jc w:val="center"/>
              <w:rPr>
                <w:rFonts w:ascii="仿宋_GB2312" w:eastAsia="仿宋_GB2312"/>
                <w:color w:val="auto"/>
                <w:sz w:val="24"/>
                <w:szCs w:val="24"/>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16F3D996">
            <w:pPr>
              <w:pStyle w:val="23"/>
              <w:snapToGrid/>
              <w:spacing w:after="0" w:line="420" w:lineRule="exact"/>
              <w:contextualSpacing/>
              <w:jc w:val="center"/>
              <w:rPr>
                <w:rFonts w:ascii="仿宋_GB2312" w:eastAsia="仿宋_GB2312"/>
                <w:color w:val="auto"/>
                <w:sz w:val="24"/>
                <w:szCs w:val="24"/>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23EF157A">
            <w:pPr>
              <w:pStyle w:val="23"/>
              <w:snapToGrid/>
              <w:spacing w:after="0" w:line="420" w:lineRule="exact"/>
              <w:contextualSpacing/>
              <w:jc w:val="center"/>
              <w:rPr>
                <w:rFonts w:ascii="仿宋_GB2312" w:eastAsia="仿宋_GB2312"/>
                <w:color w:val="auto"/>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2617B5D3">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110104</w:t>
            </w:r>
          </w:p>
        </w:tc>
        <w:tc>
          <w:tcPr>
            <w:tcW w:w="3220" w:type="dxa"/>
            <w:tcBorders>
              <w:top w:val="single" w:color="auto" w:sz="4" w:space="0"/>
              <w:left w:val="single" w:color="auto" w:sz="4" w:space="0"/>
              <w:bottom w:val="single" w:color="auto" w:sz="4" w:space="0"/>
              <w:right w:val="single" w:color="auto" w:sz="4" w:space="0"/>
            </w:tcBorders>
            <w:vAlign w:val="center"/>
          </w:tcPr>
          <w:p w14:paraId="76A72495">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物流用地</w:t>
            </w:r>
          </w:p>
        </w:tc>
      </w:tr>
      <w:tr w14:paraId="55A8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838" w:type="dxa"/>
            <w:vMerge w:val="restart"/>
            <w:tcBorders>
              <w:top w:val="single" w:color="auto" w:sz="4" w:space="0"/>
              <w:left w:val="single" w:color="auto" w:sz="4" w:space="0"/>
              <w:bottom w:val="single" w:color="auto" w:sz="4" w:space="0"/>
              <w:right w:val="single" w:color="auto" w:sz="4" w:space="0"/>
            </w:tcBorders>
            <w:vAlign w:val="center"/>
          </w:tcPr>
          <w:p w14:paraId="20D74F63">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12</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7F0D425B">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交通运输  用地</w:t>
            </w:r>
          </w:p>
        </w:tc>
        <w:tc>
          <w:tcPr>
            <w:tcW w:w="837" w:type="dxa"/>
            <w:vMerge w:val="restart"/>
            <w:tcBorders>
              <w:top w:val="single" w:color="auto" w:sz="4" w:space="0"/>
              <w:left w:val="single" w:color="auto" w:sz="4" w:space="0"/>
              <w:bottom w:val="single" w:color="auto" w:sz="4" w:space="0"/>
              <w:right w:val="single" w:color="auto" w:sz="4" w:space="0"/>
            </w:tcBorders>
            <w:vAlign w:val="center"/>
          </w:tcPr>
          <w:p w14:paraId="3AB7A282">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1208</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14:paraId="31E21C09">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交通场站用地</w:t>
            </w:r>
          </w:p>
        </w:tc>
        <w:tc>
          <w:tcPr>
            <w:tcW w:w="977" w:type="dxa"/>
            <w:tcBorders>
              <w:top w:val="single" w:color="auto" w:sz="4" w:space="0"/>
              <w:left w:val="single" w:color="auto" w:sz="4" w:space="0"/>
              <w:bottom w:val="single" w:color="auto" w:sz="4" w:space="0"/>
              <w:right w:val="single" w:color="auto" w:sz="4" w:space="0"/>
            </w:tcBorders>
            <w:vAlign w:val="center"/>
          </w:tcPr>
          <w:p w14:paraId="4A5A51B2">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120801</w:t>
            </w:r>
          </w:p>
        </w:tc>
        <w:tc>
          <w:tcPr>
            <w:tcW w:w="3220" w:type="dxa"/>
            <w:tcBorders>
              <w:top w:val="single" w:color="auto" w:sz="4" w:space="0"/>
              <w:left w:val="single" w:color="auto" w:sz="4" w:space="0"/>
              <w:bottom w:val="single" w:color="auto" w:sz="4" w:space="0"/>
              <w:right w:val="single" w:color="auto" w:sz="4" w:space="0"/>
            </w:tcBorders>
            <w:vAlign w:val="center"/>
          </w:tcPr>
          <w:p w14:paraId="05FCFDFF">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对外交通场站用地</w:t>
            </w:r>
          </w:p>
        </w:tc>
      </w:tr>
      <w:tr w14:paraId="393B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49F6E2DA">
            <w:pPr>
              <w:pStyle w:val="23"/>
              <w:snapToGrid/>
              <w:spacing w:after="0" w:line="420" w:lineRule="exact"/>
              <w:contextualSpacing/>
              <w:jc w:val="center"/>
              <w:rPr>
                <w:rFonts w:ascii="仿宋_GB2312" w:eastAsia="仿宋_GB2312"/>
                <w:color w:val="auto"/>
                <w:sz w:val="24"/>
                <w:szCs w:val="24"/>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1F69A182">
            <w:pPr>
              <w:pStyle w:val="23"/>
              <w:snapToGrid/>
              <w:spacing w:after="0" w:line="420" w:lineRule="exact"/>
              <w:contextualSpacing/>
              <w:jc w:val="center"/>
              <w:rPr>
                <w:rFonts w:ascii="仿宋_GB2312" w:eastAsia="仿宋_GB2312"/>
                <w:color w:val="auto"/>
                <w:sz w:val="24"/>
                <w:szCs w:val="24"/>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3265C9AD">
            <w:pPr>
              <w:pStyle w:val="23"/>
              <w:snapToGrid/>
              <w:spacing w:after="0" w:line="420" w:lineRule="exact"/>
              <w:contextualSpacing/>
              <w:jc w:val="center"/>
              <w:rPr>
                <w:rFonts w:ascii="仿宋_GB2312" w:eastAsia="仿宋_GB2312"/>
                <w:color w:val="auto"/>
                <w:sz w:val="24"/>
                <w:szCs w:val="24"/>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05F6B656">
            <w:pPr>
              <w:pStyle w:val="23"/>
              <w:snapToGrid/>
              <w:spacing w:after="0" w:line="420" w:lineRule="exact"/>
              <w:contextualSpacing/>
              <w:jc w:val="center"/>
              <w:rPr>
                <w:rFonts w:ascii="仿宋_GB2312" w:eastAsia="仿宋_GB2312"/>
                <w:color w:val="auto"/>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64BDB577">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120802</w:t>
            </w:r>
          </w:p>
        </w:tc>
        <w:tc>
          <w:tcPr>
            <w:tcW w:w="3220" w:type="dxa"/>
            <w:tcBorders>
              <w:top w:val="single" w:color="auto" w:sz="4" w:space="0"/>
              <w:left w:val="single" w:color="auto" w:sz="4" w:space="0"/>
              <w:bottom w:val="single" w:color="auto" w:sz="4" w:space="0"/>
              <w:right w:val="single" w:color="auto" w:sz="4" w:space="0"/>
            </w:tcBorders>
            <w:vAlign w:val="center"/>
          </w:tcPr>
          <w:p w14:paraId="5CE78739">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公共交通场站用地</w:t>
            </w:r>
          </w:p>
        </w:tc>
      </w:tr>
      <w:tr w14:paraId="2E90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37B4A539">
            <w:pPr>
              <w:pStyle w:val="23"/>
              <w:snapToGrid/>
              <w:spacing w:after="0" w:line="420" w:lineRule="exact"/>
              <w:contextualSpacing/>
              <w:jc w:val="center"/>
              <w:rPr>
                <w:rFonts w:ascii="仿宋_GB2312" w:eastAsia="仿宋_GB2312"/>
                <w:color w:val="auto"/>
                <w:sz w:val="24"/>
                <w:szCs w:val="24"/>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28334A9C">
            <w:pPr>
              <w:pStyle w:val="23"/>
              <w:snapToGrid/>
              <w:spacing w:after="0" w:line="420" w:lineRule="exact"/>
              <w:contextualSpacing/>
              <w:jc w:val="center"/>
              <w:rPr>
                <w:rFonts w:ascii="仿宋_GB2312" w:eastAsia="仿宋_GB2312"/>
                <w:color w:val="auto"/>
                <w:sz w:val="24"/>
                <w:szCs w:val="24"/>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52C20069">
            <w:pPr>
              <w:pStyle w:val="23"/>
              <w:snapToGrid/>
              <w:spacing w:after="0" w:line="420" w:lineRule="exact"/>
              <w:contextualSpacing/>
              <w:jc w:val="center"/>
              <w:rPr>
                <w:rFonts w:ascii="仿宋_GB2312" w:eastAsia="仿宋_GB2312"/>
                <w:color w:val="auto"/>
                <w:sz w:val="24"/>
                <w:szCs w:val="24"/>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7796AFC1">
            <w:pPr>
              <w:pStyle w:val="23"/>
              <w:snapToGrid/>
              <w:spacing w:after="0" w:line="420" w:lineRule="exact"/>
              <w:contextualSpacing/>
              <w:jc w:val="center"/>
              <w:rPr>
                <w:rFonts w:ascii="仿宋_GB2312" w:eastAsia="仿宋_GB2312"/>
                <w:color w:val="auto"/>
                <w:sz w:val="24"/>
                <w:szCs w:val="24"/>
              </w:rPr>
            </w:pPr>
          </w:p>
        </w:tc>
        <w:tc>
          <w:tcPr>
            <w:tcW w:w="977" w:type="dxa"/>
            <w:tcBorders>
              <w:top w:val="single" w:color="auto" w:sz="4" w:space="0"/>
              <w:left w:val="single" w:color="auto" w:sz="4" w:space="0"/>
              <w:bottom w:val="single" w:color="auto" w:sz="4" w:space="0"/>
              <w:right w:val="single" w:color="auto" w:sz="4" w:space="0"/>
            </w:tcBorders>
            <w:vAlign w:val="center"/>
          </w:tcPr>
          <w:p w14:paraId="6AE189BA">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120803</w:t>
            </w:r>
          </w:p>
        </w:tc>
        <w:tc>
          <w:tcPr>
            <w:tcW w:w="3220" w:type="dxa"/>
            <w:tcBorders>
              <w:top w:val="single" w:color="auto" w:sz="4" w:space="0"/>
              <w:left w:val="single" w:color="auto" w:sz="4" w:space="0"/>
              <w:bottom w:val="single" w:color="auto" w:sz="4" w:space="0"/>
              <w:right w:val="single" w:color="auto" w:sz="4" w:space="0"/>
            </w:tcBorders>
            <w:vAlign w:val="center"/>
          </w:tcPr>
          <w:p w14:paraId="696DA645">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社会停车场用地</w:t>
            </w:r>
          </w:p>
        </w:tc>
      </w:tr>
      <w:tr w14:paraId="3AD1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838" w:type="dxa"/>
            <w:tcBorders>
              <w:top w:val="single" w:color="auto" w:sz="4" w:space="0"/>
              <w:left w:val="single" w:color="auto" w:sz="4" w:space="0"/>
              <w:bottom w:val="single" w:color="auto" w:sz="4" w:space="0"/>
              <w:right w:val="single" w:color="auto" w:sz="4" w:space="0"/>
            </w:tcBorders>
            <w:vAlign w:val="center"/>
          </w:tcPr>
          <w:p w14:paraId="7ACE4004">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23</w:t>
            </w:r>
          </w:p>
        </w:tc>
        <w:tc>
          <w:tcPr>
            <w:tcW w:w="1120" w:type="dxa"/>
            <w:tcBorders>
              <w:top w:val="single" w:color="auto" w:sz="4" w:space="0"/>
              <w:left w:val="single" w:color="auto" w:sz="4" w:space="0"/>
              <w:bottom w:val="single" w:color="auto" w:sz="4" w:space="0"/>
              <w:right w:val="single" w:color="auto" w:sz="4" w:space="0"/>
            </w:tcBorders>
            <w:vAlign w:val="center"/>
          </w:tcPr>
          <w:p w14:paraId="557AD16A">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其他土地</w:t>
            </w:r>
          </w:p>
        </w:tc>
        <w:tc>
          <w:tcPr>
            <w:tcW w:w="837" w:type="dxa"/>
            <w:tcBorders>
              <w:top w:val="single" w:color="auto" w:sz="4" w:space="0"/>
              <w:left w:val="single" w:color="auto" w:sz="4" w:space="0"/>
              <w:bottom w:val="single" w:color="auto" w:sz="4" w:space="0"/>
              <w:right w:val="single" w:color="auto" w:sz="4" w:space="0"/>
            </w:tcBorders>
            <w:vAlign w:val="center"/>
          </w:tcPr>
          <w:p w14:paraId="63C0A201">
            <w:pPr>
              <w:spacing w:after="0" w:line="420" w:lineRule="exact"/>
              <w:contextualSpacing/>
              <w:jc w:val="center"/>
              <w:rPr>
                <w:rFonts w:ascii="仿宋_GB2312" w:hAnsi="宋体" w:eastAsia="仿宋_GB2312" w:cs="宋体"/>
                <w:snapToGrid w:val="0"/>
                <w:color w:val="auto"/>
                <w:sz w:val="24"/>
                <w:szCs w:val="24"/>
                <w:lang w:eastAsia="en-US"/>
              </w:rPr>
            </w:pPr>
            <w:r>
              <w:rPr>
                <w:rFonts w:hint="eastAsia" w:ascii="仿宋_GB2312" w:hAnsi="宋体" w:eastAsia="仿宋_GB2312" w:cs="宋体"/>
                <w:snapToGrid w:val="0"/>
                <w:color w:val="auto"/>
                <w:sz w:val="24"/>
                <w:szCs w:val="24"/>
                <w:lang w:eastAsia="en-US"/>
              </w:rPr>
              <w:t>2301</w:t>
            </w:r>
          </w:p>
        </w:tc>
        <w:tc>
          <w:tcPr>
            <w:tcW w:w="2520" w:type="dxa"/>
            <w:tcBorders>
              <w:top w:val="single" w:color="auto" w:sz="4" w:space="0"/>
              <w:left w:val="single" w:color="auto" w:sz="4" w:space="0"/>
              <w:bottom w:val="single" w:color="auto" w:sz="4" w:space="0"/>
              <w:right w:val="single" w:color="auto" w:sz="4" w:space="0"/>
            </w:tcBorders>
            <w:vAlign w:val="center"/>
          </w:tcPr>
          <w:p w14:paraId="7013D9AD">
            <w:pPr>
              <w:spacing w:after="0" w:line="420" w:lineRule="exact"/>
              <w:contextualSpacing/>
              <w:jc w:val="center"/>
              <w:rPr>
                <w:rFonts w:ascii="仿宋_GB2312" w:hAnsi="MS Gothic" w:eastAsia="仿宋_GB2312" w:cs="MS Gothic"/>
                <w:snapToGrid w:val="0"/>
                <w:color w:val="auto"/>
                <w:sz w:val="24"/>
                <w:szCs w:val="24"/>
                <w:lang w:eastAsia="en-US"/>
              </w:rPr>
            </w:pPr>
            <w:r>
              <w:rPr>
                <w:rFonts w:hint="eastAsia" w:ascii="仿宋_GB2312" w:hAnsi="宋体" w:eastAsia="仿宋_GB2312" w:cs="宋体"/>
                <w:snapToGrid w:val="0"/>
                <w:color w:val="auto"/>
                <w:sz w:val="24"/>
                <w:szCs w:val="24"/>
                <w:lang w:eastAsia="en-US"/>
              </w:rPr>
              <w:t>空闲地</w:t>
            </w:r>
          </w:p>
        </w:tc>
        <w:tc>
          <w:tcPr>
            <w:tcW w:w="977" w:type="dxa"/>
            <w:tcBorders>
              <w:top w:val="single" w:color="auto" w:sz="4" w:space="0"/>
              <w:left w:val="single" w:color="auto" w:sz="4" w:space="0"/>
              <w:bottom w:val="single" w:color="auto" w:sz="4" w:space="0"/>
              <w:right w:val="single" w:color="auto" w:sz="4" w:space="0"/>
            </w:tcBorders>
            <w:vAlign w:val="center"/>
          </w:tcPr>
          <w:p w14:paraId="4492AF78">
            <w:pPr>
              <w:spacing w:after="0" w:line="420" w:lineRule="exact"/>
              <w:contextualSpacing/>
              <w:jc w:val="center"/>
              <w:rPr>
                <w:rFonts w:ascii="仿宋_GB2312" w:hAnsi="宋体" w:eastAsia="仿宋_GB2312" w:cs="宋体"/>
                <w:snapToGrid w:val="0"/>
                <w:color w:val="auto"/>
                <w:sz w:val="24"/>
                <w:szCs w:val="24"/>
                <w:lang w:eastAsia="en-US"/>
              </w:rPr>
            </w:pPr>
          </w:p>
        </w:tc>
        <w:tc>
          <w:tcPr>
            <w:tcW w:w="3220" w:type="dxa"/>
            <w:tcBorders>
              <w:top w:val="single" w:color="auto" w:sz="4" w:space="0"/>
              <w:left w:val="single" w:color="auto" w:sz="4" w:space="0"/>
              <w:bottom w:val="single" w:color="auto" w:sz="4" w:space="0"/>
              <w:right w:val="single" w:color="auto" w:sz="4" w:space="0"/>
            </w:tcBorders>
            <w:vAlign w:val="center"/>
          </w:tcPr>
          <w:p w14:paraId="4A625E8B">
            <w:pPr>
              <w:spacing w:after="0" w:line="420" w:lineRule="exact"/>
              <w:contextualSpacing/>
              <w:jc w:val="center"/>
              <w:rPr>
                <w:rFonts w:ascii="仿宋_GB2312" w:hAnsi="宋体" w:eastAsia="仿宋_GB2312" w:cs="宋体"/>
                <w:snapToGrid w:val="0"/>
                <w:color w:val="auto"/>
                <w:sz w:val="24"/>
                <w:szCs w:val="24"/>
                <w:lang w:eastAsia="en-US"/>
              </w:rPr>
            </w:pPr>
          </w:p>
        </w:tc>
      </w:tr>
    </w:tbl>
    <w:p w14:paraId="1DB4E576">
      <w:pPr>
        <w:spacing w:after="0" w:line="420" w:lineRule="exact"/>
        <w:contextualSpacing/>
        <w:rPr>
          <w:rFonts w:ascii="仿宋_GB2312" w:hAnsi="宋体" w:eastAsia="仿宋_GB2312" w:cs="宋体"/>
          <w:snapToGrid w:val="0"/>
          <w:color w:val="auto"/>
          <w:sz w:val="24"/>
          <w:szCs w:val="24"/>
        </w:rPr>
      </w:pPr>
      <w:r>
        <w:rPr>
          <w:rFonts w:hint="eastAsia" w:ascii="仿宋_GB2312" w:hAnsi="宋体" w:eastAsia="仿宋_GB2312" w:cs="宋体"/>
          <w:snapToGrid w:val="0"/>
          <w:color w:val="auto"/>
          <w:sz w:val="24"/>
          <w:szCs w:val="24"/>
        </w:rPr>
        <w:t>备注：</w:t>
      </w:r>
    </w:p>
    <w:p w14:paraId="3FD3A301">
      <w:pPr>
        <w:spacing w:after="0" w:line="420" w:lineRule="exact"/>
        <w:ind w:firstLine="480" w:firstLineChars="200"/>
        <w:contextualSpacing/>
        <w:rPr>
          <w:rFonts w:ascii="仿宋_GB2312" w:hAnsi="宋体" w:eastAsia="仿宋_GB2312" w:cs="宋体"/>
          <w:snapToGrid w:val="0"/>
          <w:color w:val="auto"/>
          <w:sz w:val="24"/>
          <w:szCs w:val="24"/>
        </w:rPr>
      </w:pPr>
      <w:r>
        <w:rPr>
          <w:rFonts w:hint="eastAsia" w:ascii="仿宋_GB2312" w:hAnsi="宋体" w:eastAsia="仿宋_GB2312" w:cs="宋体"/>
          <w:snapToGrid w:val="0"/>
          <w:color w:val="auto"/>
          <w:sz w:val="24"/>
          <w:szCs w:val="24"/>
        </w:rPr>
        <w:t>1.用地</w:t>
      </w:r>
      <w:r>
        <w:rPr>
          <w:rFonts w:ascii="仿宋_GB2312" w:hAnsi="宋体" w:eastAsia="仿宋_GB2312" w:cs="宋体"/>
          <w:snapToGrid w:val="0"/>
          <w:color w:val="auto"/>
          <w:sz w:val="24"/>
          <w:szCs w:val="24"/>
        </w:rPr>
        <w:t>类型</w:t>
      </w:r>
      <w:r>
        <w:rPr>
          <w:rFonts w:hint="eastAsia" w:ascii="仿宋_GB2312" w:hAnsi="宋体" w:eastAsia="仿宋_GB2312" w:cs="宋体"/>
          <w:snapToGrid w:val="0"/>
          <w:color w:val="auto"/>
          <w:sz w:val="24"/>
          <w:szCs w:val="24"/>
        </w:rPr>
        <w:t>对</w:t>
      </w:r>
      <w:r>
        <w:rPr>
          <w:rFonts w:ascii="仿宋_GB2312" w:hAnsi="宋体" w:eastAsia="仿宋_GB2312" w:cs="宋体"/>
          <w:snapToGrid w:val="0"/>
          <w:color w:val="auto"/>
          <w:sz w:val="24"/>
          <w:szCs w:val="24"/>
        </w:rPr>
        <w:t>应的名称及代码</w:t>
      </w:r>
      <w:r>
        <w:rPr>
          <w:rFonts w:hint="eastAsia" w:ascii="仿宋_GB2312" w:hAnsi="宋体" w:eastAsia="仿宋_GB2312" w:cs="宋体"/>
          <w:snapToGrid w:val="0"/>
          <w:color w:val="auto"/>
          <w:sz w:val="24"/>
          <w:szCs w:val="24"/>
        </w:rPr>
        <w:t>以发布实施的北京市</w:t>
      </w:r>
      <w:r>
        <w:rPr>
          <w:rFonts w:ascii="仿宋_GB2312" w:hAnsi="宋体" w:eastAsia="仿宋_GB2312" w:cs="宋体"/>
          <w:snapToGrid w:val="0"/>
          <w:color w:val="auto"/>
          <w:sz w:val="24"/>
          <w:szCs w:val="24"/>
        </w:rPr>
        <w:t>地方标准</w:t>
      </w:r>
      <w:r>
        <w:rPr>
          <w:rFonts w:hint="eastAsia" w:ascii="仿宋_GB2312" w:hAnsi="宋体" w:eastAsia="仿宋_GB2312" w:cs="宋体"/>
          <w:snapToGrid w:val="0"/>
          <w:color w:val="auto"/>
          <w:sz w:val="24"/>
          <w:szCs w:val="24"/>
        </w:rPr>
        <w:t>《国土空间调查、规划、用途管制用地分类标准》</w:t>
      </w:r>
      <w:r>
        <w:rPr>
          <w:rFonts w:ascii="仿宋_GB2312" w:hAnsi="宋体" w:eastAsia="仿宋_GB2312" w:cs="宋体"/>
          <w:snapToGrid w:val="0"/>
          <w:color w:val="auto"/>
          <w:sz w:val="24"/>
          <w:szCs w:val="24"/>
        </w:rPr>
        <w:t>（DB11/T 996—2024）</w:t>
      </w:r>
      <w:r>
        <w:rPr>
          <w:rFonts w:hint="eastAsia" w:ascii="仿宋_GB2312" w:hAnsi="宋体" w:eastAsia="仿宋_GB2312" w:cs="宋体"/>
          <w:snapToGrid w:val="0"/>
          <w:color w:val="auto"/>
          <w:sz w:val="24"/>
          <w:szCs w:val="24"/>
        </w:rPr>
        <w:t>为准，首都功能核心区和北京城市副中心严格落实党中央、国务院对控制性详细规划批复要求</w:t>
      </w:r>
      <w:r>
        <w:rPr>
          <w:rFonts w:ascii="仿宋_GB2312" w:hAnsi="宋体" w:eastAsia="仿宋_GB2312" w:cs="宋体"/>
          <w:snapToGrid w:val="0"/>
          <w:color w:val="auto"/>
          <w:sz w:val="24"/>
          <w:szCs w:val="24"/>
        </w:rPr>
        <w:t>。首都功能核心区的可用地类型</w:t>
      </w:r>
      <w:r>
        <w:rPr>
          <w:rFonts w:hint="eastAsia" w:ascii="仿宋_GB2312" w:hAnsi="宋体" w:eastAsia="仿宋_GB2312" w:cs="宋体"/>
          <w:snapToGrid w:val="0"/>
          <w:color w:val="auto"/>
          <w:sz w:val="24"/>
          <w:szCs w:val="24"/>
        </w:rPr>
        <w:t>除上述清单外，</w:t>
      </w:r>
      <w:r>
        <w:rPr>
          <w:rFonts w:ascii="仿宋_GB2312" w:hAnsi="宋体" w:eastAsia="仿宋_GB2312" w:cs="宋体"/>
          <w:snapToGrid w:val="0"/>
          <w:color w:val="auto"/>
          <w:sz w:val="24"/>
          <w:szCs w:val="24"/>
        </w:rPr>
        <w:t>还应包含公共事务用地、多功能用地、保护区用</w:t>
      </w:r>
      <w:r>
        <w:rPr>
          <w:rFonts w:hint="eastAsia" w:ascii="仿宋_GB2312" w:hAnsi="宋体" w:eastAsia="仿宋_GB2312" w:cs="宋体"/>
          <w:snapToGrid w:val="0"/>
          <w:color w:val="auto"/>
          <w:sz w:val="24"/>
          <w:szCs w:val="24"/>
        </w:rPr>
        <w:t>地、预留用地等。</w:t>
      </w:r>
    </w:p>
    <w:p w14:paraId="35212D9D">
      <w:pPr>
        <w:spacing w:after="0" w:line="420" w:lineRule="exact"/>
        <w:contextualSpacing/>
        <w:rPr>
          <w:rFonts w:ascii="仿宋_GB2312" w:hAnsi="宋体" w:eastAsia="仿宋_GB2312" w:cs="宋体"/>
          <w:snapToGrid w:val="0"/>
          <w:color w:val="auto"/>
          <w:sz w:val="24"/>
          <w:szCs w:val="24"/>
        </w:rPr>
      </w:pPr>
      <w:r>
        <w:rPr>
          <w:rFonts w:hint="eastAsia" w:ascii="仿宋_GB2312" w:hAnsi="宋体" w:eastAsia="仿宋_GB2312" w:cs="宋体"/>
          <w:snapToGrid w:val="0"/>
          <w:color w:val="auto"/>
          <w:sz w:val="24"/>
          <w:szCs w:val="24"/>
        </w:rPr>
        <w:t xml:space="preserve">    2.涉及环境敏感区的用地，国家及本市对环境影响评价管理工作另有规定的，从其规定。</w:t>
      </w:r>
    </w:p>
    <w:p w14:paraId="54DFA81D">
      <w:pPr>
        <w:spacing w:after="0" w:line="420" w:lineRule="exact"/>
        <w:contextualSpacing/>
        <w:rPr>
          <w:rFonts w:ascii="仿宋_GB2312" w:hAnsi="宋体" w:eastAsia="仿宋_GB2312" w:cs="宋体"/>
          <w:snapToGrid w:val="0"/>
          <w:color w:val="auto"/>
          <w:sz w:val="24"/>
          <w:szCs w:val="24"/>
        </w:rPr>
      </w:pPr>
    </w:p>
    <w:sectPr>
      <w:footerReference r:id="rId5" w:type="default"/>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66EA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2894">
                          <w:pPr>
                            <w:pStyle w:val="3"/>
                            <w:rPr>
                              <w:sz w:val="28"/>
                              <w:szCs w:val="28"/>
                            </w:rPr>
                          </w:pPr>
                          <w:r>
                            <w:rPr>
                              <w:rFonts w:hint="eastAsia"/>
                              <w:sz w:val="28"/>
                              <w:szCs w:val="28"/>
                            </w:rPr>
                            <w:t xml:space="preserve">— </w:t>
                          </w:r>
                          <w:r>
                            <w:rPr>
                              <w:sz w:val="28"/>
                              <w:szCs w:val="28"/>
                            </w:rPr>
                            <w:fldChar w:fldCharType="begin"/>
                          </w:r>
                          <w:r>
                            <w:rPr>
                              <w:rFonts w:hint="eastAsia"/>
                              <w:sz w:val="28"/>
                              <w:szCs w:val="28"/>
                            </w:rPr>
                            <w:instrText xml:space="preserve"> PAGE  \* MERGEFORMAT </w:instrText>
                          </w:r>
                          <w:r>
                            <w:rPr>
                              <w:sz w:val="28"/>
                              <w:szCs w:val="28"/>
                            </w:rPr>
                            <w:fldChar w:fldCharType="separate"/>
                          </w:r>
                          <w:r>
                            <w:rPr>
                              <w:rFonts w:hint="eastAsia"/>
                              <w:sz w:val="28"/>
                              <w:szCs w:val="28"/>
                            </w:rPr>
                            <w:t>1</w:t>
                          </w:r>
                          <w:r>
                            <w:rPr>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012894">
                    <w:pPr>
                      <w:pStyle w:val="3"/>
                      <w:rPr>
                        <w:sz w:val="28"/>
                        <w:szCs w:val="28"/>
                      </w:rPr>
                    </w:pPr>
                    <w:r>
                      <w:rPr>
                        <w:rFonts w:hint="eastAsia"/>
                        <w:sz w:val="28"/>
                        <w:szCs w:val="28"/>
                      </w:rPr>
                      <w:t xml:space="preserve">— </w:t>
                    </w:r>
                    <w:r>
                      <w:rPr>
                        <w:sz w:val="28"/>
                        <w:szCs w:val="28"/>
                      </w:rPr>
                      <w:fldChar w:fldCharType="begin"/>
                    </w:r>
                    <w:r>
                      <w:rPr>
                        <w:rFonts w:hint="eastAsia"/>
                        <w:sz w:val="28"/>
                        <w:szCs w:val="28"/>
                      </w:rPr>
                      <w:instrText xml:space="preserve"> PAGE  \* MERGEFORMAT </w:instrText>
                    </w:r>
                    <w:r>
                      <w:rPr>
                        <w:sz w:val="28"/>
                        <w:szCs w:val="28"/>
                      </w:rPr>
                      <w:fldChar w:fldCharType="separate"/>
                    </w:r>
                    <w:r>
                      <w:rPr>
                        <w:rFonts w:hint="eastAsia"/>
                        <w:sz w:val="28"/>
                        <w:szCs w:val="28"/>
                      </w:rPr>
                      <w:t>1</w:t>
                    </w:r>
                    <w:r>
                      <w:rPr>
                        <w:sz w:val="28"/>
                        <w:szCs w:val="28"/>
                      </w:rPr>
                      <w:fldChar w:fldCharType="end"/>
                    </w:r>
                    <w:r>
                      <w:rPr>
                        <w:rFonts w:hint="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317DCC17">
      <w:pPr>
        <w:pStyle w:val="5"/>
        <w:snapToGrid w:val="0"/>
        <w:rPr>
          <w:rFonts w:hint="eastAsia" w:ascii="仿宋_GB2312" w:hAnsi="仿宋_GB2312" w:eastAsia="仿宋_GB2312" w:cs="仿宋_GB2312"/>
          <w:color w:val="auto"/>
          <w:lang w:val="en-US" w:eastAsia="zh-CN"/>
        </w:rPr>
      </w:pPr>
      <w:r>
        <w:rPr>
          <w:rStyle w:val="11"/>
          <w:color w:val="auto"/>
        </w:rPr>
        <w:footnoteRef/>
      </w:r>
      <w:r>
        <w:rPr>
          <w:color w:val="auto"/>
        </w:rPr>
        <w:t xml:space="preserve"> </w:t>
      </w:r>
      <w:r>
        <w:rPr>
          <w:rFonts w:hint="eastAsia" w:ascii="仿宋_GB2312" w:hAnsi="仿宋_GB2312" w:eastAsia="仿宋_GB2312" w:cs="仿宋_GB2312"/>
          <w:color w:val="auto"/>
        </w:rPr>
        <w:t>大型乘用车、特大1型乘用车、特大2型乘用车及超大型乘用车的停车位</w:t>
      </w:r>
      <w:r>
        <w:rPr>
          <w:rFonts w:hint="eastAsia" w:ascii="仿宋_GB2312" w:hAnsi="仿宋_GB2312" w:eastAsia="仿宋_GB2312" w:cs="仿宋_GB2312"/>
          <w:color w:val="auto"/>
          <w:lang w:val="en-US" w:eastAsia="zh-CN"/>
        </w:rPr>
        <w:t>标准按照《机械式停车场（库）工程建设规范》（DB11/T 837）执行。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documentProtection w:enforcement="0"/>
  <w:defaultTabStop w:val="420"/>
  <w:drawingGridHorizontalSpacing w:val="105"/>
  <w:drawingGridVerticalSpacing w:val="156"/>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25C"/>
    <w:rsid w:val="00005DA9"/>
    <w:rsid w:val="000128C8"/>
    <w:rsid w:val="00014D4A"/>
    <w:rsid w:val="00015356"/>
    <w:rsid w:val="00020C08"/>
    <w:rsid w:val="00024D6F"/>
    <w:rsid w:val="00026514"/>
    <w:rsid w:val="000275ED"/>
    <w:rsid w:val="00030AAD"/>
    <w:rsid w:val="00050E80"/>
    <w:rsid w:val="000525F2"/>
    <w:rsid w:val="00053E94"/>
    <w:rsid w:val="000541C3"/>
    <w:rsid w:val="00064E2A"/>
    <w:rsid w:val="00075747"/>
    <w:rsid w:val="00077370"/>
    <w:rsid w:val="00084469"/>
    <w:rsid w:val="00090789"/>
    <w:rsid w:val="00092AFB"/>
    <w:rsid w:val="00092EBF"/>
    <w:rsid w:val="0009524F"/>
    <w:rsid w:val="0009649D"/>
    <w:rsid w:val="000A00E3"/>
    <w:rsid w:val="000A2C48"/>
    <w:rsid w:val="000A4B52"/>
    <w:rsid w:val="000B0ACB"/>
    <w:rsid w:val="000B24FE"/>
    <w:rsid w:val="000B5673"/>
    <w:rsid w:val="000C6602"/>
    <w:rsid w:val="000D2989"/>
    <w:rsid w:val="000D32FA"/>
    <w:rsid w:val="000D3883"/>
    <w:rsid w:val="000E3419"/>
    <w:rsid w:val="000F0D14"/>
    <w:rsid w:val="000F3B4B"/>
    <w:rsid w:val="000F4B01"/>
    <w:rsid w:val="000F79D3"/>
    <w:rsid w:val="000F7BE3"/>
    <w:rsid w:val="000F7F2A"/>
    <w:rsid w:val="001006E2"/>
    <w:rsid w:val="0010463A"/>
    <w:rsid w:val="00107179"/>
    <w:rsid w:val="001174E6"/>
    <w:rsid w:val="00120255"/>
    <w:rsid w:val="00121D44"/>
    <w:rsid w:val="00123AE8"/>
    <w:rsid w:val="001248C5"/>
    <w:rsid w:val="00132136"/>
    <w:rsid w:val="00134D8C"/>
    <w:rsid w:val="00140475"/>
    <w:rsid w:val="00150DF6"/>
    <w:rsid w:val="001526F9"/>
    <w:rsid w:val="0015528F"/>
    <w:rsid w:val="001555FA"/>
    <w:rsid w:val="00157100"/>
    <w:rsid w:val="00157792"/>
    <w:rsid w:val="00160F7C"/>
    <w:rsid w:val="001616CC"/>
    <w:rsid w:val="00163454"/>
    <w:rsid w:val="00163B47"/>
    <w:rsid w:val="00163EF5"/>
    <w:rsid w:val="00171583"/>
    <w:rsid w:val="00171BD6"/>
    <w:rsid w:val="00175082"/>
    <w:rsid w:val="001751F0"/>
    <w:rsid w:val="00176207"/>
    <w:rsid w:val="0017672B"/>
    <w:rsid w:val="0017751E"/>
    <w:rsid w:val="00180539"/>
    <w:rsid w:val="00181A53"/>
    <w:rsid w:val="00183B8A"/>
    <w:rsid w:val="0018727E"/>
    <w:rsid w:val="0018729B"/>
    <w:rsid w:val="001930B7"/>
    <w:rsid w:val="00193A7C"/>
    <w:rsid w:val="00195EC8"/>
    <w:rsid w:val="00196E48"/>
    <w:rsid w:val="001A56D9"/>
    <w:rsid w:val="001B0DDD"/>
    <w:rsid w:val="001B0ED5"/>
    <w:rsid w:val="001B6286"/>
    <w:rsid w:val="001B6D2E"/>
    <w:rsid w:val="001D0DCA"/>
    <w:rsid w:val="001D5EA3"/>
    <w:rsid w:val="001E10E7"/>
    <w:rsid w:val="001E2878"/>
    <w:rsid w:val="001E71EF"/>
    <w:rsid w:val="001F41EA"/>
    <w:rsid w:val="00200289"/>
    <w:rsid w:val="00201D27"/>
    <w:rsid w:val="0020324B"/>
    <w:rsid w:val="00204C6A"/>
    <w:rsid w:val="00220954"/>
    <w:rsid w:val="00232E32"/>
    <w:rsid w:val="0023768F"/>
    <w:rsid w:val="00246576"/>
    <w:rsid w:val="00251B56"/>
    <w:rsid w:val="00252CD1"/>
    <w:rsid w:val="0025452A"/>
    <w:rsid w:val="002565FB"/>
    <w:rsid w:val="00264174"/>
    <w:rsid w:val="0026517A"/>
    <w:rsid w:val="00265A28"/>
    <w:rsid w:val="00267909"/>
    <w:rsid w:val="00270DAA"/>
    <w:rsid w:val="00272EAE"/>
    <w:rsid w:val="0028015E"/>
    <w:rsid w:val="00280E4F"/>
    <w:rsid w:val="002854F1"/>
    <w:rsid w:val="00286557"/>
    <w:rsid w:val="002871B8"/>
    <w:rsid w:val="002918BC"/>
    <w:rsid w:val="002947E1"/>
    <w:rsid w:val="00297824"/>
    <w:rsid w:val="002A3C37"/>
    <w:rsid w:val="002A4741"/>
    <w:rsid w:val="002C007E"/>
    <w:rsid w:val="002C50EB"/>
    <w:rsid w:val="002C5B4E"/>
    <w:rsid w:val="002D244B"/>
    <w:rsid w:val="002F62DD"/>
    <w:rsid w:val="0030163D"/>
    <w:rsid w:val="0031382E"/>
    <w:rsid w:val="00314B9F"/>
    <w:rsid w:val="0031769B"/>
    <w:rsid w:val="00317CCC"/>
    <w:rsid w:val="00320908"/>
    <w:rsid w:val="00323437"/>
    <w:rsid w:val="0032559B"/>
    <w:rsid w:val="00342FB2"/>
    <w:rsid w:val="00344E89"/>
    <w:rsid w:val="003455DD"/>
    <w:rsid w:val="00347CDC"/>
    <w:rsid w:val="00350895"/>
    <w:rsid w:val="00354231"/>
    <w:rsid w:val="00364AC7"/>
    <w:rsid w:val="00366C86"/>
    <w:rsid w:val="00366E4D"/>
    <w:rsid w:val="00371BEC"/>
    <w:rsid w:val="00373825"/>
    <w:rsid w:val="00377459"/>
    <w:rsid w:val="00395420"/>
    <w:rsid w:val="00395680"/>
    <w:rsid w:val="003B12AC"/>
    <w:rsid w:val="003B23AE"/>
    <w:rsid w:val="003B459D"/>
    <w:rsid w:val="003B59C2"/>
    <w:rsid w:val="003C1340"/>
    <w:rsid w:val="003C29EC"/>
    <w:rsid w:val="003C76ED"/>
    <w:rsid w:val="003D1BD8"/>
    <w:rsid w:val="003F50F3"/>
    <w:rsid w:val="003F71C7"/>
    <w:rsid w:val="004134A3"/>
    <w:rsid w:val="00415F33"/>
    <w:rsid w:val="0042079B"/>
    <w:rsid w:val="00423DED"/>
    <w:rsid w:val="00433047"/>
    <w:rsid w:val="0044123F"/>
    <w:rsid w:val="00444943"/>
    <w:rsid w:val="0045435A"/>
    <w:rsid w:val="00460187"/>
    <w:rsid w:val="0046182D"/>
    <w:rsid w:val="00463D0A"/>
    <w:rsid w:val="004649DB"/>
    <w:rsid w:val="00471CDC"/>
    <w:rsid w:val="00472A0A"/>
    <w:rsid w:val="004750C7"/>
    <w:rsid w:val="00476792"/>
    <w:rsid w:val="00481CAA"/>
    <w:rsid w:val="00482B5B"/>
    <w:rsid w:val="00486621"/>
    <w:rsid w:val="00491BE9"/>
    <w:rsid w:val="00493B8D"/>
    <w:rsid w:val="00494453"/>
    <w:rsid w:val="00495C4E"/>
    <w:rsid w:val="004975E6"/>
    <w:rsid w:val="004A09F3"/>
    <w:rsid w:val="004A3FC6"/>
    <w:rsid w:val="004B11E3"/>
    <w:rsid w:val="004B1701"/>
    <w:rsid w:val="004B5A1E"/>
    <w:rsid w:val="004E2232"/>
    <w:rsid w:val="004E2A05"/>
    <w:rsid w:val="004E3352"/>
    <w:rsid w:val="004F6BCE"/>
    <w:rsid w:val="004F6DF6"/>
    <w:rsid w:val="00500178"/>
    <w:rsid w:val="00500256"/>
    <w:rsid w:val="005004B5"/>
    <w:rsid w:val="0050234B"/>
    <w:rsid w:val="00502549"/>
    <w:rsid w:val="00502C78"/>
    <w:rsid w:val="00504F2A"/>
    <w:rsid w:val="005059EE"/>
    <w:rsid w:val="0051617E"/>
    <w:rsid w:val="005179C8"/>
    <w:rsid w:val="00524671"/>
    <w:rsid w:val="00525FCC"/>
    <w:rsid w:val="0053120D"/>
    <w:rsid w:val="00534B1A"/>
    <w:rsid w:val="005350FC"/>
    <w:rsid w:val="005376EC"/>
    <w:rsid w:val="005378D1"/>
    <w:rsid w:val="0054323F"/>
    <w:rsid w:val="00545331"/>
    <w:rsid w:val="0054564B"/>
    <w:rsid w:val="005462E8"/>
    <w:rsid w:val="00560781"/>
    <w:rsid w:val="00560A7D"/>
    <w:rsid w:val="00564D51"/>
    <w:rsid w:val="005667F9"/>
    <w:rsid w:val="0057101A"/>
    <w:rsid w:val="00571FA9"/>
    <w:rsid w:val="00576DFF"/>
    <w:rsid w:val="00577792"/>
    <w:rsid w:val="005831F3"/>
    <w:rsid w:val="00583AB8"/>
    <w:rsid w:val="00584C6F"/>
    <w:rsid w:val="00585866"/>
    <w:rsid w:val="00593B5C"/>
    <w:rsid w:val="005946A3"/>
    <w:rsid w:val="005A2394"/>
    <w:rsid w:val="005A4409"/>
    <w:rsid w:val="005A6C84"/>
    <w:rsid w:val="005D20C7"/>
    <w:rsid w:val="005D2205"/>
    <w:rsid w:val="005E17B2"/>
    <w:rsid w:val="005F1D12"/>
    <w:rsid w:val="005F26A1"/>
    <w:rsid w:val="005F30D9"/>
    <w:rsid w:val="005F604C"/>
    <w:rsid w:val="00601073"/>
    <w:rsid w:val="00602BCA"/>
    <w:rsid w:val="00624494"/>
    <w:rsid w:val="0062528E"/>
    <w:rsid w:val="006279C6"/>
    <w:rsid w:val="00627CE7"/>
    <w:rsid w:val="00632785"/>
    <w:rsid w:val="00635EE0"/>
    <w:rsid w:val="00645502"/>
    <w:rsid w:val="006477AA"/>
    <w:rsid w:val="00653C8F"/>
    <w:rsid w:val="0065754A"/>
    <w:rsid w:val="006643DF"/>
    <w:rsid w:val="006703B1"/>
    <w:rsid w:val="006719CA"/>
    <w:rsid w:val="006809D8"/>
    <w:rsid w:val="006835A7"/>
    <w:rsid w:val="006836FF"/>
    <w:rsid w:val="00683D6B"/>
    <w:rsid w:val="00684547"/>
    <w:rsid w:val="00684DC2"/>
    <w:rsid w:val="00685DBC"/>
    <w:rsid w:val="006922D5"/>
    <w:rsid w:val="0069274C"/>
    <w:rsid w:val="00696061"/>
    <w:rsid w:val="006977BD"/>
    <w:rsid w:val="006A056A"/>
    <w:rsid w:val="006A5FED"/>
    <w:rsid w:val="006A7953"/>
    <w:rsid w:val="006B58AD"/>
    <w:rsid w:val="006B6C0B"/>
    <w:rsid w:val="006B75A4"/>
    <w:rsid w:val="006C3F6E"/>
    <w:rsid w:val="006D0E00"/>
    <w:rsid w:val="006D13B7"/>
    <w:rsid w:val="006D1925"/>
    <w:rsid w:val="006D34D5"/>
    <w:rsid w:val="006D587E"/>
    <w:rsid w:val="006E1D2F"/>
    <w:rsid w:val="006E23E3"/>
    <w:rsid w:val="006E4BE6"/>
    <w:rsid w:val="006F3112"/>
    <w:rsid w:val="006F7069"/>
    <w:rsid w:val="006F7BCD"/>
    <w:rsid w:val="00701D28"/>
    <w:rsid w:val="00702576"/>
    <w:rsid w:val="00702EB9"/>
    <w:rsid w:val="00705C98"/>
    <w:rsid w:val="0071191F"/>
    <w:rsid w:val="00711A73"/>
    <w:rsid w:val="007126A0"/>
    <w:rsid w:val="0071286D"/>
    <w:rsid w:val="00715061"/>
    <w:rsid w:val="0071723C"/>
    <w:rsid w:val="007260A2"/>
    <w:rsid w:val="00727661"/>
    <w:rsid w:val="00731D69"/>
    <w:rsid w:val="00733A1D"/>
    <w:rsid w:val="00736ECC"/>
    <w:rsid w:val="0074005E"/>
    <w:rsid w:val="007425A4"/>
    <w:rsid w:val="00747B1B"/>
    <w:rsid w:val="0075138F"/>
    <w:rsid w:val="007543B3"/>
    <w:rsid w:val="007549B9"/>
    <w:rsid w:val="00760296"/>
    <w:rsid w:val="00762BB4"/>
    <w:rsid w:val="00763B86"/>
    <w:rsid w:val="00765F92"/>
    <w:rsid w:val="00767C34"/>
    <w:rsid w:val="0077101E"/>
    <w:rsid w:val="007710F2"/>
    <w:rsid w:val="00771795"/>
    <w:rsid w:val="00771EA9"/>
    <w:rsid w:val="00773259"/>
    <w:rsid w:val="00773F78"/>
    <w:rsid w:val="00781B16"/>
    <w:rsid w:val="007824CA"/>
    <w:rsid w:val="0078469B"/>
    <w:rsid w:val="00784B02"/>
    <w:rsid w:val="00785407"/>
    <w:rsid w:val="00786047"/>
    <w:rsid w:val="0078671B"/>
    <w:rsid w:val="0079438A"/>
    <w:rsid w:val="007A0131"/>
    <w:rsid w:val="007A0943"/>
    <w:rsid w:val="007A3BFB"/>
    <w:rsid w:val="007A5F48"/>
    <w:rsid w:val="007A6237"/>
    <w:rsid w:val="007B0DCB"/>
    <w:rsid w:val="007B7064"/>
    <w:rsid w:val="007C47EE"/>
    <w:rsid w:val="007C7422"/>
    <w:rsid w:val="007C7D97"/>
    <w:rsid w:val="007D168F"/>
    <w:rsid w:val="007D2BCD"/>
    <w:rsid w:val="007D357C"/>
    <w:rsid w:val="007D74AE"/>
    <w:rsid w:val="007F546A"/>
    <w:rsid w:val="007F7F7D"/>
    <w:rsid w:val="00804E29"/>
    <w:rsid w:val="00810E8C"/>
    <w:rsid w:val="00811810"/>
    <w:rsid w:val="0081205E"/>
    <w:rsid w:val="00812D4B"/>
    <w:rsid w:val="00812FD3"/>
    <w:rsid w:val="008154B0"/>
    <w:rsid w:val="00815D57"/>
    <w:rsid w:val="00820B1A"/>
    <w:rsid w:val="00831F94"/>
    <w:rsid w:val="00835329"/>
    <w:rsid w:val="00837611"/>
    <w:rsid w:val="00840D98"/>
    <w:rsid w:val="00845E03"/>
    <w:rsid w:val="00847E92"/>
    <w:rsid w:val="008529A6"/>
    <w:rsid w:val="0085682F"/>
    <w:rsid w:val="008577C5"/>
    <w:rsid w:val="0085795E"/>
    <w:rsid w:val="00862164"/>
    <w:rsid w:val="00862699"/>
    <w:rsid w:val="0087143B"/>
    <w:rsid w:val="008743F6"/>
    <w:rsid w:val="00881596"/>
    <w:rsid w:val="00882B9D"/>
    <w:rsid w:val="00891119"/>
    <w:rsid w:val="00893739"/>
    <w:rsid w:val="00896685"/>
    <w:rsid w:val="008A347B"/>
    <w:rsid w:val="008A4730"/>
    <w:rsid w:val="008A4CBF"/>
    <w:rsid w:val="008B2433"/>
    <w:rsid w:val="008B47BB"/>
    <w:rsid w:val="008B77FC"/>
    <w:rsid w:val="008C61BD"/>
    <w:rsid w:val="008D7929"/>
    <w:rsid w:val="008E19D8"/>
    <w:rsid w:val="008F49A8"/>
    <w:rsid w:val="008F722F"/>
    <w:rsid w:val="008F7A83"/>
    <w:rsid w:val="009053D7"/>
    <w:rsid w:val="0090674E"/>
    <w:rsid w:val="0091504E"/>
    <w:rsid w:val="009163E5"/>
    <w:rsid w:val="00940EE7"/>
    <w:rsid w:val="009573F9"/>
    <w:rsid w:val="0096001E"/>
    <w:rsid w:val="00963C5D"/>
    <w:rsid w:val="009774FC"/>
    <w:rsid w:val="00977A55"/>
    <w:rsid w:val="009869AB"/>
    <w:rsid w:val="009930CA"/>
    <w:rsid w:val="00995BC4"/>
    <w:rsid w:val="009965C0"/>
    <w:rsid w:val="009969A2"/>
    <w:rsid w:val="00997046"/>
    <w:rsid w:val="009A6672"/>
    <w:rsid w:val="009B0533"/>
    <w:rsid w:val="009B45D7"/>
    <w:rsid w:val="009C3DC0"/>
    <w:rsid w:val="009C4A05"/>
    <w:rsid w:val="009D17D5"/>
    <w:rsid w:val="009D40E1"/>
    <w:rsid w:val="009D6F54"/>
    <w:rsid w:val="009E370D"/>
    <w:rsid w:val="009F0384"/>
    <w:rsid w:val="009F1372"/>
    <w:rsid w:val="009F4B4B"/>
    <w:rsid w:val="00A031BA"/>
    <w:rsid w:val="00A0564A"/>
    <w:rsid w:val="00A07A14"/>
    <w:rsid w:val="00A152DF"/>
    <w:rsid w:val="00A158BD"/>
    <w:rsid w:val="00A23AB0"/>
    <w:rsid w:val="00A2428A"/>
    <w:rsid w:val="00A27ABC"/>
    <w:rsid w:val="00A31A17"/>
    <w:rsid w:val="00A31C43"/>
    <w:rsid w:val="00A327C5"/>
    <w:rsid w:val="00A3330F"/>
    <w:rsid w:val="00A40551"/>
    <w:rsid w:val="00A41C3C"/>
    <w:rsid w:val="00A46146"/>
    <w:rsid w:val="00A47971"/>
    <w:rsid w:val="00A47C30"/>
    <w:rsid w:val="00A605D4"/>
    <w:rsid w:val="00A639AA"/>
    <w:rsid w:val="00A663B9"/>
    <w:rsid w:val="00A67B03"/>
    <w:rsid w:val="00A72414"/>
    <w:rsid w:val="00A81A86"/>
    <w:rsid w:val="00A81AA6"/>
    <w:rsid w:val="00A82B26"/>
    <w:rsid w:val="00A85A81"/>
    <w:rsid w:val="00A86442"/>
    <w:rsid w:val="00A91D1E"/>
    <w:rsid w:val="00AA334E"/>
    <w:rsid w:val="00AA6FC0"/>
    <w:rsid w:val="00AA7BFD"/>
    <w:rsid w:val="00AB2A90"/>
    <w:rsid w:val="00AB41F4"/>
    <w:rsid w:val="00AB5084"/>
    <w:rsid w:val="00AB5C44"/>
    <w:rsid w:val="00AB6D9C"/>
    <w:rsid w:val="00AC018F"/>
    <w:rsid w:val="00AC1A81"/>
    <w:rsid w:val="00AC39F1"/>
    <w:rsid w:val="00AC439B"/>
    <w:rsid w:val="00AC4B7A"/>
    <w:rsid w:val="00AD1D45"/>
    <w:rsid w:val="00AD365B"/>
    <w:rsid w:val="00AD5710"/>
    <w:rsid w:val="00AE0557"/>
    <w:rsid w:val="00AF01D2"/>
    <w:rsid w:val="00AF12F1"/>
    <w:rsid w:val="00AF3374"/>
    <w:rsid w:val="00AF37C9"/>
    <w:rsid w:val="00AF525C"/>
    <w:rsid w:val="00B02D30"/>
    <w:rsid w:val="00B06DB0"/>
    <w:rsid w:val="00B101F6"/>
    <w:rsid w:val="00B13094"/>
    <w:rsid w:val="00B203DC"/>
    <w:rsid w:val="00B31739"/>
    <w:rsid w:val="00B42C94"/>
    <w:rsid w:val="00B43BFC"/>
    <w:rsid w:val="00B501FE"/>
    <w:rsid w:val="00B5721D"/>
    <w:rsid w:val="00B60FC0"/>
    <w:rsid w:val="00B62AB6"/>
    <w:rsid w:val="00B656DB"/>
    <w:rsid w:val="00B67CCD"/>
    <w:rsid w:val="00B709CC"/>
    <w:rsid w:val="00B75491"/>
    <w:rsid w:val="00B754AB"/>
    <w:rsid w:val="00B92237"/>
    <w:rsid w:val="00BB26EE"/>
    <w:rsid w:val="00BB3914"/>
    <w:rsid w:val="00BB5AAF"/>
    <w:rsid w:val="00BB7DD0"/>
    <w:rsid w:val="00BC1D13"/>
    <w:rsid w:val="00BC493D"/>
    <w:rsid w:val="00BC4A01"/>
    <w:rsid w:val="00BC4EE5"/>
    <w:rsid w:val="00BC6E4C"/>
    <w:rsid w:val="00BD07E6"/>
    <w:rsid w:val="00BD37BA"/>
    <w:rsid w:val="00BD4A59"/>
    <w:rsid w:val="00BD7287"/>
    <w:rsid w:val="00BE2B78"/>
    <w:rsid w:val="00BE4CF3"/>
    <w:rsid w:val="00BF55CB"/>
    <w:rsid w:val="00BF6D27"/>
    <w:rsid w:val="00C10868"/>
    <w:rsid w:val="00C1170C"/>
    <w:rsid w:val="00C14949"/>
    <w:rsid w:val="00C16676"/>
    <w:rsid w:val="00C16AF6"/>
    <w:rsid w:val="00C21723"/>
    <w:rsid w:val="00C26104"/>
    <w:rsid w:val="00C264B0"/>
    <w:rsid w:val="00C37950"/>
    <w:rsid w:val="00C44BC0"/>
    <w:rsid w:val="00C50584"/>
    <w:rsid w:val="00C50880"/>
    <w:rsid w:val="00C520C8"/>
    <w:rsid w:val="00C529B6"/>
    <w:rsid w:val="00C64D24"/>
    <w:rsid w:val="00C6663A"/>
    <w:rsid w:val="00C75E34"/>
    <w:rsid w:val="00C87CF2"/>
    <w:rsid w:val="00C9325F"/>
    <w:rsid w:val="00CA14B8"/>
    <w:rsid w:val="00CA28DF"/>
    <w:rsid w:val="00CA4732"/>
    <w:rsid w:val="00CB31BD"/>
    <w:rsid w:val="00CB4656"/>
    <w:rsid w:val="00CB7B2E"/>
    <w:rsid w:val="00CC4EFB"/>
    <w:rsid w:val="00CC5B04"/>
    <w:rsid w:val="00CC6012"/>
    <w:rsid w:val="00CC6DEF"/>
    <w:rsid w:val="00CD3788"/>
    <w:rsid w:val="00CD4B23"/>
    <w:rsid w:val="00CE3876"/>
    <w:rsid w:val="00CF0E92"/>
    <w:rsid w:val="00CF2536"/>
    <w:rsid w:val="00D00199"/>
    <w:rsid w:val="00D00CF0"/>
    <w:rsid w:val="00D010F6"/>
    <w:rsid w:val="00D1350A"/>
    <w:rsid w:val="00D20F6A"/>
    <w:rsid w:val="00D36337"/>
    <w:rsid w:val="00D370A4"/>
    <w:rsid w:val="00D47E24"/>
    <w:rsid w:val="00D52C1E"/>
    <w:rsid w:val="00D55041"/>
    <w:rsid w:val="00D6321B"/>
    <w:rsid w:val="00D653CC"/>
    <w:rsid w:val="00D81A50"/>
    <w:rsid w:val="00D81E2C"/>
    <w:rsid w:val="00D852B1"/>
    <w:rsid w:val="00D934F5"/>
    <w:rsid w:val="00DB5AFC"/>
    <w:rsid w:val="00DB6F54"/>
    <w:rsid w:val="00DB780C"/>
    <w:rsid w:val="00DC31CE"/>
    <w:rsid w:val="00DD7D9A"/>
    <w:rsid w:val="00DD7EBA"/>
    <w:rsid w:val="00DE0417"/>
    <w:rsid w:val="00DE07B7"/>
    <w:rsid w:val="00DE4A41"/>
    <w:rsid w:val="00DE659C"/>
    <w:rsid w:val="00DE7827"/>
    <w:rsid w:val="00DF20F9"/>
    <w:rsid w:val="00DF65BC"/>
    <w:rsid w:val="00E04608"/>
    <w:rsid w:val="00E10533"/>
    <w:rsid w:val="00E112F7"/>
    <w:rsid w:val="00E26303"/>
    <w:rsid w:val="00E26BEE"/>
    <w:rsid w:val="00E3661D"/>
    <w:rsid w:val="00E36D8F"/>
    <w:rsid w:val="00E4149E"/>
    <w:rsid w:val="00E43173"/>
    <w:rsid w:val="00E456BB"/>
    <w:rsid w:val="00E511E9"/>
    <w:rsid w:val="00E56862"/>
    <w:rsid w:val="00E57AEC"/>
    <w:rsid w:val="00E60EB7"/>
    <w:rsid w:val="00E6189C"/>
    <w:rsid w:val="00E70F4D"/>
    <w:rsid w:val="00E71433"/>
    <w:rsid w:val="00E74AB9"/>
    <w:rsid w:val="00E7580F"/>
    <w:rsid w:val="00E76F7C"/>
    <w:rsid w:val="00E820F9"/>
    <w:rsid w:val="00E85E75"/>
    <w:rsid w:val="00E87118"/>
    <w:rsid w:val="00E8778A"/>
    <w:rsid w:val="00E91881"/>
    <w:rsid w:val="00EA0576"/>
    <w:rsid w:val="00EA4E82"/>
    <w:rsid w:val="00EB4861"/>
    <w:rsid w:val="00EB6D2C"/>
    <w:rsid w:val="00EB777B"/>
    <w:rsid w:val="00EB7DCA"/>
    <w:rsid w:val="00EC05A4"/>
    <w:rsid w:val="00EC2F24"/>
    <w:rsid w:val="00EC64C4"/>
    <w:rsid w:val="00ED1303"/>
    <w:rsid w:val="00ED4258"/>
    <w:rsid w:val="00ED5CE0"/>
    <w:rsid w:val="00EE0DA4"/>
    <w:rsid w:val="00EE4464"/>
    <w:rsid w:val="00EE6E44"/>
    <w:rsid w:val="00EF0CB7"/>
    <w:rsid w:val="00F0022E"/>
    <w:rsid w:val="00F0243D"/>
    <w:rsid w:val="00F0300E"/>
    <w:rsid w:val="00F04D02"/>
    <w:rsid w:val="00F07A68"/>
    <w:rsid w:val="00F13157"/>
    <w:rsid w:val="00F17D36"/>
    <w:rsid w:val="00F20D6A"/>
    <w:rsid w:val="00F24DE3"/>
    <w:rsid w:val="00F31277"/>
    <w:rsid w:val="00F32FD5"/>
    <w:rsid w:val="00F35A90"/>
    <w:rsid w:val="00F36964"/>
    <w:rsid w:val="00F4069A"/>
    <w:rsid w:val="00F417FB"/>
    <w:rsid w:val="00F42F43"/>
    <w:rsid w:val="00F521A2"/>
    <w:rsid w:val="00F52473"/>
    <w:rsid w:val="00F53C9B"/>
    <w:rsid w:val="00F56F56"/>
    <w:rsid w:val="00F60FB2"/>
    <w:rsid w:val="00F62C3B"/>
    <w:rsid w:val="00F6421E"/>
    <w:rsid w:val="00F6565E"/>
    <w:rsid w:val="00F72AFB"/>
    <w:rsid w:val="00F76F9B"/>
    <w:rsid w:val="00F808AF"/>
    <w:rsid w:val="00F82E87"/>
    <w:rsid w:val="00F93A29"/>
    <w:rsid w:val="00F94F77"/>
    <w:rsid w:val="00F95485"/>
    <w:rsid w:val="00FA1144"/>
    <w:rsid w:val="00FA1E80"/>
    <w:rsid w:val="00FA39C8"/>
    <w:rsid w:val="00FB00D5"/>
    <w:rsid w:val="00FB75C7"/>
    <w:rsid w:val="00FC5D58"/>
    <w:rsid w:val="00FC5EF6"/>
    <w:rsid w:val="00FC64DE"/>
    <w:rsid w:val="00FD2BFE"/>
    <w:rsid w:val="00FD7FCA"/>
    <w:rsid w:val="00FE0F66"/>
    <w:rsid w:val="00FE4703"/>
    <w:rsid w:val="00FF5DC5"/>
    <w:rsid w:val="04325CA7"/>
    <w:rsid w:val="04726EAB"/>
    <w:rsid w:val="061C49BF"/>
    <w:rsid w:val="06AB393E"/>
    <w:rsid w:val="0733503E"/>
    <w:rsid w:val="09740B32"/>
    <w:rsid w:val="09787778"/>
    <w:rsid w:val="09D021D7"/>
    <w:rsid w:val="0BD77DDE"/>
    <w:rsid w:val="14CF2FBF"/>
    <w:rsid w:val="15A250FA"/>
    <w:rsid w:val="161D4EE0"/>
    <w:rsid w:val="164545FA"/>
    <w:rsid w:val="165B754A"/>
    <w:rsid w:val="1AA01BC1"/>
    <w:rsid w:val="1D3A4BE6"/>
    <w:rsid w:val="2106331A"/>
    <w:rsid w:val="257A4CD4"/>
    <w:rsid w:val="25F3318F"/>
    <w:rsid w:val="277F6CFA"/>
    <w:rsid w:val="27D86AE1"/>
    <w:rsid w:val="2E925B9A"/>
    <w:rsid w:val="2ED16A52"/>
    <w:rsid w:val="2FB41825"/>
    <w:rsid w:val="3149291E"/>
    <w:rsid w:val="338F274A"/>
    <w:rsid w:val="33B201E6"/>
    <w:rsid w:val="3B974891"/>
    <w:rsid w:val="3D673DEF"/>
    <w:rsid w:val="3E43485C"/>
    <w:rsid w:val="3F575A3A"/>
    <w:rsid w:val="3F922EFF"/>
    <w:rsid w:val="3FAE7A66"/>
    <w:rsid w:val="3FC7423E"/>
    <w:rsid w:val="40117062"/>
    <w:rsid w:val="41EB591E"/>
    <w:rsid w:val="433E4728"/>
    <w:rsid w:val="44354C47"/>
    <w:rsid w:val="44E12B11"/>
    <w:rsid w:val="468E19BC"/>
    <w:rsid w:val="4F247D92"/>
    <w:rsid w:val="55855A5C"/>
    <w:rsid w:val="56941CA1"/>
    <w:rsid w:val="57586544"/>
    <w:rsid w:val="59701E26"/>
    <w:rsid w:val="5DEF4DF2"/>
    <w:rsid w:val="5FF9F7C9"/>
    <w:rsid w:val="603E4A2C"/>
    <w:rsid w:val="61246A9E"/>
    <w:rsid w:val="62B23BA2"/>
    <w:rsid w:val="66CA7CB9"/>
    <w:rsid w:val="6CAF42DD"/>
    <w:rsid w:val="6E2249AE"/>
    <w:rsid w:val="6F5A4740"/>
    <w:rsid w:val="74652AF8"/>
    <w:rsid w:val="74CF1C9F"/>
    <w:rsid w:val="7533222E"/>
    <w:rsid w:val="7AD11AF5"/>
    <w:rsid w:val="7BFBE158"/>
    <w:rsid w:val="7EF92E8D"/>
    <w:rsid w:val="7FEB2083"/>
    <w:rsid w:val="FBF52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paragraph" w:styleId="5">
    <w:name w:val="footnote text"/>
    <w:basedOn w:val="1"/>
    <w:semiHidden/>
    <w:unhideWhenUsed/>
    <w:qFormat/>
    <w:uiPriority w:val="99"/>
    <w:pPr>
      <w:snapToGrid w:val="0"/>
      <w:jc w:val="left"/>
    </w:pPr>
    <w:rPr>
      <w:sz w:val="18"/>
    </w:rPr>
  </w:style>
  <w:style w:type="paragraph" w:styleId="6">
    <w:name w:val="annotation subject"/>
    <w:basedOn w:val="2"/>
    <w:next w:val="2"/>
    <w:link w:val="16"/>
    <w:semiHidden/>
    <w:unhideWhenUsed/>
    <w:qFormat/>
    <w:uiPriority w:val="99"/>
    <w:rPr>
      <w:b/>
      <w:bCs/>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styleId="11">
    <w:name w:val="footnote reference"/>
    <w:basedOn w:val="8"/>
    <w:semiHidden/>
    <w:unhideWhenUsed/>
    <w:qFormat/>
    <w:uiPriority w:val="99"/>
    <w:rPr>
      <w:vertAlign w:val="superscript"/>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8"/>
    <w:link w:val="2"/>
    <w:qFormat/>
    <w:uiPriority w:val="99"/>
  </w:style>
  <w:style w:type="character" w:customStyle="1" w:styleId="16">
    <w:name w:val="批注主题 字符"/>
    <w:basedOn w:val="15"/>
    <w:link w:val="6"/>
    <w:semiHidden/>
    <w:qFormat/>
    <w:uiPriority w:val="99"/>
    <w:rPr>
      <w:b/>
      <w:bCs/>
    </w:rPr>
  </w:style>
  <w:style w:type="paragraph" w:customStyle="1" w:styleId="17">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18">
    <w:name w:val="未处理的提及1"/>
    <w:basedOn w:val="8"/>
    <w:semiHidden/>
    <w:unhideWhenUsed/>
    <w:qFormat/>
    <w:uiPriority w:val="99"/>
    <w:rPr>
      <w:color w:val="605E5C"/>
      <w:shd w:val="clear" w:color="auto" w:fill="E1DFDD"/>
    </w:rPr>
  </w:style>
  <w:style w:type="paragraph" w:customStyle="1" w:styleId="19">
    <w:name w:val="修订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20">
    <w:name w:val="修订3"/>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21">
    <w:name w:val="修订4"/>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2">
    <w:name w:val="Table Normal"/>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3">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Cs w:val="21"/>
      <w:lang w:eastAsia="en-US"/>
    </w:rPr>
  </w:style>
  <w:style w:type="paragraph" w:customStyle="1" w:styleId="2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5195</Words>
  <Characters>5527</Characters>
  <Lines>45</Lines>
  <Paragraphs>12</Paragraphs>
  <TotalTime>2</TotalTime>
  <ScaleCrop>false</ScaleCrop>
  <LinksUpToDate>false</LinksUpToDate>
  <CharactersWithSpaces>5592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2025-08-27T03:18:00Z</dcterms:created>
  <dc:creator>m</dc:creator>
  <cp:lastModifiedBy>豆豆</cp:lastModifiedBy>
  <cp:lastPrinted>2025-01-02T14:00:00Z</cp:lastPrinted>
  <dcterms:modified xsi:type="dcterms:W3CDTF">2025-12-18T06:46:43Z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eyJoZGlkIjoiN2Q5YTdlMDQzNzAwYmRmY2JlZDk3NGQyZWI4NmIwMWEiLCJ1c2VySWQiOiIzMjIxMTU4NjAifQ==</vt:lpwstr>
  </property>
  <property fmtid="{D5CDD505-2E9C-101B-9397-08002B2CF9AE}" pid="4" name="ICV">
    <vt:lpwstr>14C5E5639563477FB3AE7C8263152ABE_13</vt:lpwstr>
  </property>
</Properties>
</file>