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C6AB4">
      <w:pPr>
        <w:spacing w:after="0" w:line="558" w:lineRule="exact"/>
        <w:outlineLvl w:val="0"/>
        <w:rPr>
          <w:rFonts w:hint="eastAsia" w:ascii="方正小标宋简体" w:hAnsi="方正小标宋简体" w:eastAsia="黑体" w:cs="方正小标宋简体"/>
          <w:color w:val="auto"/>
          <w:sz w:val="44"/>
          <w:szCs w:val="44"/>
          <w:lang w:val="en-US" w:eastAsia="zh-CN"/>
        </w:rPr>
      </w:pPr>
      <w:r>
        <w:rPr>
          <w:rFonts w:hint="eastAsia" w:ascii="黑体" w:hAnsi="黑体" w:eastAsia="黑体" w:cs="黑体"/>
          <w:color w:val="auto"/>
          <w:spacing w:val="15"/>
          <w:kern w:val="0"/>
          <w:sz w:val="32"/>
          <w:szCs w:val="32"/>
          <w:shd w:val="clear" w:color="auto" w:fill="FFFFFF"/>
        </w:rPr>
        <w:t>附件</w:t>
      </w:r>
      <w:r>
        <w:rPr>
          <w:rFonts w:hint="eastAsia" w:ascii="黑体" w:hAnsi="黑体" w:eastAsia="黑体" w:cs="黑体"/>
          <w:color w:val="auto"/>
          <w:spacing w:val="15"/>
          <w:kern w:val="0"/>
          <w:sz w:val="32"/>
          <w:szCs w:val="32"/>
          <w:shd w:val="clear" w:color="auto" w:fill="FFFFFF"/>
          <w:lang w:val="en-US" w:eastAsia="zh-CN"/>
        </w:rPr>
        <w:t>4</w:t>
      </w:r>
    </w:p>
    <w:p w14:paraId="53964126">
      <w:pPr>
        <w:spacing w:after="0" w:line="558"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2026年地方金融组织经营发展奖励</w:t>
      </w:r>
    </w:p>
    <w:p w14:paraId="464E2CC4">
      <w:pPr>
        <w:spacing w:after="0" w:line="558" w:lineRule="exact"/>
        <w:jc w:val="center"/>
        <w:outlineLvl w:val="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办事指南</w:t>
      </w:r>
    </w:p>
    <w:p w14:paraId="40182C80">
      <w:pPr>
        <w:spacing w:after="0" w:line="558" w:lineRule="exact"/>
        <w:rPr>
          <w:rFonts w:ascii="仿宋_GB2312" w:hAnsi="仿宋_GB2312" w:eastAsia="仿宋_GB2312" w:cs="仿宋_GB2312"/>
          <w:color w:val="auto"/>
          <w:sz w:val="32"/>
          <w:szCs w:val="32"/>
        </w:rPr>
      </w:pPr>
    </w:p>
    <w:p w14:paraId="7A700768">
      <w:pPr>
        <w:spacing w:after="0" w:line="558" w:lineRule="exact"/>
        <w:ind w:firstLine="640" w:firstLineChars="200"/>
        <w:outlineLvl w:val="0"/>
        <w:rPr>
          <w:rFonts w:ascii="黑体" w:hAnsi="黑体" w:eastAsia="黑体" w:cs="黑体"/>
          <w:color w:val="auto"/>
          <w:kern w:val="0"/>
          <w:sz w:val="32"/>
          <w:szCs w:val="32"/>
        </w:rPr>
      </w:pPr>
      <w:r>
        <w:rPr>
          <w:rFonts w:hint="eastAsia" w:ascii="黑体" w:hAnsi="黑体" w:eastAsia="黑体" w:cs="黑体"/>
          <w:color w:val="auto"/>
          <w:sz w:val="32"/>
          <w:szCs w:val="32"/>
        </w:rPr>
        <w:t>一、政策依据</w:t>
      </w:r>
    </w:p>
    <w:p w14:paraId="36D929FA">
      <w:pPr>
        <w:spacing w:after="0" w:line="558" w:lineRule="exact"/>
        <w:ind w:firstLine="640"/>
        <w:rPr>
          <w:color w:val="auto"/>
        </w:rPr>
      </w:pPr>
      <w:r>
        <w:rPr>
          <w:rFonts w:hint="eastAsia" w:ascii="仿宋_GB2312" w:hAnsi="仿宋_GB2312" w:eastAsia="仿宋_GB2312" w:cs="仿宋_GB2312"/>
          <w:bCs/>
          <w:color w:val="auto"/>
          <w:kern w:val="0"/>
          <w:sz w:val="32"/>
          <w:szCs w:val="32"/>
        </w:rPr>
        <w:t>《北京经济技术开发区关于加快推动产业金融高质量发展的若干措施》（京技管发〔2025〕25号）中第十条“</w:t>
      </w:r>
      <w:r>
        <w:rPr>
          <w:rFonts w:hint="eastAsia" w:ascii="仿宋_GB2312" w:hAnsi="仿宋_GB2312" w:eastAsia="仿宋_GB2312" w:cs="仿宋_GB2312"/>
          <w:color w:val="auto"/>
          <w:sz w:val="32"/>
          <w:szCs w:val="32"/>
          <w:lang w:val="zh-TW" w:eastAsia="zh-TW"/>
        </w:rPr>
        <w:t>推动形成多层次地方金融组织体系，支持符合产业发展方向的融资租赁公司、商业保理公司、融资担保公司发展。实收资本5亿元（含）以上的，按实收资本的0.5%给予奖励，最高不超过1000万元。实收资本每增加1亿元（含）以上的，按增资额度的0.5%给予奖励，每次最高不超过500万元。</w:t>
      </w:r>
      <w:r>
        <w:rPr>
          <w:rFonts w:hint="eastAsia" w:ascii="仿宋_GB2312" w:hAnsi="仿宋_GB2312" w:eastAsia="仿宋_GB2312" w:cs="仿宋_GB2312"/>
          <w:bCs/>
          <w:color w:val="auto"/>
          <w:kern w:val="0"/>
          <w:sz w:val="32"/>
          <w:szCs w:val="32"/>
        </w:rPr>
        <w:t>”</w:t>
      </w:r>
    </w:p>
    <w:p w14:paraId="442C25C6">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二、申报事项</w:t>
      </w:r>
    </w:p>
    <w:p w14:paraId="6CB2017B">
      <w:pPr>
        <w:spacing w:after="0" w:line="558" w:lineRule="exact"/>
        <w:ind w:firstLine="640" w:firstLineChars="200"/>
        <w:outlineLvl w:val="0"/>
        <w:rPr>
          <w:rFonts w:ascii="黑体" w:hAnsi="黑体" w:eastAsia="仿宋_GB2312" w:cs="黑体"/>
          <w:bCs/>
          <w:color w:val="auto"/>
          <w:kern w:val="0"/>
          <w:sz w:val="32"/>
          <w:szCs w:val="32"/>
        </w:rPr>
      </w:pPr>
      <w:r>
        <w:rPr>
          <w:rFonts w:hint="eastAsia" w:ascii="仿宋_GB2312" w:hAnsi="仿宋_GB2312" w:eastAsia="仿宋_GB2312" w:cs="仿宋_GB2312"/>
          <w:color w:val="auto"/>
          <w:sz w:val="32"/>
          <w:szCs w:val="32"/>
          <w:lang w:val="zh-TW"/>
        </w:rPr>
        <w:t>2026年</w:t>
      </w:r>
      <w:r>
        <w:rPr>
          <w:rFonts w:hint="eastAsia" w:ascii="仿宋_GB2312" w:hAnsi="仿宋_GB2312" w:eastAsia="仿宋_GB2312" w:cs="仿宋_GB2312"/>
          <w:color w:val="auto"/>
          <w:sz w:val="32"/>
          <w:szCs w:val="32"/>
          <w:lang w:val="zh-TW" w:eastAsia="zh-TW"/>
        </w:rPr>
        <w:t>地</w:t>
      </w:r>
      <w:r>
        <w:rPr>
          <w:rFonts w:hint="eastAsia" w:eastAsia="仿宋_GB2312" w:cs="仿宋_GB2312"/>
          <w:color w:val="auto"/>
          <w:sz w:val="32"/>
          <w:szCs w:val="32"/>
        </w:rPr>
        <w:t>方金融组织经营发展奖励</w:t>
      </w:r>
    </w:p>
    <w:p w14:paraId="03EFC2C0">
      <w:pPr>
        <w:spacing w:after="0" w:line="558"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三、申报条件</w:t>
      </w:r>
    </w:p>
    <w:p w14:paraId="200EE4FE">
      <w:pPr>
        <w:spacing w:after="0" w:line="558" w:lineRule="exact"/>
        <w:ind w:firstLine="640" w:firstLineChars="200"/>
        <w:outlineLvl w:val="1"/>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（一）申报主体在亦庄新城225平方公里范围内</w:t>
      </w:r>
      <w:r>
        <w:rPr>
          <w:rFonts w:hint="eastAsia" w:ascii="仿宋_GB2312" w:hAnsi="仿宋_GB2312" w:eastAsia="仿宋_GB2312" w:cs="仿宋_GB2312"/>
          <w:color w:val="auto"/>
          <w:sz w:val="32"/>
          <w:szCs w:val="32"/>
          <w:lang w:val="en-US" w:eastAsia="zh-CN"/>
        </w:rPr>
        <w:t>依法</w:t>
      </w:r>
      <w:r>
        <w:rPr>
          <w:rFonts w:hint="eastAsia" w:ascii="仿宋_GB2312" w:hAnsi="仿宋_GB2312" w:eastAsia="仿宋_GB2312" w:cs="仿宋_GB2312"/>
          <w:color w:val="auto"/>
          <w:sz w:val="32"/>
          <w:szCs w:val="32"/>
        </w:rPr>
        <w:t>实际经营。</w:t>
      </w:r>
    </w:p>
    <w:p w14:paraId="7673A250">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（二）申报主体</w:t>
      </w:r>
      <w:r>
        <w:rPr>
          <w:rFonts w:ascii="仿宋_GB2312" w:hAnsi="仿宋_GB2312" w:eastAsia="仿宋_GB2312" w:cs="仿宋_GB2312"/>
          <w:color w:val="auto"/>
          <w:sz w:val="32"/>
          <w:szCs w:val="32"/>
        </w:rPr>
        <w:t>近三年</w:t>
      </w:r>
      <w:r>
        <w:rPr>
          <w:rFonts w:hint="eastAsia" w:ascii="仿宋_GB2312" w:hAnsi="仿宋_GB2312" w:eastAsia="仿宋_GB2312" w:cs="仿宋_GB2312"/>
          <w:color w:val="auto"/>
          <w:sz w:val="32"/>
          <w:szCs w:val="32"/>
        </w:rPr>
        <w:t>无重大行政处罚记录和刑事犯罪记录，未列入严重违法失信主体名单。</w:t>
      </w:r>
    </w:p>
    <w:p w14:paraId="4D26C030">
      <w:pPr>
        <w:spacing w:after="0" w:line="558" w:lineRule="exact"/>
        <w:ind w:firstLine="640"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pacing w:val="6"/>
          <w:sz w:val="32"/>
          <w:szCs w:val="32"/>
        </w:rPr>
        <w:t>申报主体的资格需要满足以下条件之一：</w:t>
      </w:r>
    </w:p>
    <w:p w14:paraId="62A7C548">
      <w:pPr>
        <w:spacing w:after="0" w:line="558" w:lineRule="exact"/>
        <w:ind w:firstLine="664" w:firstLineChars="200"/>
        <w:rPr>
          <w:rFonts w:ascii="仿宋_GB2312" w:hAnsi="仿宋_GB2312" w:eastAsia="仿宋_GB2312" w:cs="仿宋_GB2312"/>
          <w:color w:val="auto"/>
          <w:sz w:val="32"/>
          <w:szCs w:val="32"/>
          <w:lang w:val="zh-TW"/>
        </w:rPr>
      </w:pPr>
      <w:r>
        <w:rPr>
          <w:rFonts w:hint="eastAsia" w:ascii="仿宋_GB2312" w:hAnsi="仿宋_GB2312" w:eastAsia="仿宋_GB2312" w:cs="仿宋_GB2312"/>
          <w:color w:val="auto"/>
          <w:spacing w:val="6"/>
          <w:sz w:val="32"/>
          <w:szCs w:val="32"/>
        </w:rPr>
        <w:t>1.经北京市地方金融管理局批准</w:t>
      </w:r>
      <w:r>
        <w:rPr>
          <w:rFonts w:hint="eastAsia" w:ascii="仿宋_GB2312" w:hAnsi="仿宋_GB2312" w:eastAsia="仿宋_GB2312" w:cs="仿宋_GB2312"/>
          <w:color w:val="auto"/>
          <w:spacing w:val="6"/>
          <w:sz w:val="32"/>
          <w:szCs w:val="32"/>
          <w:lang w:val="en-US" w:eastAsia="zh-CN"/>
        </w:rPr>
        <w:t>新</w:t>
      </w:r>
      <w:r>
        <w:rPr>
          <w:rFonts w:hint="eastAsia" w:ascii="仿宋_GB2312" w:hAnsi="仿宋_GB2312" w:eastAsia="仿宋_GB2312" w:cs="仿宋_GB2312"/>
          <w:color w:val="auto"/>
          <w:spacing w:val="6"/>
          <w:sz w:val="32"/>
          <w:szCs w:val="32"/>
        </w:rPr>
        <w:t>设立，并颁发经营许可证的融</w:t>
      </w:r>
      <w:r>
        <w:rPr>
          <w:rFonts w:hint="eastAsia" w:ascii="仿宋_GB2312" w:hAnsi="仿宋_GB2312" w:eastAsia="仿宋_GB2312" w:cs="仿宋_GB2312"/>
          <w:color w:val="auto"/>
          <w:sz w:val="32"/>
          <w:szCs w:val="32"/>
          <w:lang w:val="zh-TW" w:eastAsia="zh-TW"/>
        </w:rPr>
        <w:t>资租赁公司、商业保理公司、融资担保公司</w:t>
      </w:r>
      <w:r>
        <w:rPr>
          <w:rFonts w:hint="eastAsia" w:ascii="仿宋_GB2312" w:hAnsi="仿宋_GB2312" w:eastAsia="仿宋_GB2312" w:cs="仿宋_GB2312"/>
          <w:color w:val="auto"/>
          <w:spacing w:val="6"/>
          <w:sz w:val="32"/>
          <w:szCs w:val="32"/>
        </w:rPr>
        <w:t>，实收资本需在</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zh-TW" w:eastAsia="zh-TW"/>
        </w:rPr>
        <w:t>亿元（含）以上</w:t>
      </w:r>
      <w:r>
        <w:rPr>
          <w:rFonts w:hint="eastAsia" w:ascii="仿宋_GB2312" w:hAnsi="仿宋_GB2312" w:eastAsia="仿宋_GB2312" w:cs="仿宋_GB2312"/>
          <w:color w:val="auto"/>
          <w:sz w:val="32"/>
          <w:szCs w:val="32"/>
          <w:lang w:val="zh-TW"/>
        </w:rPr>
        <w:t>。</w:t>
      </w:r>
    </w:p>
    <w:p w14:paraId="59483ECF">
      <w:pPr>
        <w:spacing w:after="0" w:line="558" w:lineRule="exact"/>
        <w:ind w:firstLine="664" w:firstLineChars="200"/>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pacing w:val="6"/>
          <w:sz w:val="32"/>
          <w:szCs w:val="32"/>
        </w:rPr>
        <w:t>2.经北京市地方金融管理局批准已设立，并颁发经营许可证的融</w:t>
      </w:r>
      <w:r>
        <w:rPr>
          <w:rFonts w:hint="eastAsia" w:ascii="仿宋_GB2312" w:hAnsi="仿宋_GB2312" w:eastAsia="仿宋_GB2312" w:cs="仿宋_GB2312"/>
          <w:color w:val="auto"/>
          <w:sz w:val="32"/>
          <w:szCs w:val="32"/>
          <w:lang w:val="zh-TW" w:eastAsia="zh-TW"/>
        </w:rPr>
        <w:t>资租赁公司、商业保理公司、融资担保公司</w:t>
      </w:r>
      <w:r>
        <w:rPr>
          <w:rFonts w:hint="eastAsia" w:ascii="仿宋_GB2312" w:hAnsi="仿宋_GB2312" w:eastAsia="仿宋_GB2312" w:cs="仿宋_GB2312"/>
          <w:color w:val="auto"/>
          <w:spacing w:val="6"/>
          <w:sz w:val="32"/>
          <w:szCs w:val="32"/>
        </w:rPr>
        <w:t>，实收资本需要单次增资1亿元（含）以上。</w:t>
      </w:r>
    </w:p>
    <w:p w14:paraId="439E7B5E">
      <w:pPr>
        <w:spacing w:after="0" w:line="558" w:lineRule="exact"/>
        <w:ind w:firstLine="640" w:firstLineChars="200"/>
        <w:outlineLvl w:val="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四、支持内容及标准</w:t>
      </w:r>
    </w:p>
    <w:p w14:paraId="31EF9BC4">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val="zh-TW" w:eastAsia="zh-TW"/>
        </w:rPr>
        <w:t>对北京市地方金融管理局批准</w:t>
      </w:r>
      <w:r>
        <w:rPr>
          <w:rFonts w:hint="eastAsia" w:ascii="仿宋_GB2312" w:hAnsi="仿宋_GB2312" w:eastAsia="仿宋_GB2312" w:cs="仿宋_GB2312"/>
          <w:color w:val="auto"/>
          <w:sz w:val="32"/>
          <w:szCs w:val="32"/>
          <w:lang w:val="en-US" w:eastAsia="zh-CN"/>
        </w:rPr>
        <w:t>新</w:t>
      </w:r>
      <w:r>
        <w:rPr>
          <w:rFonts w:hint="eastAsia" w:ascii="仿宋_GB2312" w:hAnsi="仿宋_GB2312" w:eastAsia="仿宋_GB2312" w:cs="仿宋_GB2312"/>
          <w:color w:val="auto"/>
          <w:sz w:val="32"/>
          <w:szCs w:val="32"/>
          <w:lang w:val="zh-TW" w:eastAsia="zh-TW"/>
        </w:rPr>
        <w:t>设立的融资租赁公司、商业保理公司、融资担保公司，实收资本</w:t>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zh-TW" w:eastAsia="zh-TW"/>
        </w:rPr>
        <w:t>亿元（含）以上的，按实收资本的</w:t>
      </w:r>
      <w:r>
        <w:rPr>
          <w:rFonts w:hint="eastAsia" w:ascii="仿宋_GB2312" w:hAnsi="仿宋_GB2312" w:eastAsia="仿宋_GB2312" w:cs="仿宋_GB2312"/>
          <w:color w:val="auto"/>
          <w:sz w:val="32"/>
          <w:szCs w:val="32"/>
        </w:rPr>
        <w:t>0.5%</w:t>
      </w:r>
      <w:r>
        <w:rPr>
          <w:rFonts w:hint="eastAsia" w:ascii="仿宋_GB2312" w:hAnsi="仿宋_GB2312" w:eastAsia="仿宋_GB2312" w:cs="仿宋_GB2312"/>
          <w:color w:val="auto"/>
          <w:sz w:val="32"/>
          <w:szCs w:val="32"/>
          <w:lang w:val="zh-TW" w:eastAsia="zh-TW"/>
        </w:rPr>
        <w:t>给予</w:t>
      </w:r>
      <w:r>
        <w:rPr>
          <w:rFonts w:hint="eastAsia" w:ascii="仿宋_GB2312" w:hAnsi="仿宋_GB2312" w:eastAsia="仿宋_GB2312" w:cs="仿宋_GB2312"/>
          <w:color w:val="auto"/>
          <w:sz w:val="32"/>
          <w:szCs w:val="32"/>
          <w:lang w:val="zh-TW"/>
        </w:rPr>
        <w:t>奖励</w:t>
      </w:r>
      <w:r>
        <w:rPr>
          <w:rFonts w:hint="eastAsia" w:ascii="仿宋_GB2312" w:hAnsi="仿宋_GB2312" w:eastAsia="仿宋_GB2312" w:cs="仿宋_GB2312"/>
          <w:color w:val="auto"/>
          <w:sz w:val="32"/>
          <w:szCs w:val="32"/>
          <w:lang w:val="zh-TW" w:eastAsia="zh-TW"/>
        </w:rPr>
        <w:t>，最高不超过</w:t>
      </w:r>
      <w:r>
        <w:rPr>
          <w:rFonts w:hint="eastAsia" w:ascii="仿宋_GB2312" w:hAnsi="仿宋_GB2312" w:eastAsia="仿宋_GB2312" w:cs="仿宋_GB2312"/>
          <w:color w:val="auto"/>
          <w:sz w:val="32"/>
          <w:szCs w:val="32"/>
        </w:rPr>
        <w:t>1000</w:t>
      </w:r>
      <w:r>
        <w:rPr>
          <w:rFonts w:hint="eastAsia" w:ascii="仿宋_GB2312" w:hAnsi="仿宋_GB2312" w:eastAsia="仿宋_GB2312" w:cs="仿宋_GB2312"/>
          <w:color w:val="auto"/>
          <w:sz w:val="32"/>
          <w:szCs w:val="32"/>
          <w:lang w:val="zh-TW" w:eastAsia="zh-TW"/>
        </w:rPr>
        <w:t>万元。</w:t>
      </w:r>
    </w:p>
    <w:p w14:paraId="50378724">
      <w:pPr>
        <w:spacing w:after="0" w:line="558" w:lineRule="exact"/>
        <w:ind w:firstLine="640"/>
        <w:rPr>
          <w:rFonts w:ascii="仿宋_GB2312" w:hAnsi="仿宋_GB2312" w:eastAsia="仿宋_GB2312" w:cs="仿宋_GB2312"/>
          <w:color w:val="auto"/>
          <w:sz w:val="32"/>
          <w:szCs w:val="32"/>
          <w:lang w:val="zh-TW"/>
        </w:rPr>
      </w:pPr>
      <w:r>
        <w:rPr>
          <w:rFonts w:hint="eastAsia" w:ascii="仿宋_GB2312" w:hAnsi="仿宋_GB2312" w:eastAsia="仿宋_GB2312" w:cs="仿宋_GB2312"/>
          <w:color w:val="auto"/>
          <w:sz w:val="32"/>
          <w:szCs w:val="32"/>
        </w:rPr>
        <w:t>（二）对</w:t>
      </w:r>
      <w:r>
        <w:rPr>
          <w:rFonts w:hint="eastAsia" w:ascii="仿宋_GB2312" w:hAnsi="仿宋_GB2312" w:eastAsia="仿宋_GB2312" w:cs="仿宋_GB2312"/>
          <w:color w:val="auto"/>
          <w:sz w:val="32"/>
          <w:szCs w:val="32"/>
          <w:lang w:val="zh-TW" w:eastAsia="zh-TW"/>
        </w:rPr>
        <w:t>北京市地方金融管理局批准</w:t>
      </w:r>
      <w:r>
        <w:rPr>
          <w:rFonts w:hint="eastAsia" w:ascii="仿宋_GB2312" w:hAnsi="仿宋_GB2312" w:eastAsia="仿宋_GB2312" w:cs="仿宋_GB2312"/>
          <w:color w:val="auto"/>
          <w:spacing w:val="6"/>
          <w:sz w:val="32"/>
          <w:szCs w:val="32"/>
        </w:rPr>
        <w:t>已设立的</w:t>
      </w:r>
      <w:r>
        <w:rPr>
          <w:rFonts w:hint="eastAsia" w:ascii="仿宋_GB2312" w:hAnsi="仿宋_GB2312" w:eastAsia="仿宋_GB2312" w:cs="仿宋_GB2312"/>
          <w:color w:val="auto"/>
          <w:sz w:val="32"/>
          <w:szCs w:val="32"/>
          <w:lang w:val="zh-TW" w:eastAsia="zh-TW"/>
        </w:rPr>
        <w:t>融资租赁公司、商业保理公司、融资担保公司</w:t>
      </w:r>
      <w:r>
        <w:rPr>
          <w:rFonts w:hint="eastAsia" w:ascii="仿宋_GB2312" w:hAnsi="仿宋_GB2312" w:eastAsia="仿宋_GB2312" w:cs="仿宋_GB2312"/>
          <w:color w:val="auto"/>
          <w:sz w:val="32"/>
          <w:szCs w:val="32"/>
          <w:lang w:val="zh-TW"/>
        </w:rPr>
        <w:t>，</w:t>
      </w:r>
      <w:r>
        <w:rPr>
          <w:rFonts w:hint="eastAsia" w:ascii="仿宋_GB2312" w:hAnsi="仿宋_GB2312" w:eastAsia="仿宋_GB2312" w:cs="仿宋_GB2312"/>
          <w:color w:val="auto"/>
          <w:sz w:val="32"/>
          <w:szCs w:val="32"/>
          <w:lang w:val="zh-TW" w:eastAsia="zh-TW"/>
        </w:rPr>
        <w:t>实收资本每增加1亿元（含）以上的，按增资额度的0.5%给予奖励，每次最高不超过500万元。</w:t>
      </w:r>
    </w:p>
    <w:p w14:paraId="7D486137">
      <w:pPr>
        <w:spacing w:after="0" w:line="558" w:lineRule="exact"/>
        <w:ind w:firstLine="640"/>
        <w:rPr>
          <w:rFonts w:ascii="仿宋_GB2312" w:hAnsi="仿宋_GB2312" w:eastAsia="仿宋_GB2312" w:cs="仿宋_GB2312"/>
          <w:color w:val="auto"/>
          <w:sz w:val="32"/>
          <w:szCs w:val="32"/>
          <w:lang w:val="zh-TW"/>
        </w:rPr>
      </w:pPr>
      <w:r>
        <w:rPr>
          <w:rFonts w:hint="eastAsia" w:ascii="仿宋_GB2312" w:hAnsi="仿宋_GB2312" w:eastAsia="仿宋_GB2312" w:cs="仿宋_GB2312"/>
          <w:color w:val="auto"/>
          <w:sz w:val="32"/>
          <w:szCs w:val="32"/>
          <w:lang w:val="zh-TW"/>
        </w:rPr>
        <w:t>（三）</w:t>
      </w:r>
      <w:r>
        <w:rPr>
          <w:rFonts w:hint="eastAsia" w:ascii="仿宋_GB2312" w:hAnsi="仿宋_GB2312" w:eastAsia="仿宋_GB2312" w:cs="仿宋_GB2312"/>
          <w:color w:val="auto"/>
          <w:sz w:val="32"/>
          <w:szCs w:val="32"/>
          <w:lang w:val="zh-TW" w:eastAsia="zh-TW"/>
        </w:rPr>
        <w:t>支持金额以万元为单位，保留两位小数，不足百元部分舍去。</w:t>
      </w:r>
    </w:p>
    <w:p w14:paraId="5CC685D2">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五、申报材料及要求</w:t>
      </w:r>
    </w:p>
    <w:p w14:paraId="34BF941F">
      <w:pPr>
        <w:spacing w:after="0" w:line="558" w:lineRule="exact"/>
        <w:ind w:firstLine="640" w:firstLineChars="200"/>
        <w:outlineLvl w:val="2"/>
        <w:rPr>
          <w:rFonts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1.2026年地方金融组织经营发展奖励申报表，在线填写</w:t>
      </w:r>
      <w:r>
        <w:rPr>
          <w:rFonts w:hint="eastAsia" w:ascii="仿宋_GB2312" w:hAnsi="仿宋_GB2312" w:eastAsia="仿宋_GB2312" w:cs="仿宋_GB2312"/>
          <w:color w:val="auto"/>
          <w:spacing w:val="6"/>
          <w:sz w:val="32"/>
          <w:szCs w:val="32"/>
        </w:rPr>
        <w:t>；</w:t>
      </w:r>
    </w:p>
    <w:p w14:paraId="34A24234">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2.企业营业执照，选取电子证照；</w:t>
      </w:r>
    </w:p>
    <w:p w14:paraId="4FD28FAB">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3.承诺书，下载模板填写，</w:t>
      </w:r>
      <w:r>
        <w:rPr>
          <w:rFonts w:hint="eastAsia" w:ascii="仿宋_GB2312" w:hAnsi="仿宋_GB2312" w:eastAsia="仿宋_GB2312" w:cs="仿宋_GB2312"/>
          <w:color w:val="auto"/>
          <w:spacing w:val="6"/>
          <w:sz w:val="32"/>
          <w:szCs w:val="32"/>
        </w:rPr>
        <w:t>签字</w:t>
      </w:r>
      <w:r>
        <w:rPr>
          <w:rFonts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6"/>
          <w:sz w:val="32"/>
          <w:szCs w:val="32"/>
        </w:rPr>
        <w:t>加盖公章，原件彩</w:t>
      </w:r>
      <w:r>
        <w:rPr>
          <w:rFonts w:ascii="仿宋_GB2312" w:hAnsi="仿宋_GB2312" w:eastAsia="仿宋_GB2312" w:cs="仿宋_GB2312"/>
          <w:color w:val="auto"/>
          <w:spacing w:val="6"/>
          <w:sz w:val="32"/>
          <w:szCs w:val="32"/>
        </w:rPr>
        <w:t>色</w:t>
      </w:r>
      <w:r>
        <w:rPr>
          <w:rFonts w:hint="eastAsia" w:ascii="仿宋_GB2312" w:hAnsi="仿宋_GB2312" w:eastAsia="仿宋_GB2312" w:cs="仿宋_GB2312"/>
          <w:color w:val="auto"/>
          <w:spacing w:val="6"/>
          <w:sz w:val="32"/>
          <w:szCs w:val="32"/>
        </w:rPr>
        <w:t>扫描</w:t>
      </w:r>
      <w:r>
        <w:rPr>
          <w:rFonts w:ascii="仿宋_GB2312" w:hAnsi="仿宋_GB2312" w:eastAsia="仿宋_GB2312" w:cs="仿宋_GB2312"/>
          <w:color w:val="auto"/>
          <w:spacing w:val="6"/>
          <w:sz w:val="32"/>
          <w:szCs w:val="32"/>
        </w:rPr>
        <w:t>上传</w:t>
      </w:r>
      <w:r>
        <w:rPr>
          <w:rFonts w:hint="eastAsia" w:ascii="仿宋_GB2312" w:hAnsi="仿宋_GB2312" w:eastAsia="仿宋_GB2312" w:cs="仿宋_GB2312"/>
          <w:color w:val="auto"/>
          <w:spacing w:val="6"/>
          <w:sz w:val="32"/>
          <w:szCs w:val="32"/>
        </w:rPr>
        <w:t>；</w:t>
      </w:r>
    </w:p>
    <w:p w14:paraId="5BDE7799">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4.银行账户信息，下载模板填写，加盖公章，</w:t>
      </w:r>
      <w:r>
        <w:rPr>
          <w:rFonts w:hint="eastAsia" w:ascii="仿宋_GB2312" w:hAnsi="仿宋_GB2312" w:eastAsia="仿宋_GB2312" w:cs="仿宋_GB2312"/>
          <w:color w:val="auto"/>
          <w:spacing w:val="6"/>
          <w:sz w:val="32"/>
          <w:szCs w:val="32"/>
        </w:rPr>
        <w:t>原件</w:t>
      </w:r>
      <w:r>
        <w:rPr>
          <w:rFonts w:ascii="仿宋_GB2312" w:hAnsi="仿宋_GB2312" w:eastAsia="仿宋_GB2312" w:cs="仿宋_GB2312"/>
          <w:color w:val="auto"/>
          <w:spacing w:val="6"/>
          <w:sz w:val="32"/>
          <w:szCs w:val="32"/>
        </w:rPr>
        <w:t>彩色</w:t>
      </w:r>
      <w:r>
        <w:rPr>
          <w:rFonts w:hint="eastAsia" w:ascii="仿宋_GB2312" w:hAnsi="仿宋_GB2312" w:eastAsia="仿宋_GB2312" w:cs="仿宋_GB2312"/>
          <w:color w:val="auto"/>
          <w:spacing w:val="6"/>
          <w:sz w:val="32"/>
          <w:szCs w:val="32"/>
        </w:rPr>
        <w:t>扫描</w:t>
      </w:r>
      <w:r>
        <w:rPr>
          <w:rFonts w:ascii="仿宋_GB2312" w:hAnsi="仿宋_GB2312" w:eastAsia="仿宋_GB2312" w:cs="仿宋_GB2312"/>
          <w:color w:val="auto"/>
          <w:spacing w:val="6"/>
          <w:sz w:val="32"/>
          <w:szCs w:val="32"/>
        </w:rPr>
        <w:t>上传</w:t>
      </w:r>
      <w:r>
        <w:rPr>
          <w:rFonts w:hint="eastAsia" w:ascii="仿宋_GB2312" w:hAnsi="仿宋_GB2312" w:eastAsia="仿宋_GB2312" w:cs="仿宋_GB2312"/>
          <w:color w:val="auto"/>
          <w:spacing w:val="6"/>
          <w:sz w:val="32"/>
          <w:szCs w:val="32"/>
        </w:rPr>
        <w:t>；</w:t>
      </w:r>
    </w:p>
    <w:p w14:paraId="009F18AE">
      <w:pPr>
        <w:spacing w:after="0" w:line="558" w:lineRule="exact"/>
        <w:ind w:firstLine="640" w:firstLineChars="200"/>
        <w:outlineLvl w:val="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5.北京市地方金融监督管理局颁发的金融许可证，原件彩色扫描上传；</w:t>
      </w:r>
    </w:p>
    <w:p w14:paraId="7282747E">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6.实收资本</w:t>
      </w:r>
      <w:r>
        <w:rPr>
          <w:rFonts w:ascii="仿宋_GB2312" w:hAnsi="仿宋_GB2312" w:eastAsia="仿宋_GB2312" w:cs="仿宋_GB2312"/>
          <w:color w:val="auto"/>
          <w:sz w:val="32"/>
          <w:szCs w:val="32"/>
        </w:rPr>
        <w:t>验资报告</w:t>
      </w:r>
      <w:r>
        <w:rPr>
          <w:rFonts w:hint="eastAsia" w:ascii="仿宋_GB2312" w:hAnsi="仿宋_GB2312" w:eastAsia="仿宋_GB2312" w:cs="仿宋_GB2312"/>
          <w:color w:val="auto"/>
          <w:sz w:val="32"/>
          <w:szCs w:val="32"/>
        </w:rPr>
        <w:t>，原件彩色扫描上传。</w:t>
      </w:r>
    </w:p>
    <w:p w14:paraId="71F3458B">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六、办理程序</w:t>
      </w:r>
    </w:p>
    <w:p w14:paraId="1CBFD584">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w:t>
      </w:r>
      <w:r>
        <w:rPr>
          <w:rFonts w:hint="eastAsia" w:ascii="仿宋_GB2312" w:hAnsi="仿宋_GB2312" w:eastAsia="仿宋_GB2312" w:cs="仿宋_GB2312"/>
          <w:b/>
          <w:bCs/>
          <w:color w:val="auto"/>
          <w:kern w:val="0"/>
          <w:sz w:val="32"/>
          <w:szCs w:val="32"/>
        </w:rPr>
        <w:t>网上申报</w:t>
      </w:r>
      <w:r>
        <w:rPr>
          <w:rFonts w:hint="eastAsia" w:ascii="仿宋_GB2312" w:hAnsi="仿宋_GB2312" w:eastAsia="仿宋_GB2312" w:cs="仿宋_GB2312"/>
          <w:color w:val="auto"/>
          <w:kern w:val="0"/>
          <w:sz w:val="32"/>
          <w:szCs w:val="32"/>
        </w:rPr>
        <w:t>：通过北京市人民政府门户网站“政策兑现”栏目（https://zhengce.beijing.gov.cn）或经开区官网“政策兑现”栏目（zcdx.kfqgw.beijing.gov.cn）进入政策兑现综合服务平台，注册登录后进行项目申报。如未在规定时间内提交申请的，视为自动放弃。</w:t>
      </w:r>
    </w:p>
    <w:p w14:paraId="066EF1B6">
      <w:pPr>
        <w:widowControl/>
        <w:numPr>
          <w:ilvl w:val="255"/>
          <w:numId w:val="0"/>
        </w:numPr>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b/>
          <w:bCs/>
          <w:color w:val="auto"/>
          <w:sz w:val="32"/>
          <w:szCs w:val="32"/>
        </w:rPr>
        <w:t>初审</w:t>
      </w:r>
      <w:r>
        <w:rPr>
          <w:rFonts w:hint="eastAsia" w:ascii="仿宋_GB2312" w:hAnsi="仿宋_GB2312" w:eastAsia="仿宋_GB2312" w:cs="仿宋_GB2312"/>
          <w:color w:val="auto"/>
          <w:sz w:val="32"/>
          <w:szCs w:val="32"/>
        </w:rPr>
        <w:t>：经开区营商环境建设局对申报主体提交的材料进行完整性审查，材料不齐全或不符合要求的，告知申报主体补齐补正。</w:t>
      </w:r>
    </w:p>
    <w:p w14:paraId="693B94E7">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b/>
          <w:bCs/>
          <w:color w:val="auto"/>
          <w:sz w:val="32"/>
          <w:szCs w:val="32"/>
        </w:rPr>
        <w:t>审核</w:t>
      </w:r>
      <w:r>
        <w:rPr>
          <w:rFonts w:hint="eastAsia" w:ascii="仿宋_GB2312" w:hAnsi="仿宋_GB2312" w:eastAsia="仿宋_GB2312" w:cs="仿宋_GB2312"/>
          <w:color w:val="auto"/>
          <w:sz w:val="32"/>
          <w:szCs w:val="32"/>
        </w:rPr>
        <w:t>：经开区商务金融局对申报材料进行实质审核。</w:t>
      </w:r>
    </w:p>
    <w:p w14:paraId="11E07356">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确定扶持结果</w:t>
      </w:r>
      <w:r>
        <w:rPr>
          <w:rFonts w:hint="eastAsia" w:ascii="仿宋_GB2312" w:hAnsi="仿宋_GB2312" w:eastAsia="仿宋_GB2312" w:cs="仿宋_GB2312"/>
          <w:color w:val="auto"/>
          <w:sz w:val="32"/>
          <w:szCs w:val="32"/>
        </w:rPr>
        <w:t>：经开区商务金融局对审核通过的申报主体拟定兑现扶持奖励金额。</w:t>
      </w:r>
    </w:p>
    <w:p w14:paraId="6AB5734C">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公示</w:t>
      </w:r>
      <w:r>
        <w:rPr>
          <w:rFonts w:hint="eastAsia" w:ascii="仿宋_GB2312" w:hAnsi="仿宋_GB2312" w:eastAsia="仿宋_GB2312" w:cs="仿宋_GB2312"/>
          <w:color w:val="auto"/>
          <w:sz w:val="32"/>
          <w:szCs w:val="32"/>
        </w:rPr>
        <w:t>：经开区商务金融局通过政策兑现综合服务平台对审核通过的申报主体进行公示。</w:t>
      </w:r>
    </w:p>
    <w:p w14:paraId="4E150845">
      <w:pPr>
        <w:widowControl/>
        <w:shd w:val="clear" w:color="auto" w:fill="FFFFFF"/>
        <w:spacing w:after="0" w:line="560"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资金拨付</w:t>
      </w:r>
      <w:r>
        <w:rPr>
          <w:rFonts w:hint="eastAsia" w:ascii="仿宋_GB2312" w:hAnsi="仿宋_GB2312" w:eastAsia="仿宋_GB2312" w:cs="仿宋_GB2312"/>
          <w:color w:val="auto"/>
          <w:sz w:val="32"/>
          <w:szCs w:val="32"/>
        </w:rPr>
        <w:t>：经公示无异议的，完成资金拨付。</w:t>
      </w:r>
    </w:p>
    <w:p w14:paraId="17EB1ADB">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七、主责部门</w:t>
      </w:r>
    </w:p>
    <w:p w14:paraId="31720A98">
      <w:pPr>
        <w:spacing w:after="0" w:line="560" w:lineRule="exact"/>
        <w:ind w:firstLine="640" w:firstLineChars="200"/>
        <w:rPr>
          <w:rFonts w:ascii="仿宋_GB2312" w:hAnsi="仿宋_GB2312" w:eastAsia="仿宋_GB2312" w:cs="仿宋_GB2312"/>
          <w:b/>
          <w:bCs/>
          <w:color w:val="auto"/>
          <w:sz w:val="32"/>
          <w:szCs w:val="32"/>
        </w:rPr>
      </w:pPr>
      <w:r>
        <w:rPr>
          <w:rFonts w:hint="eastAsia" w:eastAsia="仿宋_GB2312" w:cs="仿宋_GB2312"/>
          <w:color w:val="auto"/>
          <w:sz w:val="32"/>
          <w:szCs w:val="32"/>
        </w:rPr>
        <w:t>经开区商务金融局</w:t>
      </w:r>
    </w:p>
    <w:p w14:paraId="7F0D242F">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八、受理窗口</w:t>
      </w:r>
    </w:p>
    <w:p w14:paraId="36321D67">
      <w:pPr>
        <w:spacing w:after="0" w:line="560" w:lineRule="exact"/>
        <w:ind w:firstLine="640" w:firstLineChars="200"/>
        <w:outlineLvl w:val="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北京经济技术开发区万源街4号政务服务大厅“政策申报”窗口</w:t>
      </w:r>
    </w:p>
    <w:p w14:paraId="3B9EDBD9">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九、申报时间</w:t>
      </w:r>
    </w:p>
    <w:p w14:paraId="5864EF18">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2026年3月9日至2026年3月23日</w:t>
      </w:r>
    </w:p>
    <w:p w14:paraId="33354EB3">
      <w:pPr>
        <w:spacing w:after="0" w:line="560"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十、联系人及联系方式</w:t>
      </w:r>
    </w:p>
    <w:p w14:paraId="1F1900D8">
      <w:pPr>
        <w:spacing w:after="0" w:line="560" w:lineRule="exact"/>
        <w:ind w:firstLine="640" w:firstLineChars="200"/>
        <w:rPr>
          <w:rFonts w:eastAsia="仿宋_GB2312"/>
          <w:color w:val="auto"/>
          <w:sz w:val="32"/>
          <w:szCs w:val="32"/>
        </w:rPr>
      </w:pPr>
      <w:r>
        <w:rPr>
          <w:rFonts w:hint="eastAsia" w:eastAsia="仿宋_GB2312"/>
          <w:color w:val="auto"/>
          <w:sz w:val="32"/>
          <w:szCs w:val="32"/>
        </w:rPr>
        <w:t>政策咨询：</w:t>
      </w:r>
    </w:p>
    <w:p w14:paraId="1D4233D1">
      <w:pPr>
        <w:spacing w:after="0"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经开区政务服务大厅“政策申报”窗口，联系电话：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010-67857687</w:t>
      </w:r>
      <w:bookmarkStart w:id="0" w:name="_GoBack"/>
      <w:bookmarkEnd w:id="0"/>
      <w:r>
        <w:rPr>
          <w:rFonts w:hint="eastAsia" w:ascii="仿宋_GB2312" w:hAnsi="仿宋_GB2312" w:eastAsia="仿宋_GB2312" w:cs="仿宋_GB2312"/>
          <w:color w:val="auto"/>
          <w:sz w:val="32"/>
          <w:szCs w:val="32"/>
        </w:rPr>
        <w:t>，工作日上午9:00—12:00，下午1:30—5:00。</w:t>
      </w:r>
    </w:p>
    <w:p w14:paraId="0FCA8822">
      <w:pPr>
        <w:spacing w:after="0" w:line="560" w:lineRule="exact"/>
        <w:ind w:firstLine="640" w:firstLineChars="200"/>
        <w:rPr>
          <w:rFonts w:eastAsia="仿宋_GB2312"/>
          <w:color w:val="auto"/>
          <w:sz w:val="32"/>
          <w:szCs w:val="32"/>
        </w:rPr>
      </w:pPr>
      <w:r>
        <w:rPr>
          <w:rFonts w:hint="eastAsia" w:eastAsia="仿宋_GB2312"/>
          <w:color w:val="auto"/>
          <w:sz w:val="32"/>
          <w:szCs w:val="32"/>
        </w:rPr>
        <w:t>经开</w:t>
      </w:r>
      <w:r>
        <w:rPr>
          <w:rFonts w:hint="eastAsia" w:ascii="仿宋_GB2312" w:hAnsi="仿宋_GB2312" w:eastAsia="仿宋_GB2312" w:cs="仿宋_GB2312"/>
          <w:color w:val="auto"/>
          <w:sz w:val="32"/>
          <w:szCs w:val="32"/>
        </w:rPr>
        <w:t>区商务金融局，联系人：李镕辰，联系电话：010-83508589，工作日上午9:00—12:00，下午2:00—6:00。</w:t>
      </w:r>
    </w:p>
    <w:p w14:paraId="67D54476">
      <w:pPr>
        <w:spacing w:after="0" w:line="560" w:lineRule="exact"/>
        <w:ind w:firstLine="640" w:firstLineChars="200"/>
        <w:rPr>
          <w:rFonts w:eastAsia="仿宋_GB2312"/>
          <w:color w:val="auto"/>
          <w:sz w:val="32"/>
          <w:szCs w:val="32"/>
        </w:rPr>
      </w:pPr>
      <w:r>
        <w:rPr>
          <w:rFonts w:hint="eastAsia" w:eastAsia="仿宋_GB2312"/>
          <w:color w:val="auto"/>
          <w:sz w:val="32"/>
          <w:szCs w:val="32"/>
        </w:rPr>
        <w:t>技术支持：</w:t>
      </w:r>
    </w:p>
    <w:p w14:paraId="7BB040F9">
      <w:pPr>
        <w:spacing w:after="0" w:line="558" w:lineRule="exact"/>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联系电话：010-83509638，工作日上午9:00—12:00，下午2:00—6:00。</w:t>
      </w:r>
    </w:p>
    <w:p w14:paraId="33B9960E">
      <w:pPr>
        <w:spacing w:after="0" w:line="558" w:lineRule="exact"/>
        <w:ind w:firstLine="640" w:firstLineChars="200"/>
        <w:outlineLvl w:val="0"/>
        <w:rPr>
          <w:rFonts w:ascii="仿宋_GB2312" w:hAnsi="仿宋_GB2312" w:eastAsia="仿宋_GB2312" w:cs="仿宋_GB2312"/>
          <w:color w:val="auto"/>
          <w:sz w:val="32"/>
          <w:szCs w:val="32"/>
        </w:rPr>
      </w:pPr>
      <w:r>
        <w:rPr>
          <w:rFonts w:hint="eastAsia" w:ascii="黑体" w:hAnsi="黑体" w:eastAsia="黑体" w:cs="黑体"/>
          <w:color w:val="auto"/>
          <w:sz w:val="32"/>
          <w:szCs w:val="32"/>
        </w:rPr>
        <w:t>十一、收费标准</w:t>
      </w:r>
    </w:p>
    <w:p w14:paraId="71BE6BD4">
      <w:pPr>
        <w:spacing w:after="0" w:line="558"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不收费</w:t>
      </w:r>
    </w:p>
    <w:p w14:paraId="313B8E91">
      <w:pPr>
        <w:spacing w:after="0" w:line="558" w:lineRule="exact"/>
        <w:ind w:firstLine="640" w:firstLineChars="200"/>
        <w:outlineLvl w:val="0"/>
        <w:rPr>
          <w:rFonts w:ascii="黑体" w:hAnsi="黑体" w:eastAsia="黑体" w:cs="黑体"/>
          <w:color w:val="auto"/>
          <w:sz w:val="32"/>
          <w:szCs w:val="32"/>
        </w:rPr>
      </w:pPr>
      <w:r>
        <w:rPr>
          <w:rFonts w:hint="eastAsia" w:ascii="黑体" w:hAnsi="黑体" w:eastAsia="黑体" w:cs="黑体"/>
          <w:color w:val="auto"/>
          <w:sz w:val="32"/>
          <w:szCs w:val="32"/>
        </w:rPr>
        <w:t>十二、特别说明</w:t>
      </w:r>
    </w:p>
    <w:p w14:paraId="54D90F8A">
      <w:pPr>
        <w:spacing w:after="0" w:line="558" w:lineRule="exact"/>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无</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60EF1"/>
    <w:rsid w:val="0001192B"/>
    <w:rsid w:val="00060052"/>
    <w:rsid w:val="00062C5F"/>
    <w:rsid w:val="000F62F2"/>
    <w:rsid w:val="001145E7"/>
    <w:rsid w:val="001577F3"/>
    <w:rsid w:val="00161422"/>
    <w:rsid w:val="00161CCE"/>
    <w:rsid w:val="0025772F"/>
    <w:rsid w:val="002838D9"/>
    <w:rsid w:val="002B6831"/>
    <w:rsid w:val="00360EF1"/>
    <w:rsid w:val="00395968"/>
    <w:rsid w:val="00457B4D"/>
    <w:rsid w:val="004A7074"/>
    <w:rsid w:val="005260C3"/>
    <w:rsid w:val="00532920"/>
    <w:rsid w:val="006052A1"/>
    <w:rsid w:val="00653603"/>
    <w:rsid w:val="006A1513"/>
    <w:rsid w:val="006D0140"/>
    <w:rsid w:val="00710378"/>
    <w:rsid w:val="007D1B75"/>
    <w:rsid w:val="00844BDB"/>
    <w:rsid w:val="008678F2"/>
    <w:rsid w:val="008D5D73"/>
    <w:rsid w:val="008E2002"/>
    <w:rsid w:val="008F7000"/>
    <w:rsid w:val="00900A14"/>
    <w:rsid w:val="00923A77"/>
    <w:rsid w:val="0098077A"/>
    <w:rsid w:val="00A3406B"/>
    <w:rsid w:val="00B74D80"/>
    <w:rsid w:val="00C122AB"/>
    <w:rsid w:val="00C41A4D"/>
    <w:rsid w:val="00D460B2"/>
    <w:rsid w:val="00D668C9"/>
    <w:rsid w:val="00D76185"/>
    <w:rsid w:val="00D85A9F"/>
    <w:rsid w:val="00D90D53"/>
    <w:rsid w:val="00EA199B"/>
    <w:rsid w:val="00EC5561"/>
    <w:rsid w:val="00EF3516"/>
    <w:rsid w:val="01540D91"/>
    <w:rsid w:val="01586909"/>
    <w:rsid w:val="015C7ADB"/>
    <w:rsid w:val="01904DED"/>
    <w:rsid w:val="01CB7B50"/>
    <w:rsid w:val="01D948CF"/>
    <w:rsid w:val="020C0B78"/>
    <w:rsid w:val="0225322D"/>
    <w:rsid w:val="02297D4E"/>
    <w:rsid w:val="025430A8"/>
    <w:rsid w:val="026102BC"/>
    <w:rsid w:val="0278373A"/>
    <w:rsid w:val="0290748C"/>
    <w:rsid w:val="03056B13"/>
    <w:rsid w:val="032269ED"/>
    <w:rsid w:val="037C128E"/>
    <w:rsid w:val="03987D96"/>
    <w:rsid w:val="03E353C9"/>
    <w:rsid w:val="03FA3EE0"/>
    <w:rsid w:val="04080ECA"/>
    <w:rsid w:val="046E79E8"/>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617AC1"/>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2F16B66"/>
    <w:rsid w:val="13C16A8D"/>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BC40CA3"/>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AE0EF9"/>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36E2E4"/>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9869E2"/>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580B78"/>
    <w:rsid w:val="3FBC30E1"/>
    <w:rsid w:val="3FD009E6"/>
    <w:rsid w:val="3FD3067D"/>
    <w:rsid w:val="3FD4707F"/>
    <w:rsid w:val="3FFD57FE"/>
    <w:rsid w:val="40945F74"/>
    <w:rsid w:val="409D6C96"/>
    <w:rsid w:val="40A50B34"/>
    <w:rsid w:val="40C0750A"/>
    <w:rsid w:val="410178FA"/>
    <w:rsid w:val="419C40BE"/>
    <w:rsid w:val="41A74911"/>
    <w:rsid w:val="41C24932"/>
    <w:rsid w:val="41EE09AD"/>
    <w:rsid w:val="42271CA4"/>
    <w:rsid w:val="423A4979"/>
    <w:rsid w:val="42553C37"/>
    <w:rsid w:val="426D04C3"/>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C0963DD"/>
    <w:rsid w:val="4C1623CC"/>
    <w:rsid w:val="4C240DC6"/>
    <w:rsid w:val="4C373125"/>
    <w:rsid w:val="4C835F26"/>
    <w:rsid w:val="4C990DFC"/>
    <w:rsid w:val="4CBC3A42"/>
    <w:rsid w:val="4CDC02F4"/>
    <w:rsid w:val="4CF91E5B"/>
    <w:rsid w:val="4D181700"/>
    <w:rsid w:val="4D6B0A00"/>
    <w:rsid w:val="4D75145B"/>
    <w:rsid w:val="4D9449F9"/>
    <w:rsid w:val="4D9F002D"/>
    <w:rsid w:val="4DA85F8D"/>
    <w:rsid w:val="4DD62215"/>
    <w:rsid w:val="4E280981"/>
    <w:rsid w:val="4E2B5D5D"/>
    <w:rsid w:val="4E8B3508"/>
    <w:rsid w:val="4ED13285"/>
    <w:rsid w:val="4F1A6236"/>
    <w:rsid w:val="4F6A651C"/>
    <w:rsid w:val="4F721548"/>
    <w:rsid w:val="4F7E00FD"/>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786ADA"/>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6954CA"/>
    <w:rsid w:val="5AA36BE1"/>
    <w:rsid w:val="5AF64E2C"/>
    <w:rsid w:val="5AFE68EE"/>
    <w:rsid w:val="5B263105"/>
    <w:rsid w:val="5B505870"/>
    <w:rsid w:val="5B9546C3"/>
    <w:rsid w:val="5B982FC7"/>
    <w:rsid w:val="5B9A26B1"/>
    <w:rsid w:val="5BB64501"/>
    <w:rsid w:val="5BBE2157"/>
    <w:rsid w:val="5BE96A8D"/>
    <w:rsid w:val="5BF15375"/>
    <w:rsid w:val="5BF790FD"/>
    <w:rsid w:val="5BF938B5"/>
    <w:rsid w:val="5C1679CD"/>
    <w:rsid w:val="5C523F6F"/>
    <w:rsid w:val="5C76716F"/>
    <w:rsid w:val="5C8552B1"/>
    <w:rsid w:val="5C866EDB"/>
    <w:rsid w:val="5C973F92"/>
    <w:rsid w:val="5C9A1486"/>
    <w:rsid w:val="5C9A6C78"/>
    <w:rsid w:val="5CAC0B80"/>
    <w:rsid w:val="5CBFB4DD"/>
    <w:rsid w:val="5CE23BD6"/>
    <w:rsid w:val="5CFF4E17"/>
    <w:rsid w:val="5D1237AB"/>
    <w:rsid w:val="5D442416"/>
    <w:rsid w:val="5D5B7524"/>
    <w:rsid w:val="5D731173"/>
    <w:rsid w:val="5DB61076"/>
    <w:rsid w:val="5DB96EBE"/>
    <w:rsid w:val="5DFA426F"/>
    <w:rsid w:val="5E062DB0"/>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296933"/>
    <w:rsid w:val="634E079D"/>
    <w:rsid w:val="635553E5"/>
    <w:rsid w:val="63E9591E"/>
    <w:rsid w:val="640F4520"/>
    <w:rsid w:val="644E2961"/>
    <w:rsid w:val="64797172"/>
    <w:rsid w:val="649C056B"/>
    <w:rsid w:val="64AE5736"/>
    <w:rsid w:val="64CE25B3"/>
    <w:rsid w:val="64DB4BB5"/>
    <w:rsid w:val="65155138"/>
    <w:rsid w:val="65342BA2"/>
    <w:rsid w:val="658A3C2E"/>
    <w:rsid w:val="65BE0B5B"/>
    <w:rsid w:val="65C77271"/>
    <w:rsid w:val="65EE1625"/>
    <w:rsid w:val="667B70FF"/>
    <w:rsid w:val="66815ECF"/>
    <w:rsid w:val="668D4153"/>
    <w:rsid w:val="66A82973"/>
    <w:rsid w:val="672E0D6A"/>
    <w:rsid w:val="677F638E"/>
    <w:rsid w:val="67C1331A"/>
    <w:rsid w:val="67F3BCF6"/>
    <w:rsid w:val="67F973CE"/>
    <w:rsid w:val="6808097F"/>
    <w:rsid w:val="686076FC"/>
    <w:rsid w:val="68E479A1"/>
    <w:rsid w:val="69E4643A"/>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111E4"/>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6FEE61E"/>
    <w:rsid w:val="770B2702"/>
    <w:rsid w:val="7718563E"/>
    <w:rsid w:val="776A3F9A"/>
    <w:rsid w:val="77901978"/>
    <w:rsid w:val="77915027"/>
    <w:rsid w:val="779D4F4D"/>
    <w:rsid w:val="77CF1648"/>
    <w:rsid w:val="77D40FF5"/>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DF9FD9"/>
    <w:rsid w:val="7BDFD3A3"/>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7FFFCBD1"/>
    <w:rsid w:val="97EE3509"/>
    <w:rsid w:val="9F6F6015"/>
    <w:rsid w:val="BEFE81B6"/>
    <w:rsid w:val="C7DB93C8"/>
    <w:rsid w:val="DD7E7DC7"/>
    <w:rsid w:val="DEF5E07B"/>
    <w:rsid w:val="EBEFC481"/>
    <w:rsid w:val="EFEEB9E2"/>
    <w:rsid w:val="F55FDB79"/>
    <w:rsid w:val="F5DBA8FA"/>
    <w:rsid w:val="FDEF8289"/>
    <w:rsid w:val="FDF54A2A"/>
    <w:rsid w:val="FFB96ABB"/>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17"/>
    <w:qFormat/>
    <w:uiPriority w:val="0"/>
    <w:rPr>
      <w:b/>
      <w:bCs/>
    </w:rPr>
  </w:style>
  <w:style w:type="character" w:styleId="10">
    <w:name w:val="Hyperlink"/>
    <w:basedOn w:val="9"/>
    <w:qFormat/>
    <w:uiPriority w:val="0"/>
    <w:rPr>
      <w:color w:val="0000FF"/>
      <w:u w:val="single"/>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paragraph" w:customStyle="1" w:styleId="14">
    <w:name w:val="修订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5">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6">
    <w:name w:val="批注文字 字符"/>
    <w:basedOn w:val="9"/>
    <w:link w:val="2"/>
    <w:qFormat/>
    <w:uiPriority w:val="0"/>
    <w:rPr>
      <w:kern w:val="2"/>
      <w:sz w:val="21"/>
      <w:szCs w:val="24"/>
    </w:rPr>
  </w:style>
  <w:style w:type="character" w:customStyle="1" w:styleId="17">
    <w:name w:val="批注主题 字符"/>
    <w:basedOn w:val="16"/>
    <w:link w:val="7"/>
    <w:qFormat/>
    <w:uiPriority w:val="0"/>
    <w:rPr>
      <w:b/>
      <w:bCs/>
      <w:kern w:val="2"/>
      <w:sz w:val="21"/>
      <w:szCs w:val="24"/>
    </w:rPr>
  </w:style>
  <w:style w:type="paragraph" w:customStyle="1" w:styleId="18">
    <w:name w:val="修订3"/>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1294</Words>
  <Characters>1483</Characters>
  <Lines>12</Lines>
  <Paragraphs>3</Paragraphs>
  <TotalTime>0</TotalTime>
  <ScaleCrop>false</ScaleCrop>
  <LinksUpToDate>false</LinksUpToDate>
  <CharactersWithSpaces>1483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2019-08-17T06:54:00Z</dcterms:created>
  <dc:creator>zkk</dc:creator>
  <cp:lastModifiedBy>张九峰</cp:lastModifiedBy>
  <cp:lastPrinted>2020-03-27T03:03:00Z</cp:lastPrinted>
  <dcterms:modified xsi:type="dcterms:W3CDTF">2026-03-04T03:17:00Z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D0C6CB4D3DD449CF9F01DB31742842FE</vt:lpwstr>
  </property>
  <property fmtid="{D5CDD505-2E9C-101B-9397-08002B2CF9AE}" pid="4" name="KSOTemplateDocerSaveRecord">
    <vt:lpwstr>eyJoZGlkIjoiYmExMTEyMzlhM2ZkMjU2YzAyOTFjZDEwODIzNDE3Y2YiLCJ1c2VySWQiOiIzNTgxMjQ0NTQifQ==</vt:lpwstr>
  </property>
</Properties>
</file>