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310E" w14:textId="77777777" w:rsidR="00270FE2" w:rsidRDefault="00270FE2">
      <w:pPr>
        <w:autoSpaceDN w:val="0"/>
        <w:adjustRightInd w:val="0"/>
        <w:snapToGrid w:val="0"/>
        <w:spacing w:after="0" w:line="580" w:lineRule="exact"/>
        <w:jc w:val="center"/>
        <w:rPr>
          <w:rFonts w:ascii="方正小标宋简体" w:eastAsia="方正小标宋简体" w:hAnsi="方正小标宋简体" w:cs="Times New Roman"/>
          <w:sz w:val="40"/>
          <w:szCs w:val="40"/>
        </w:rPr>
      </w:pPr>
    </w:p>
    <w:p w14:paraId="789BB342" w14:textId="77777777" w:rsidR="00270FE2" w:rsidRDefault="00EF1CD9">
      <w:pPr>
        <w:autoSpaceDN w:val="0"/>
        <w:adjustRightInd w:val="0"/>
        <w:snapToGrid w:val="0"/>
        <w:spacing w:after="0" w:line="580" w:lineRule="exact"/>
        <w:jc w:val="center"/>
        <w:rPr>
          <w:rFonts w:ascii="方正小标宋_GBK" w:eastAsia="方正小标宋_GBK" w:hAnsi="方正小标宋_GBK" w:cs="方正小标宋_GBK"/>
          <w:sz w:val="44"/>
          <w:szCs w:val="44"/>
          <w:lang w:bidi="ar"/>
        </w:rPr>
      </w:pPr>
      <w:r>
        <w:rPr>
          <w:rFonts w:ascii="方正小标宋_GBK" w:eastAsia="方正小标宋_GBK" w:hAnsi="方正小标宋_GBK" w:cs="方正小标宋_GBK" w:hint="eastAsia"/>
          <w:sz w:val="44"/>
          <w:szCs w:val="44"/>
          <w:lang w:bidi="ar"/>
        </w:rPr>
        <w:t>2021年推广道路客运电子客票服务</w:t>
      </w:r>
    </w:p>
    <w:p w14:paraId="0838EEA1" w14:textId="77777777" w:rsidR="00270FE2" w:rsidRDefault="00EF1CD9">
      <w:pPr>
        <w:autoSpaceDN w:val="0"/>
        <w:adjustRightInd w:val="0"/>
        <w:snapToGrid w:val="0"/>
        <w:spacing w:after="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工作方案</w:t>
      </w:r>
    </w:p>
    <w:p w14:paraId="0B274F83" w14:textId="77777777" w:rsidR="00270FE2" w:rsidRDefault="00270FE2">
      <w:pPr>
        <w:autoSpaceDN w:val="0"/>
        <w:adjustRightInd w:val="0"/>
        <w:snapToGrid w:val="0"/>
        <w:spacing w:after="0" w:line="580" w:lineRule="exact"/>
        <w:jc w:val="center"/>
        <w:rPr>
          <w:rFonts w:ascii="Times New Roman" w:eastAsia="黑体" w:hAnsi="Times New Roman" w:cs="Times New Roman"/>
          <w:sz w:val="36"/>
          <w:szCs w:val="36"/>
        </w:rPr>
      </w:pPr>
    </w:p>
    <w:p w14:paraId="7E2210D4" w14:textId="77777777" w:rsidR="00270FE2" w:rsidRDefault="00EF1CD9">
      <w:pPr>
        <w:autoSpaceDN w:val="0"/>
        <w:adjustRightInd w:val="0"/>
        <w:snapToGrid w:val="0"/>
        <w:spacing w:after="0" w:line="580" w:lineRule="exact"/>
        <w:ind w:firstLineChars="200" w:firstLine="640"/>
        <w:rPr>
          <w:rFonts w:ascii="Times New Roman" w:eastAsia="仿宋_GB2312" w:cs="Times New Roman"/>
          <w:sz w:val="32"/>
          <w:szCs w:val="32"/>
        </w:rPr>
      </w:pPr>
      <w:bookmarkStart w:id="0" w:name="_GoBack"/>
      <w:bookmarkEnd w:id="0"/>
      <w:r>
        <w:rPr>
          <w:rFonts w:ascii="Times New Roman" w:eastAsia="仿宋_GB2312" w:cs="Times New Roman" w:hint="eastAsia"/>
          <w:sz w:val="32"/>
          <w:szCs w:val="32"/>
          <w:lang w:bidi="ar"/>
        </w:rPr>
        <w:t>为加快推进全国道路客运电子客票普及应用，全面提升乘客购票乘车便捷性，制定工作方案如下。</w:t>
      </w:r>
    </w:p>
    <w:p w14:paraId="7BEC96B7" w14:textId="77777777" w:rsidR="00270FE2" w:rsidRDefault="00EF1CD9">
      <w:pPr>
        <w:keepNext/>
        <w:keepLines/>
        <w:autoSpaceDN w:val="0"/>
        <w:adjustRightInd w:val="0"/>
        <w:snapToGrid w:val="0"/>
        <w:spacing w:after="0" w:line="580" w:lineRule="exact"/>
        <w:ind w:firstLineChars="200" w:firstLine="640"/>
        <w:outlineLvl w:val="0"/>
        <w:rPr>
          <w:rFonts w:ascii="Times New Roman" w:eastAsia="黑体" w:hAnsi="宋体" w:cs="Times New Roman"/>
          <w:bCs/>
          <w:kern w:val="44"/>
          <w:sz w:val="32"/>
          <w:szCs w:val="44"/>
        </w:rPr>
      </w:pPr>
      <w:r>
        <w:rPr>
          <w:rFonts w:ascii="Times New Roman" w:eastAsia="黑体" w:hAnsi="宋体" w:cs="Times New Roman" w:hint="eastAsia"/>
          <w:bCs/>
          <w:kern w:val="44"/>
          <w:sz w:val="32"/>
          <w:szCs w:val="44"/>
          <w:lang w:bidi="ar"/>
        </w:rPr>
        <w:t>一、总体思路</w:t>
      </w:r>
    </w:p>
    <w:p w14:paraId="3E5ED481" w14:textId="77777777" w:rsidR="00270FE2" w:rsidRDefault="00EF1CD9">
      <w:pPr>
        <w:autoSpaceDN w:val="0"/>
        <w:adjustRightInd w:val="0"/>
        <w:snapToGrid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在总结相关省份道路客运电子客票试点工作经验的基础上，按照</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统一开发、复制推广</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的模式加快推进电子客票系统推广应用，持续扩大电子客票应用范围，逐步构建部省两级联网运行的全国道路客运电子客票系统，持续改善乘客出行体验，更好的满足乘客快速化、便捷化的出行需求。</w:t>
      </w:r>
    </w:p>
    <w:p w14:paraId="570B339A" w14:textId="77777777" w:rsidR="00270FE2" w:rsidRDefault="00EF1CD9">
      <w:pPr>
        <w:keepNext/>
        <w:keepLines/>
        <w:autoSpaceDN w:val="0"/>
        <w:adjustRightInd w:val="0"/>
        <w:snapToGrid w:val="0"/>
        <w:spacing w:after="0" w:line="580" w:lineRule="exact"/>
        <w:ind w:firstLineChars="200" w:firstLine="640"/>
        <w:outlineLvl w:val="0"/>
        <w:rPr>
          <w:rFonts w:ascii="Times New Roman" w:eastAsia="黑体" w:hAnsi="宋体" w:cs="Times New Roman"/>
          <w:bCs/>
          <w:kern w:val="44"/>
          <w:sz w:val="32"/>
          <w:szCs w:val="44"/>
        </w:rPr>
      </w:pPr>
      <w:r>
        <w:rPr>
          <w:rFonts w:ascii="Times New Roman" w:eastAsia="黑体" w:hAnsi="宋体" w:cs="Times New Roman" w:hint="eastAsia"/>
          <w:bCs/>
          <w:kern w:val="44"/>
          <w:sz w:val="32"/>
          <w:szCs w:val="44"/>
          <w:lang w:bidi="ar"/>
        </w:rPr>
        <w:t>二、目标任务</w:t>
      </w:r>
    </w:p>
    <w:p w14:paraId="63C77382" w14:textId="77777777" w:rsidR="00270FE2" w:rsidRDefault="00EF1CD9">
      <w:pPr>
        <w:autoSpaceDN w:val="0"/>
        <w:adjustRightInd w:val="0"/>
        <w:snapToGrid w:val="0"/>
        <w:spacing w:after="0" w:line="580" w:lineRule="exact"/>
        <w:ind w:firstLineChars="200" w:firstLine="640"/>
        <w:rPr>
          <w:rFonts w:ascii="Times New Roman" w:eastAsia="仿宋_GB2312" w:hAnsi="Times New Roman" w:cs="Times New Roman"/>
          <w:sz w:val="32"/>
          <w:szCs w:val="32"/>
          <w:highlight w:val="yellow"/>
        </w:rPr>
      </w:pPr>
      <w:r>
        <w:rPr>
          <w:rFonts w:ascii="Times New Roman" w:eastAsia="仿宋_GB2312" w:cs="Times New Roman" w:hint="eastAsia"/>
          <w:sz w:val="32"/>
          <w:szCs w:val="32"/>
          <w:lang w:bidi="ar"/>
        </w:rPr>
        <w:t>在辽宁、吉林、浙江、福建、湖南、重庆、四川、云南、新疆等省份深化开展道路客运电子客票推广应用，依托道路客运行业智能服务设施设备的应用和普及，提供无接触式、无纸化客运服务，实现</w:t>
      </w:r>
      <w:r>
        <w:rPr>
          <w:rFonts w:ascii="Times New Roman" w:eastAsia="仿宋_GB2312" w:hAnsi="Times New Roman" w:cs="Times New Roman"/>
          <w:sz w:val="32"/>
          <w:szCs w:val="32"/>
          <w:lang w:bidi="ar"/>
        </w:rPr>
        <w:t>20</w:t>
      </w:r>
      <w:r>
        <w:rPr>
          <w:rFonts w:ascii="Times New Roman" w:eastAsia="仿宋_GB2312" w:cs="Times New Roman" w:hint="eastAsia"/>
          <w:sz w:val="32"/>
          <w:szCs w:val="32"/>
          <w:lang w:bidi="ar"/>
        </w:rPr>
        <w:t>个以上省份普及道路客运电子客票服务，为</w:t>
      </w:r>
      <w:r>
        <w:rPr>
          <w:rFonts w:ascii="Times New Roman" w:eastAsia="仿宋_GB2312" w:hAnsi="Times New Roman" w:cs="Times New Roman"/>
          <w:sz w:val="32"/>
          <w:szCs w:val="32"/>
          <w:lang w:bidi="ar"/>
        </w:rPr>
        <w:t>2022</w:t>
      </w:r>
      <w:r>
        <w:rPr>
          <w:rFonts w:ascii="Times New Roman" w:eastAsia="仿宋_GB2312" w:cs="Times New Roman" w:hint="eastAsia"/>
          <w:sz w:val="32"/>
          <w:szCs w:val="32"/>
          <w:lang w:bidi="ar"/>
        </w:rPr>
        <w:t>年全面普及道路客运电子客票打好基础。</w:t>
      </w:r>
    </w:p>
    <w:p w14:paraId="75A736E3" w14:textId="77777777" w:rsidR="00270FE2" w:rsidRDefault="00EF1CD9">
      <w:pPr>
        <w:keepNext/>
        <w:keepLines/>
        <w:autoSpaceDN w:val="0"/>
        <w:adjustRightInd w:val="0"/>
        <w:snapToGrid w:val="0"/>
        <w:spacing w:after="0" w:line="580" w:lineRule="exact"/>
        <w:ind w:firstLineChars="200" w:firstLine="640"/>
        <w:outlineLvl w:val="0"/>
        <w:rPr>
          <w:rFonts w:ascii="Times New Roman" w:eastAsia="黑体" w:hAnsi="宋体" w:cs="Times New Roman"/>
          <w:bCs/>
          <w:kern w:val="44"/>
          <w:sz w:val="32"/>
          <w:szCs w:val="44"/>
        </w:rPr>
      </w:pPr>
      <w:r>
        <w:rPr>
          <w:rFonts w:ascii="Times New Roman" w:eastAsia="黑体" w:hAnsi="宋体" w:cs="Times New Roman" w:hint="eastAsia"/>
          <w:bCs/>
          <w:kern w:val="44"/>
          <w:sz w:val="32"/>
          <w:szCs w:val="44"/>
          <w:lang w:bidi="ar"/>
        </w:rPr>
        <w:t>三、进度安排</w:t>
      </w:r>
    </w:p>
    <w:p w14:paraId="2AF19B8D" w14:textId="77777777" w:rsidR="00270FE2" w:rsidRDefault="00EF1CD9">
      <w:pPr>
        <w:autoSpaceDN w:val="0"/>
        <w:adjustRightInd w:val="0"/>
        <w:snapToGrid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4</w:t>
      </w:r>
      <w:r>
        <w:rPr>
          <w:rFonts w:ascii="Times New Roman" w:eastAsia="仿宋_GB2312" w:cs="Times New Roman" w:hint="eastAsia"/>
          <w:sz w:val="32"/>
          <w:szCs w:val="32"/>
          <w:lang w:bidi="ar"/>
        </w:rPr>
        <w:t>月底前，参与推广省份交通运输主管部门按照部工作要求，以二级及以上客运站、定制客运线路实现电子客票应用（鼓励向具备条件的三级及以下客运站推广）为目标，制定本省份道路客运电子客票推广工作实施方案，明确</w:t>
      </w:r>
      <w:r>
        <w:rPr>
          <w:rFonts w:ascii="Times New Roman" w:eastAsia="仿宋_GB2312" w:cs="Times New Roman" w:hint="eastAsia"/>
          <w:sz w:val="32"/>
          <w:szCs w:val="32"/>
          <w:lang w:bidi="ar"/>
        </w:rPr>
        <w:lastRenderedPageBreak/>
        <w:t>时间节点、工作安排、责任部门及联系人。</w:t>
      </w:r>
    </w:p>
    <w:p w14:paraId="11E93815" w14:textId="77777777" w:rsidR="00270FE2" w:rsidRDefault="00EF1CD9">
      <w:pPr>
        <w:autoSpaceDN w:val="0"/>
        <w:adjustRightInd w:val="0"/>
        <w:snapToGrid w:val="0"/>
        <w:spacing w:after="0"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6</w:t>
      </w:r>
      <w:r>
        <w:rPr>
          <w:rFonts w:ascii="Times New Roman" w:eastAsia="仿宋_GB2312" w:cs="Times New Roman" w:hint="eastAsia"/>
          <w:sz w:val="32"/>
          <w:szCs w:val="32"/>
          <w:lang w:bidi="ar"/>
        </w:rPr>
        <w:t>月底前</w:t>
      </w:r>
      <w:r>
        <w:rPr>
          <w:rFonts w:ascii="Times New Roman" w:eastAsia="楷体_GB2312" w:cs="Times New Roman"/>
          <w:sz w:val="32"/>
          <w:szCs w:val="32"/>
          <w:lang w:bidi="ar"/>
        </w:rPr>
        <w:t>，</w:t>
      </w:r>
      <w:r>
        <w:rPr>
          <w:rFonts w:ascii="Times New Roman" w:eastAsia="仿宋_GB2312" w:cs="Times New Roman" w:hint="eastAsia"/>
          <w:sz w:val="32"/>
          <w:szCs w:val="32"/>
          <w:lang w:bidi="ar"/>
        </w:rPr>
        <w:t>参与推广省份交通运输主管部门按照《道路客运电子客票系统技术规范》（</w:t>
      </w:r>
      <w:r>
        <w:rPr>
          <w:rFonts w:ascii="Times New Roman" w:eastAsia="仿宋_GB2312" w:hAnsi="Times New Roman" w:cs="Times New Roman"/>
          <w:sz w:val="32"/>
          <w:szCs w:val="32"/>
          <w:lang w:bidi="ar"/>
        </w:rPr>
        <w:t>JT/T 1306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2020</w:t>
      </w:r>
      <w:r>
        <w:rPr>
          <w:rFonts w:ascii="Times New Roman" w:eastAsia="仿宋_GB2312" w:cs="Times New Roman" w:hint="eastAsia"/>
          <w:sz w:val="32"/>
          <w:szCs w:val="32"/>
          <w:lang w:bidi="ar"/>
        </w:rPr>
        <w:t>）要求开展道路客运联网售票系统改造，完成省级电子客票系统部署和接口联调，分批次启动二级及以上客运站、定制客运线路电子客票应用部署。部通信信息中心对推广省份系统改造、省级电子客票系统部署与接口联调等工作提供技术支持。</w:t>
      </w:r>
    </w:p>
    <w:p w14:paraId="3B193886" w14:textId="77777777" w:rsidR="00270FE2" w:rsidRDefault="00EF1CD9">
      <w:pPr>
        <w:autoSpaceDN w:val="0"/>
        <w:adjustRightInd w:val="0"/>
        <w:snapToGrid w:val="0"/>
        <w:spacing w:after="0"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9</w:t>
      </w:r>
      <w:r>
        <w:rPr>
          <w:rFonts w:ascii="Times New Roman" w:eastAsia="仿宋_GB2312" w:cs="Times New Roman" w:hint="eastAsia"/>
          <w:sz w:val="32"/>
          <w:szCs w:val="32"/>
          <w:lang w:bidi="ar"/>
        </w:rPr>
        <w:t>月底前，参与推广省份交通运输主管部门加快推进电子客票应用部署，</w:t>
      </w:r>
      <w:r>
        <w:rPr>
          <w:rFonts w:ascii="Times New Roman" w:eastAsia="仿宋_GB2312" w:hAnsi="Times New Roman" w:cs="Times New Roman"/>
          <w:sz w:val="32"/>
          <w:szCs w:val="32"/>
          <w:lang w:bidi="ar"/>
        </w:rPr>
        <w:t>9</w:t>
      </w:r>
      <w:r>
        <w:rPr>
          <w:rFonts w:ascii="Times New Roman" w:eastAsia="仿宋_GB2312" w:cs="Times New Roman" w:hint="eastAsia"/>
          <w:sz w:val="32"/>
          <w:szCs w:val="32"/>
          <w:lang w:bidi="ar"/>
        </w:rPr>
        <w:t>月底前完成不少于</w:t>
      </w:r>
      <w:r>
        <w:rPr>
          <w:rFonts w:ascii="Times New Roman" w:eastAsia="仿宋_GB2312" w:hAnsi="Times New Roman" w:cs="Times New Roman"/>
          <w:sz w:val="32"/>
          <w:szCs w:val="32"/>
          <w:lang w:bidi="ar"/>
        </w:rPr>
        <w:t>60%</w:t>
      </w:r>
      <w:r>
        <w:rPr>
          <w:rFonts w:ascii="Times New Roman" w:eastAsia="仿宋_GB2312" w:cs="Times New Roman" w:hint="eastAsia"/>
          <w:sz w:val="32"/>
          <w:szCs w:val="32"/>
          <w:lang w:bidi="ar"/>
        </w:rPr>
        <w:t>的二级及以上客运站、定制客运线路电子客票应用部署。部通信信息中心持续做好技术支持，保障部省两级电子客票系统平稳运行，定期将运行分析报告报部。</w:t>
      </w:r>
    </w:p>
    <w:p w14:paraId="519A3DAD" w14:textId="77777777" w:rsidR="00270FE2" w:rsidRDefault="00EF1CD9">
      <w:pPr>
        <w:autoSpaceDN w:val="0"/>
        <w:adjustRightInd w:val="0"/>
        <w:snapToGrid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11</w:t>
      </w:r>
      <w:r>
        <w:rPr>
          <w:rFonts w:ascii="Times New Roman" w:eastAsia="仿宋_GB2312" w:cs="Times New Roman" w:hint="eastAsia"/>
          <w:sz w:val="32"/>
          <w:szCs w:val="32"/>
          <w:lang w:bidi="ar"/>
        </w:rPr>
        <w:t>月底前，参与推广省份交通运输主管部门完成二级及以上客运站、定制客运线路电子客票应用部署，部通信信息中心持续做好技术支持、系统运行保障工作。</w:t>
      </w:r>
    </w:p>
    <w:p w14:paraId="253CFD40" w14:textId="77777777" w:rsidR="00270FE2" w:rsidRDefault="00EF1CD9">
      <w:pPr>
        <w:autoSpaceDN w:val="0"/>
        <w:adjustRightInd w:val="0"/>
        <w:snapToGrid w:val="0"/>
        <w:spacing w:after="0"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12</w:t>
      </w:r>
      <w:r>
        <w:rPr>
          <w:rFonts w:ascii="Times New Roman" w:eastAsia="仿宋_GB2312" w:cs="Times New Roman" w:hint="eastAsia"/>
          <w:sz w:val="32"/>
          <w:szCs w:val="32"/>
          <w:lang w:bidi="ar"/>
        </w:rPr>
        <w:t>月底前，参与推广省份交通运输主管部门对电子客票推广工作进行评估和总结。部将适时组织交流，宣传推广电子客票应用经验。</w:t>
      </w:r>
    </w:p>
    <w:p w14:paraId="4EA41EBD" w14:textId="77777777" w:rsidR="00270FE2" w:rsidRDefault="00270FE2">
      <w:pPr>
        <w:adjustRightInd w:val="0"/>
        <w:snapToGrid w:val="0"/>
        <w:spacing w:after="0" w:line="580" w:lineRule="exact"/>
        <w:ind w:firstLineChars="200" w:firstLine="640"/>
        <w:rPr>
          <w:rFonts w:ascii="Times New Roman" w:eastAsia="仿宋" w:hAnsi="Times New Roman" w:cs="Times New Roman"/>
          <w:sz w:val="32"/>
        </w:rPr>
      </w:pPr>
    </w:p>
    <w:sectPr w:rsidR="00270FE2">
      <w:footerReference w:type="default" r:id="rId7"/>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82CD2" w14:textId="77777777" w:rsidR="00164C15" w:rsidRDefault="00164C15">
      <w:pPr>
        <w:spacing w:line="240" w:lineRule="auto"/>
      </w:pPr>
      <w:r>
        <w:separator/>
      </w:r>
    </w:p>
  </w:endnote>
  <w:endnote w:type="continuationSeparator" w:id="0">
    <w:p w14:paraId="4BCBF67C" w14:textId="77777777" w:rsidR="00164C15" w:rsidRDefault="0016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xi Sans">
    <w:altName w:val="Calibri"/>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87755"/>
    </w:sdtPr>
    <w:sdtEndPr>
      <w:rPr>
        <w:rFonts w:ascii="宋体"/>
        <w:sz w:val="28"/>
        <w:szCs w:val="28"/>
      </w:rPr>
    </w:sdtEndPr>
    <w:sdtContent>
      <w:p w14:paraId="52D2BF60" w14:textId="77777777" w:rsidR="00270FE2" w:rsidRDefault="00EF1CD9">
        <w:pPr>
          <w:pStyle w:val="a3"/>
          <w:jc w:val="center"/>
          <w:rPr>
            <w:rFonts w:ascii="宋体"/>
            <w:sz w:val="28"/>
            <w:szCs w:val="28"/>
          </w:rP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08451E" w:rsidRPr="0008451E">
          <w:rPr>
            <w:rFonts w:ascii="宋体"/>
            <w:noProof/>
            <w:sz w:val="28"/>
            <w:szCs w:val="28"/>
            <w:lang w:val="zh-CN"/>
          </w:rPr>
          <w:t>2</w:t>
        </w:r>
        <w:r>
          <w:rPr>
            <w:rFonts w:asci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3B72" w14:textId="77777777" w:rsidR="00164C15" w:rsidRDefault="00164C15">
      <w:pPr>
        <w:spacing w:line="240" w:lineRule="auto"/>
      </w:pPr>
      <w:r>
        <w:separator/>
      </w:r>
    </w:p>
  </w:footnote>
  <w:footnote w:type="continuationSeparator" w:id="0">
    <w:p w14:paraId="53FAA598" w14:textId="77777777" w:rsidR="00164C15" w:rsidRDefault="00164C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2"/>
    <w:rsid w:val="FFF937D9"/>
    <w:rsid w:val="0008451E"/>
    <w:rsid w:val="000A7C8A"/>
    <w:rsid w:val="00164C15"/>
    <w:rsid w:val="00270FE2"/>
    <w:rsid w:val="00402E32"/>
    <w:rsid w:val="00404E10"/>
    <w:rsid w:val="0053155A"/>
    <w:rsid w:val="00667795"/>
    <w:rsid w:val="006A4AA4"/>
    <w:rsid w:val="00A7691B"/>
    <w:rsid w:val="00D22AAB"/>
    <w:rsid w:val="00DC37B1"/>
    <w:rsid w:val="00DE3092"/>
    <w:rsid w:val="00E061C1"/>
    <w:rsid w:val="00EF1CD9"/>
    <w:rsid w:val="56FF421C"/>
    <w:rsid w:val="7FB78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92FD"/>
  <w15:docId w15:val="{4A98FB71-FE7A-4C2B-9271-726FF1A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Calibri" w:hAnsi="Calibri" w:cs="黑体"/>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Hyperlink"/>
    <w:basedOn w:val="a0"/>
    <w:qFormat/>
    <w:rPr>
      <w:color w:val="0563C1"/>
      <w:u w:val="single"/>
    </w:rPr>
  </w:style>
  <w:style w:type="character" w:customStyle="1" w:styleId="10">
    <w:name w:val="未处理的提及1"/>
    <w:basedOn w:val="a0"/>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李扬威</dc:creator>
  <cp:lastModifiedBy>USER</cp:lastModifiedBy>
  <cp:revision>3</cp:revision>
  <cp:lastPrinted>2021-03-16T17:29:00Z</cp:lastPrinted>
  <dcterms:created xsi:type="dcterms:W3CDTF">2021-03-30T07:33:00Z</dcterms:created>
  <dcterms:modified xsi:type="dcterms:W3CDTF">2021-03-30T07:40:00Z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