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C50240">
      <w:pPr>
        <w:pStyle w:val="4"/>
        <w:rPr>
          <w:sz w:val="32"/>
          <w:szCs w:val="32"/>
        </w:rPr>
      </w:pPr>
    </w:p>
    <w:p w14:paraId="1BFE684C">
      <w:pPr>
        <w:pStyle w:val="4"/>
        <w:rPr>
          <w:sz w:val="32"/>
          <w:szCs w:val="32"/>
        </w:rPr>
      </w:pPr>
    </w:p>
    <w:p w14:paraId="32266003">
      <w:pPr>
        <w:widowControl/>
        <w:spacing w:line="640" w:lineRule="exact"/>
        <w:jc w:val="center"/>
        <w:rPr>
          <w:sz w:val="44"/>
          <w:szCs w:val="44"/>
        </w:rPr>
      </w:pPr>
      <w:r>
        <w:rPr>
          <w:rFonts w:hint="eastAsia" w:ascii="方正小标宋简体" w:hAnsi="方正小标宋简体" w:eastAsia="方正小标宋简体" w:cs="方正小标宋简体"/>
          <w:color w:val="000000"/>
          <w:kern w:val="0"/>
          <w:sz w:val="44"/>
          <w:szCs w:val="44"/>
          <w:lang w:bidi="ar"/>
        </w:rPr>
        <w:t>北京市“十五五”时期住房发展规划</w:t>
      </w:r>
    </w:p>
    <w:p w14:paraId="3BF9B25F">
      <w:pPr>
        <w:widowControl/>
        <w:spacing w:line="600" w:lineRule="exact"/>
        <w:rPr>
          <w:rFonts w:ascii="楷体_GB2312" w:hAnsi="楷体_GB2312" w:eastAsia="楷体_GB2312" w:cs="楷体_GB2312"/>
          <w:color w:val="000000"/>
          <w:kern w:val="0"/>
          <w:sz w:val="32"/>
          <w:szCs w:val="32"/>
          <w:lang w:bidi="ar"/>
        </w:rPr>
      </w:pPr>
    </w:p>
    <w:p w14:paraId="547C8C84">
      <w:pPr>
        <w:widowControl/>
        <w:spacing w:line="640" w:lineRule="exact"/>
        <w:ind w:firstLine="720" w:firstLineChars="200"/>
        <w:rPr>
          <w:rFonts w:ascii="仿宋_GB2312" w:hAnsi="仿宋_GB2312" w:eastAsia="仿宋_GB2312" w:cs="仿宋_GB2312"/>
          <w:sz w:val="36"/>
          <w:szCs w:val="36"/>
        </w:rPr>
      </w:pPr>
      <w:r>
        <w:rPr>
          <w:rFonts w:hint="eastAsia" w:ascii="仿宋_GB2312" w:hAnsi="仿宋_GB2312" w:eastAsia="仿宋_GB2312" w:cs="仿宋_GB2312"/>
          <w:color w:val="000000"/>
          <w:kern w:val="0"/>
          <w:sz w:val="36"/>
          <w:szCs w:val="36"/>
          <w:lang w:bidi="ar"/>
        </w:rPr>
        <w:t>为贯彻落实党中央、国务院决策部署，加快构建房地产发展新模式，推动房地产高质量发展，根据《北京市国民经济和社会发展第十五个五年规划纲要》，制定本规划。</w:t>
      </w:r>
    </w:p>
    <w:p w14:paraId="4234562A">
      <w:pPr>
        <w:widowControl/>
        <w:spacing w:line="640" w:lineRule="exact"/>
        <w:ind w:firstLine="720" w:firstLineChars="200"/>
        <w:rPr>
          <w:sz w:val="36"/>
          <w:szCs w:val="36"/>
        </w:rPr>
      </w:pPr>
      <w:bookmarkStart w:id="0" w:name="_Toc21806"/>
      <w:bookmarkStart w:id="1" w:name="_Toc822"/>
      <w:bookmarkStart w:id="2" w:name="_Toc4838"/>
      <w:bookmarkStart w:id="3" w:name="_Toc27000"/>
      <w:bookmarkStart w:id="4" w:name="_Toc13476"/>
      <w:r>
        <w:rPr>
          <w:rStyle w:val="12"/>
          <w:rFonts w:hint="eastAsia"/>
          <w:sz w:val="36"/>
          <w:szCs w:val="36"/>
        </w:rPr>
        <w:t>一、总体要求</w:t>
      </w:r>
      <w:bookmarkEnd w:id="0"/>
      <w:bookmarkEnd w:id="1"/>
      <w:bookmarkEnd w:id="2"/>
      <w:bookmarkEnd w:id="3"/>
      <w:bookmarkEnd w:id="4"/>
    </w:p>
    <w:p w14:paraId="452AA597">
      <w:pPr>
        <w:widowControl/>
        <w:spacing w:line="640" w:lineRule="exact"/>
        <w:ind w:firstLine="720" w:firstLineChars="200"/>
        <w:rPr>
          <w:rFonts w:ascii="仿宋_GB2312" w:hAnsi="仿宋_GB2312" w:eastAsia="仿宋_GB2312" w:cs="仿宋_GB2312"/>
          <w:kern w:val="0"/>
          <w:sz w:val="36"/>
          <w:szCs w:val="36"/>
          <w:lang w:bidi="ar"/>
        </w:rPr>
      </w:pPr>
      <w:r>
        <w:rPr>
          <w:rFonts w:hint="eastAsia" w:ascii="仿宋_GB2312" w:hAnsi="仿宋_GB2312" w:eastAsia="仿宋_GB2312" w:cs="仿宋_GB2312"/>
          <w:color w:val="000000"/>
          <w:kern w:val="0"/>
          <w:sz w:val="36"/>
          <w:szCs w:val="36"/>
          <w:lang w:bidi="ar"/>
        </w:rPr>
        <w:t>坚持以习近平新时代中国特色社会主义思想为指导，深入贯彻党的二十大和二十届历次全会精神，深入贯彻习近平总书记对北京重要讲话精神，</w:t>
      </w:r>
      <w:r>
        <w:rPr>
          <w:rFonts w:hint="eastAsia" w:ascii="仿宋_GB2312" w:hAnsi="仿宋_GB2312" w:eastAsia="仿宋_GB2312" w:cs="仿宋_GB2312"/>
          <w:kern w:val="0"/>
          <w:sz w:val="36"/>
          <w:szCs w:val="36"/>
          <w:lang w:bidi="ar"/>
        </w:rPr>
        <w:t>以推动房地产高质量发展为主题，以构建房地产发展新模式为牵引，坚持稳中求进工作总基调，坚持民生与发展并重，</w:t>
      </w:r>
      <w:r>
        <w:rPr>
          <w:rFonts w:hint="eastAsia" w:ascii="仿宋_GB2312" w:hAnsi="仿宋_GB2312" w:eastAsia="仿宋_GB2312" w:cs="仿宋_GB2312"/>
          <w:color w:val="000000"/>
          <w:kern w:val="0"/>
          <w:sz w:val="36"/>
          <w:szCs w:val="36"/>
          <w:lang w:bidi="ar"/>
        </w:rPr>
        <w:t>完善保障和市场相结合的住房供应体系，</w:t>
      </w:r>
      <w:r>
        <w:rPr>
          <w:rFonts w:hint="eastAsia" w:ascii="仿宋_GB2312" w:hAnsi="仿宋_GB2312" w:eastAsia="仿宋_GB2312" w:cs="仿宋_GB2312"/>
          <w:kern w:val="0"/>
          <w:sz w:val="36"/>
          <w:szCs w:val="36"/>
          <w:lang w:bidi="ar"/>
        </w:rPr>
        <w:t>深化“人房地钱”要素联动，推动“好房子”建设与住房消费互促共进，推动住房发展向总量合理、存量优先、结构优化、品质迭代、治理提升转变，努力实现更高水平住有所居。</w:t>
      </w:r>
    </w:p>
    <w:p w14:paraId="479299AB">
      <w:pPr>
        <w:widowControl/>
        <w:spacing w:line="640" w:lineRule="exact"/>
        <w:ind w:firstLine="720" w:firstLineChars="200"/>
        <w:rPr>
          <w:rFonts w:ascii="黑体" w:hAnsi="黑体" w:eastAsia="黑体" w:cs="黑体"/>
          <w:color w:val="000000"/>
          <w:kern w:val="0"/>
          <w:sz w:val="28"/>
          <w:szCs w:val="28"/>
          <w:lang w:bidi="ar"/>
        </w:rPr>
      </w:pPr>
      <w:r>
        <w:rPr>
          <w:rFonts w:hint="eastAsia" w:ascii="仿宋_GB2312" w:hAnsi="仿宋_GB2312" w:eastAsia="仿宋_GB2312" w:cs="仿宋_GB2312"/>
          <w:color w:val="000000"/>
          <w:kern w:val="0"/>
          <w:sz w:val="36"/>
          <w:szCs w:val="36"/>
          <w:lang w:bidi="ar"/>
        </w:rPr>
        <w:t>到</w:t>
      </w:r>
      <w:r>
        <w:rPr>
          <w:rFonts w:ascii="仿宋_GB2312" w:hAnsi="仿宋_GB2312" w:eastAsia="仿宋_GB2312" w:cs="仿宋_GB2312"/>
          <w:color w:val="000000"/>
          <w:kern w:val="0"/>
          <w:sz w:val="36"/>
          <w:szCs w:val="36"/>
          <w:lang w:bidi="ar"/>
        </w:rPr>
        <w:t>2030</w:t>
      </w:r>
      <w:r>
        <w:rPr>
          <w:rFonts w:hint="eastAsia" w:ascii="仿宋_GB2312" w:hAnsi="仿宋_GB2312" w:eastAsia="仿宋_GB2312" w:cs="仿宋_GB2312"/>
          <w:color w:val="000000"/>
          <w:kern w:val="0"/>
          <w:sz w:val="36"/>
          <w:szCs w:val="36"/>
          <w:lang w:bidi="ar"/>
        </w:rPr>
        <w:t>年，首都住房发展从“住有所居”向“住有宜居”迈进，城镇住房总量保持稳定，供给结构与人口家庭变化更加适配，安全稳健、协同高效、长期韧性的保障和市场相结合的住房供应体系更加完善，房地产市场运行持续平稳，租购并举住房制度持续健全，“人房地钱”要素协同联动，住房空间布局持续优化，职住商服功能更加融合，居住领域城市更新有力推进，更多家庭住上安全舒适绿色智慧的“好房子”。</w:t>
      </w:r>
      <w:r>
        <w:rPr>
          <w:rFonts w:hint="eastAsia" w:ascii="仿宋_GB2312" w:hAnsi="仿宋_GB2312" w:eastAsia="仿宋_GB2312" w:cs="仿宋_GB2312"/>
          <w:color w:val="000000"/>
          <w:kern w:val="0"/>
          <w:sz w:val="36"/>
          <w:szCs w:val="36"/>
          <w:lang w:val="en" w:bidi="ar"/>
        </w:rPr>
        <w:t>到</w:t>
      </w:r>
      <w:r>
        <w:rPr>
          <w:rFonts w:ascii="仿宋_GB2312" w:hAnsi="仿宋_GB2312" w:eastAsia="仿宋_GB2312" w:cs="仿宋_GB2312"/>
          <w:color w:val="000000"/>
          <w:kern w:val="0"/>
          <w:sz w:val="36"/>
          <w:szCs w:val="36"/>
          <w:lang w:bidi="ar"/>
        </w:rPr>
        <w:t>2035</w:t>
      </w:r>
      <w:r>
        <w:rPr>
          <w:rFonts w:hint="eastAsia" w:ascii="仿宋_GB2312" w:hAnsi="仿宋_GB2312" w:eastAsia="仿宋_GB2312" w:cs="仿宋_GB2312"/>
          <w:color w:val="000000"/>
          <w:kern w:val="0"/>
          <w:sz w:val="36"/>
          <w:szCs w:val="36"/>
          <w:lang w:bidi="ar"/>
        </w:rPr>
        <w:t>年，房地产市场保持长期平稳健康运行，各类群众基本住房需求得到更好保障，安全舒适绿色智慧的“好房子”供给持续扩大，“好房子、好小区、好社区、好城区”四好建设推动实现更高水平的住有宜居，住房发展与人口、产业、土地、交通、生态等要素协同更加紧密，为初步建成国际一流的和谐宜居之都提供坚实支撑。</w:t>
      </w:r>
    </w:p>
    <w:p w14:paraId="3FB5696F">
      <w:pPr>
        <w:widowControl/>
        <w:spacing w:before="156" w:beforeLines="50" w:line="400" w:lineRule="exact"/>
        <w:jc w:val="center"/>
        <w:rPr>
          <w:rFonts w:ascii="黑体" w:hAnsi="黑体" w:eastAsia="黑体" w:cs="黑体"/>
          <w:color w:val="000000"/>
          <w:kern w:val="0"/>
          <w:sz w:val="28"/>
          <w:szCs w:val="28"/>
          <w:lang w:bidi="ar"/>
        </w:rPr>
      </w:pPr>
      <w:r>
        <w:rPr>
          <w:rFonts w:hint="eastAsia" w:ascii="黑体" w:hAnsi="黑体" w:eastAsia="黑体" w:cs="黑体"/>
          <w:color w:val="000000"/>
          <w:kern w:val="0"/>
          <w:sz w:val="28"/>
          <w:szCs w:val="28"/>
          <w:lang w:bidi="ar"/>
        </w:rPr>
        <w:t>北京市“十五五”时期住房发展规划主要指标</w:t>
      </w:r>
    </w:p>
    <w:tbl>
      <w:tblPr>
        <w:tblStyle w:val="8"/>
        <w:tblpPr w:leftFromText="180" w:rightFromText="180" w:vertAnchor="text" w:horzAnchor="page" w:tblpXSpec="center" w:tblpY="156"/>
        <w:tblOverlap w:val="never"/>
        <w:tblW w:w="90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 w:type="dxa"/>
          <w:bottom w:w="0" w:type="dxa"/>
          <w:right w:w="11" w:type="dxa"/>
        </w:tblCellMar>
      </w:tblPr>
      <w:tblGrid>
        <w:gridCol w:w="666"/>
        <w:gridCol w:w="4994"/>
        <w:gridCol w:w="1075"/>
        <w:gridCol w:w="1331"/>
        <w:gridCol w:w="937"/>
      </w:tblGrid>
      <w:tr w14:paraId="7C99F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594" w:hRule="atLeast"/>
          <w:tblHeader/>
          <w:jc w:val="center"/>
        </w:trPr>
        <w:tc>
          <w:tcPr>
            <w:tcW w:w="666" w:type="dxa"/>
            <w:tcBorders>
              <w:top w:val="single" w:color="auto" w:sz="4" w:space="0"/>
              <w:left w:val="single" w:color="auto" w:sz="4" w:space="0"/>
              <w:bottom w:val="single" w:color="auto" w:sz="4" w:space="0"/>
              <w:right w:val="single" w:color="auto" w:sz="4" w:space="0"/>
            </w:tcBorders>
            <w:vAlign w:val="center"/>
          </w:tcPr>
          <w:p w14:paraId="4ED20F9F">
            <w:pPr>
              <w:widowControl/>
              <w:spacing w:line="300" w:lineRule="exact"/>
              <w:jc w:val="center"/>
              <w:rPr>
                <w:rFonts w:ascii="仿宋_GB2312" w:hAnsi="仿宋_GB2312" w:eastAsia="仿宋_GB2312" w:cs="仿宋_GB2312"/>
                <w:b/>
                <w:bCs/>
                <w:sz w:val="28"/>
                <w:szCs w:val="28"/>
              </w:rPr>
            </w:pPr>
            <w:bookmarkStart w:id="5" w:name="_Toc1105950944_WPSOffice_Level1"/>
            <w:r>
              <w:rPr>
                <w:rFonts w:hint="eastAsia" w:ascii="仿宋_GB2312" w:hAnsi="仿宋_GB2312" w:eastAsia="仿宋_GB2312" w:cs="仿宋_GB2312"/>
                <w:b/>
                <w:bCs/>
                <w:kern w:val="0"/>
                <w:sz w:val="28"/>
                <w:szCs w:val="28"/>
                <w:lang w:bidi="ar"/>
              </w:rPr>
              <w:t>序号</w:t>
            </w:r>
          </w:p>
        </w:tc>
        <w:tc>
          <w:tcPr>
            <w:tcW w:w="4994" w:type="dxa"/>
            <w:tcBorders>
              <w:top w:val="single" w:color="auto" w:sz="4" w:space="0"/>
              <w:left w:val="single" w:color="auto" w:sz="4" w:space="0"/>
              <w:bottom w:val="single" w:color="auto" w:sz="4" w:space="0"/>
              <w:right w:val="single" w:color="auto" w:sz="4" w:space="0"/>
            </w:tcBorders>
            <w:vAlign w:val="center"/>
          </w:tcPr>
          <w:p w14:paraId="4C1FF269">
            <w:pPr>
              <w:widowControl/>
              <w:spacing w:line="300" w:lineRule="exact"/>
              <w:jc w:val="center"/>
              <w:rPr>
                <w:rFonts w:ascii="仿宋_GB2312" w:hAnsi="仿宋_GB2312" w:eastAsia="仿宋_GB2312" w:cs="仿宋_GB2312"/>
                <w:b/>
                <w:bCs/>
                <w:sz w:val="28"/>
                <w:szCs w:val="28"/>
              </w:rPr>
            </w:pPr>
            <w:r>
              <w:rPr>
                <w:rFonts w:hint="eastAsia" w:ascii="仿宋_GB2312" w:hAnsi="仿宋_GB2312" w:eastAsia="仿宋_GB2312" w:cs="仿宋_GB2312"/>
                <w:b/>
                <w:bCs/>
                <w:kern w:val="0"/>
                <w:sz w:val="28"/>
                <w:szCs w:val="28"/>
                <w:lang w:bidi="ar"/>
              </w:rPr>
              <w:t>指标名称</w:t>
            </w:r>
          </w:p>
        </w:tc>
        <w:tc>
          <w:tcPr>
            <w:tcW w:w="1075" w:type="dxa"/>
            <w:tcBorders>
              <w:top w:val="single" w:color="auto" w:sz="4" w:space="0"/>
              <w:left w:val="single" w:color="auto" w:sz="4" w:space="0"/>
              <w:bottom w:val="single" w:color="auto" w:sz="4" w:space="0"/>
              <w:right w:val="single" w:color="auto" w:sz="4" w:space="0"/>
            </w:tcBorders>
            <w:vAlign w:val="center"/>
          </w:tcPr>
          <w:p w14:paraId="613C19E0">
            <w:pPr>
              <w:widowControl/>
              <w:spacing w:line="300" w:lineRule="exact"/>
              <w:jc w:val="center"/>
              <w:rPr>
                <w:rFonts w:ascii="仿宋_GB2312" w:hAnsi="仿宋_GB2312" w:eastAsia="仿宋_GB2312" w:cs="仿宋_GB2312"/>
                <w:b/>
                <w:bCs/>
                <w:sz w:val="28"/>
                <w:szCs w:val="28"/>
              </w:rPr>
            </w:pPr>
            <w:r>
              <w:rPr>
                <w:rFonts w:hint="eastAsia" w:ascii="仿宋_GB2312" w:hAnsi="仿宋_GB2312" w:eastAsia="仿宋_GB2312" w:cs="仿宋_GB2312"/>
                <w:b/>
                <w:bCs/>
                <w:kern w:val="0"/>
                <w:sz w:val="28"/>
                <w:szCs w:val="28"/>
                <w:lang w:bidi="ar"/>
              </w:rPr>
              <w:t>2025年</w:t>
            </w:r>
          </w:p>
        </w:tc>
        <w:tc>
          <w:tcPr>
            <w:tcW w:w="1331" w:type="dxa"/>
            <w:tcBorders>
              <w:top w:val="single" w:color="auto" w:sz="4" w:space="0"/>
              <w:left w:val="single" w:color="auto" w:sz="4" w:space="0"/>
              <w:bottom w:val="single" w:color="auto" w:sz="4" w:space="0"/>
              <w:right w:val="single" w:color="auto" w:sz="4" w:space="0"/>
            </w:tcBorders>
            <w:vAlign w:val="center"/>
          </w:tcPr>
          <w:p w14:paraId="63C37E26">
            <w:pPr>
              <w:widowControl/>
              <w:spacing w:line="300" w:lineRule="exact"/>
              <w:jc w:val="center"/>
              <w:rPr>
                <w:rFonts w:ascii="仿宋_GB2312" w:hAnsi="仿宋_GB2312" w:eastAsia="仿宋_GB2312" w:cs="仿宋_GB2312"/>
                <w:b/>
                <w:bCs/>
                <w:sz w:val="28"/>
                <w:szCs w:val="28"/>
              </w:rPr>
            </w:pPr>
            <w:r>
              <w:rPr>
                <w:rFonts w:hint="eastAsia" w:ascii="仿宋_GB2312" w:hAnsi="仿宋_GB2312" w:eastAsia="仿宋_GB2312" w:cs="仿宋_GB2312"/>
                <w:b/>
                <w:bCs/>
                <w:kern w:val="0"/>
                <w:sz w:val="28"/>
                <w:szCs w:val="28"/>
                <w:lang w:bidi="ar"/>
              </w:rPr>
              <w:t>2030年</w:t>
            </w:r>
            <w:r>
              <w:rPr>
                <w:rFonts w:ascii="仿宋_GB2312" w:hAnsi="仿宋_GB2312" w:eastAsia="仿宋_GB2312" w:cs="仿宋_GB2312"/>
                <w:b/>
                <w:bCs/>
                <w:kern w:val="0"/>
                <w:sz w:val="28"/>
                <w:szCs w:val="28"/>
                <w:lang w:bidi="ar"/>
              </w:rPr>
              <w:br w:type="textWrapping"/>
            </w:r>
            <w:r>
              <w:rPr>
                <w:rFonts w:hint="eastAsia" w:ascii="仿宋_GB2312" w:hAnsi="仿宋_GB2312" w:eastAsia="仿宋_GB2312" w:cs="仿宋_GB2312"/>
                <w:b/>
                <w:bCs/>
                <w:kern w:val="0"/>
                <w:sz w:val="28"/>
                <w:szCs w:val="28"/>
                <w:lang w:bidi="ar"/>
              </w:rPr>
              <w:t>目标</w:t>
            </w:r>
          </w:p>
        </w:tc>
        <w:tc>
          <w:tcPr>
            <w:tcW w:w="937" w:type="dxa"/>
            <w:tcBorders>
              <w:top w:val="single" w:color="auto" w:sz="4" w:space="0"/>
              <w:left w:val="single" w:color="auto" w:sz="4" w:space="0"/>
              <w:bottom w:val="single" w:color="auto" w:sz="4" w:space="0"/>
              <w:right w:val="single" w:color="auto" w:sz="4" w:space="0"/>
            </w:tcBorders>
            <w:vAlign w:val="center"/>
          </w:tcPr>
          <w:p w14:paraId="5FBEA735">
            <w:pPr>
              <w:widowControl/>
              <w:spacing w:line="300" w:lineRule="exact"/>
              <w:jc w:val="center"/>
              <w:rPr>
                <w:rFonts w:ascii="仿宋_GB2312" w:hAnsi="仿宋_GB2312" w:eastAsia="仿宋_GB2312" w:cs="仿宋_GB2312"/>
                <w:b/>
                <w:bCs/>
                <w:sz w:val="28"/>
                <w:szCs w:val="28"/>
              </w:rPr>
            </w:pPr>
            <w:r>
              <w:rPr>
                <w:rFonts w:hint="eastAsia" w:ascii="仿宋_GB2312" w:hAnsi="仿宋_GB2312" w:eastAsia="仿宋_GB2312" w:cs="仿宋_GB2312"/>
                <w:b/>
                <w:bCs/>
                <w:kern w:val="0"/>
                <w:sz w:val="28"/>
                <w:szCs w:val="28"/>
                <w:lang w:bidi="ar"/>
              </w:rPr>
              <w:t>属性</w:t>
            </w:r>
          </w:p>
        </w:tc>
      </w:tr>
      <w:tr w14:paraId="270CC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510" w:hRule="exact"/>
          <w:jc w:val="center"/>
        </w:trPr>
        <w:tc>
          <w:tcPr>
            <w:tcW w:w="666" w:type="dxa"/>
            <w:tcBorders>
              <w:top w:val="single" w:color="auto" w:sz="4" w:space="0"/>
              <w:left w:val="single" w:color="auto" w:sz="4" w:space="0"/>
              <w:bottom w:val="single" w:color="auto" w:sz="4" w:space="0"/>
              <w:right w:val="single" w:color="auto" w:sz="4" w:space="0"/>
            </w:tcBorders>
            <w:vAlign w:val="center"/>
          </w:tcPr>
          <w:p w14:paraId="4BA18681">
            <w:pPr>
              <w:widowControl/>
              <w:spacing w:line="300" w:lineRule="exact"/>
              <w:jc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1</w:t>
            </w:r>
          </w:p>
        </w:tc>
        <w:tc>
          <w:tcPr>
            <w:tcW w:w="4994" w:type="dxa"/>
            <w:tcBorders>
              <w:top w:val="single" w:color="auto" w:sz="4" w:space="0"/>
              <w:left w:val="single" w:color="auto" w:sz="4" w:space="0"/>
              <w:bottom w:val="single" w:color="auto" w:sz="4" w:space="0"/>
              <w:right w:val="single" w:color="auto" w:sz="4" w:space="0"/>
            </w:tcBorders>
            <w:vAlign w:val="center"/>
          </w:tcPr>
          <w:p w14:paraId="2623F7C3">
            <w:pPr>
              <w:widowControl/>
              <w:spacing w:line="300" w:lineRule="exact"/>
              <w:jc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城镇人均住房建筑面积（平方米）</w:t>
            </w:r>
          </w:p>
        </w:tc>
        <w:tc>
          <w:tcPr>
            <w:tcW w:w="1075" w:type="dxa"/>
            <w:tcBorders>
              <w:top w:val="single" w:color="auto" w:sz="4" w:space="0"/>
              <w:left w:val="single" w:color="auto" w:sz="4" w:space="0"/>
              <w:bottom w:val="single" w:color="auto" w:sz="4" w:space="0"/>
              <w:right w:val="single" w:color="auto" w:sz="4" w:space="0"/>
            </w:tcBorders>
            <w:vAlign w:val="center"/>
          </w:tcPr>
          <w:p w14:paraId="5A2EDE7D">
            <w:pPr>
              <w:widowControl/>
              <w:spacing w:line="300" w:lineRule="exact"/>
              <w:jc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34.7</w:t>
            </w:r>
          </w:p>
        </w:tc>
        <w:tc>
          <w:tcPr>
            <w:tcW w:w="1331" w:type="dxa"/>
            <w:tcBorders>
              <w:top w:val="single" w:color="auto" w:sz="4" w:space="0"/>
              <w:left w:val="single" w:color="auto" w:sz="4" w:space="0"/>
              <w:bottom w:val="single" w:color="auto" w:sz="4" w:space="0"/>
              <w:right w:val="single" w:color="auto" w:sz="4" w:space="0"/>
            </w:tcBorders>
            <w:vAlign w:val="center"/>
          </w:tcPr>
          <w:p w14:paraId="3FEBA74D">
            <w:pPr>
              <w:widowControl/>
              <w:spacing w:line="300" w:lineRule="exact"/>
              <w:jc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35左右</w:t>
            </w:r>
          </w:p>
        </w:tc>
        <w:tc>
          <w:tcPr>
            <w:tcW w:w="937" w:type="dxa"/>
            <w:tcBorders>
              <w:top w:val="single" w:color="auto" w:sz="4" w:space="0"/>
              <w:left w:val="single" w:color="auto" w:sz="4" w:space="0"/>
              <w:bottom w:val="single" w:color="auto" w:sz="4" w:space="0"/>
              <w:right w:val="single" w:color="auto" w:sz="4" w:space="0"/>
            </w:tcBorders>
            <w:vAlign w:val="center"/>
          </w:tcPr>
          <w:p w14:paraId="0B6AC42C">
            <w:pPr>
              <w:widowControl/>
              <w:spacing w:line="300" w:lineRule="exact"/>
              <w:jc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预期性</w:t>
            </w:r>
          </w:p>
        </w:tc>
      </w:tr>
      <w:tr w14:paraId="10B58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510" w:hRule="exact"/>
          <w:jc w:val="center"/>
        </w:trPr>
        <w:tc>
          <w:tcPr>
            <w:tcW w:w="666" w:type="dxa"/>
            <w:tcBorders>
              <w:top w:val="single" w:color="auto" w:sz="4" w:space="0"/>
              <w:left w:val="single" w:color="auto" w:sz="4" w:space="0"/>
              <w:bottom w:val="single" w:color="auto" w:sz="4" w:space="0"/>
              <w:right w:val="single" w:color="auto" w:sz="4" w:space="0"/>
            </w:tcBorders>
            <w:vAlign w:val="center"/>
          </w:tcPr>
          <w:p w14:paraId="62C3CB18">
            <w:pPr>
              <w:widowControl/>
              <w:spacing w:line="300" w:lineRule="exact"/>
              <w:jc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2</w:t>
            </w:r>
          </w:p>
        </w:tc>
        <w:tc>
          <w:tcPr>
            <w:tcW w:w="4994" w:type="dxa"/>
            <w:tcBorders>
              <w:top w:val="single" w:color="auto" w:sz="4" w:space="0"/>
              <w:left w:val="single" w:color="auto" w:sz="4" w:space="0"/>
              <w:bottom w:val="single" w:color="auto" w:sz="4" w:space="0"/>
              <w:right w:val="single" w:color="auto" w:sz="4" w:space="0"/>
            </w:tcBorders>
            <w:vAlign w:val="center"/>
          </w:tcPr>
          <w:p w14:paraId="0F59E045">
            <w:pPr>
              <w:widowControl/>
              <w:spacing w:line="300" w:lineRule="exact"/>
              <w:jc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公共租赁住房备案家庭保障率（%）</w:t>
            </w:r>
          </w:p>
        </w:tc>
        <w:tc>
          <w:tcPr>
            <w:tcW w:w="1075" w:type="dxa"/>
            <w:tcBorders>
              <w:top w:val="single" w:color="auto" w:sz="4" w:space="0"/>
              <w:left w:val="single" w:color="auto" w:sz="4" w:space="0"/>
              <w:bottom w:val="single" w:color="auto" w:sz="4" w:space="0"/>
              <w:right w:val="single" w:color="auto" w:sz="4" w:space="0"/>
            </w:tcBorders>
            <w:vAlign w:val="center"/>
          </w:tcPr>
          <w:p w14:paraId="57BAAFC2">
            <w:pPr>
              <w:widowControl/>
              <w:spacing w:line="300" w:lineRule="exact"/>
              <w:jc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87.5</w:t>
            </w:r>
          </w:p>
        </w:tc>
        <w:tc>
          <w:tcPr>
            <w:tcW w:w="1331" w:type="dxa"/>
            <w:tcBorders>
              <w:top w:val="single" w:color="auto" w:sz="4" w:space="0"/>
              <w:left w:val="single" w:color="auto" w:sz="4" w:space="0"/>
              <w:bottom w:val="single" w:color="auto" w:sz="4" w:space="0"/>
              <w:right w:val="single" w:color="auto" w:sz="4" w:space="0"/>
            </w:tcBorders>
            <w:vAlign w:val="center"/>
          </w:tcPr>
          <w:p w14:paraId="76856CAB">
            <w:pPr>
              <w:widowControl/>
              <w:spacing w:line="300" w:lineRule="exact"/>
              <w:jc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&gt;85</w:t>
            </w:r>
          </w:p>
        </w:tc>
        <w:tc>
          <w:tcPr>
            <w:tcW w:w="937" w:type="dxa"/>
            <w:tcBorders>
              <w:top w:val="single" w:color="auto" w:sz="4" w:space="0"/>
              <w:left w:val="single" w:color="auto" w:sz="4" w:space="0"/>
              <w:bottom w:val="single" w:color="auto" w:sz="4" w:space="0"/>
              <w:right w:val="single" w:color="auto" w:sz="4" w:space="0"/>
            </w:tcBorders>
            <w:vAlign w:val="center"/>
          </w:tcPr>
          <w:p w14:paraId="0C8D5C91">
            <w:pPr>
              <w:widowControl/>
              <w:spacing w:line="300" w:lineRule="exact"/>
              <w:jc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约束性</w:t>
            </w:r>
          </w:p>
        </w:tc>
      </w:tr>
      <w:tr w14:paraId="35EA1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737" w:hRule="exact"/>
          <w:jc w:val="center"/>
        </w:trPr>
        <w:tc>
          <w:tcPr>
            <w:tcW w:w="666" w:type="dxa"/>
            <w:tcBorders>
              <w:top w:val="single" w:color="auto" w:sz="4" w:space="0"/>
              <w:left w:val="single" w:color="auto" w:sz="4" w:space="0"/>
              <w:bottom w:val="single" w:color="auto" w:sz="4" w:space="0"/>
              <w:right w:val="single" w:color="auto" w:sz="4" w:space="0"/>
            </w:tcBorders>
            <w:vAlign w:val="center"/>
          </w:tcPr>
          <w:p w14:paraId="100B064A">
            <w:pPr>
              <w:widowControl/>
              <w:spacing w:line="300" w:lineRule="exact"/>
              <w:jc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3</w:t>
            </w:r>
          </w:p>
        </w:tc>
        <w:tc>
          <w:tcPr>
            <w:tcW w:w="4994" w:type="dxa"/>
            <w:tcBorders>
              <w:top w:val="single" w:color="auto" w:sz="4" w:space="0"/>
              <w:left w:val="single" w:color="auto" w:sz="4" w:space="0"/>
              <w:bottom w:val="single" w:color="auto" w:sz="4" w:space="0"/>
              <w:right w:val="single" w:color="auto" w:sz="4" w:space="0"/>
            </w:tcBorders>
            <w:vAlign w:val="center"/>
          </w:tcPr>
          <w:p w14:paraId="72D0B59E">
            <w:pPr>
              <w:widowControl/>
              <w:spacing w:line="300" w:lineRule="exact"/>
              <w:jc w:val="center"/>
              <w:rPr>
                <w:rFonts w:ascii="仿宋_GB2312" w:hAnsi="仿宋_GB2312" w:eastAsia="仿宋_GB2312" w:cs="仿宋_GB2312"/>
                <w:kern w:val="0"/>
                <w:sz w:val="28"/>
                <w:szCs w:val="28"/>
                <w:lang w:bidi="ar"/>
              </w:rPr>
            </w:pPr>
            <w:r>
              <w:rPr>
                <w:rFonts w:hint="eastAsia" w:ascii="仿宋_GB2312" w:hAnsi="仿宋_GB2312" w:eastAsia="仿宋_GB2312" w:cs="仿宋_GB2312"/>
                <w:kern w:val="0"/>
                <w:sz w:val="28"/>
                <w:szCs w:val="28"/>
                <w:lang w:bidi="ar"/>
              </w:rPr>
              <w:t>新增保障性租赁住房中</w:t>
            </w:r>
          </w:p>
          <w:p w14:paraId="03EA9119">
            <w:pPr>
              <w:widowControl/>
              <w:spacing w:line="300" w:lineRule="exact"/>
              <w:jc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公寓型和宿舍型（间数）占比（%）</w:t>
            </w:r>
          </w:p>
        </w:tc>
        <w:tc>
          <w:tcPr>
            <w:tcW w:w="1075" w:type="dxa"/>
            <w:tcBorders>
              <w:top w:val="single" w:color="auto" w:sz="4" w:space="0"/>
              <w:left w:val="single" w:color="auto" w:sz="4" w:space="0"/>
              <w:bottom w:val="single" w:color="auto" w:sz="4" w:space="0"/>
              <w:right w:val="single" w:color="auto" w:sz="4" w:space="0"/>
            </w:tcBorders>
            <w:vAlign w:val="center"/>
          </w:tcPr>
          <w:p w14:paraId="66825F1D">
            <w:pPr>
              <w:widowControl/>
              <w:spacing w:line="300" w:lineRule="exact"/>
              <w:jc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50.9</w:t>
            </w:r>
          </w:p>
        </w:tc>
        <w:tc>
          <w:tcPr>
            <w:tcW w:w="1331" w:type="dxa"/>
            <w:tcBorders>
              <w:top w:val="single" w:color="auto" w:sz="4" w:space="0"/>
              <w:left w:val="single" w:color="auto" w:sz="4" w:space="0"/>
              <w:bottom w:val="single" w:color="auto" w:sz="4" w:space="0"/>
              <w:right w:val="single" w:color="auto" w:sz="4" w:space="0"/>
            </w:tcBorders>
            <w:vAlign w:val="center"/>
          </w:tcPr>
          <w:p w14:paraId="55992516">
            <w:pPr>
              <w:widowControl/>
              <w:spacing w:line="300" w:lineRule="exact"/>
              <w:jc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&gt;60</w:t>
            </w:r>
          </w:p>
        </w:tc>
        <w:tc>
          <w:tcPr>
            <w:tcW w:w="937" w:type="dxa"/>
            <w:tcBorders>
              <w:top w:val="single" w:color="auto" w:sz="4" w:space="0"/>
              <w:left w:val="single" w:color="auto" w:sz="4" w:space="0"/>
              <w:bottom w:val="single" w:color="auto" w:sz="4" w:space="0"/>
              <w:right w:val="single" w:color="auto" w:sz="4" w:space="0"/>
            </w:tcBorders>
            <w:vAlign w:val="center"/>
          </w:tcPr>
          <w:p w14:paraId="08C93865">
            <w:pPr>
              <w:widowControl/>
              <w:spacing w:line="300" w:lineRule="exact"/>
              <w:jc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约束性</w:t>
            </w:r>
          </w:p>
        </w:tc>
      </w:tr>
      <w:tr w14:paraId="2EDE7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737" w:hRule="exact"/>
          <w:jc w:val="center"/>
        </w:trPr>
        <w:tc>
          <w:tcPr>
            <w:tcW w:w="666" w:type="dxa"/>
            <w:tcBorders>
              <w:top w:val="single" w:color="auto" w:sz="4" w:space="0"/>
              <w:left w:val="single" w:color="auto" w:sz="4" w:space="0"/>
              <w:bottom w:val="single" w:color="auto" w:sz="4" w:space="0"/>
              <w:right w:val="single" w:color="auto" w:sz="4" w:space="0"/>
            </w:tcBorders>
            <w:vAlign w:val="center"/>
          </w:tcPr>
          <w:p w14:paraId="652ED269">
            <w:pPr>
              <w:widowControl/>
              <w:spacing w:line="300" w:lineRule="exact"/>
              <w:jc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4</w:t>
            </w:r>
          </w:p>
        </w:tc>
        <w:tc>
          <w:tcPr>
            <w:tcW w:w="4994" w:type="dxa"/>
            <w:tcBorders>
              <w:top w:val="single" w:color="auto" w:sz="4" w:space="0"/>
              <w:left w:val="single" w:color="auto" w:sz="4" w:space="0"/>
              <w:bottom w:val="single" w:color="auto" w:sz="4" w:space="0"/>
              <w:right w:val="single" w:color="auto" w:sz="4" w:space="0"/>
            </w:tcBorders>
            <w:vAlign w:val="center"/>
          </w:tcPr>
          <w:p w14:paraId="2FEEA02D">
            <w:pPr>
              <w:widowControl/>
              <w:spacing w:line="300" w:lineRule="exact"/>
              <w:jc w:val="center"/>
              <w:rPr>
                <w:rFonts w:ascii="仿宋_GB2312" w:hAnsi="仿宋_GB2312" w:eastAsia="仿宋_GB2312" w:cs="仿宋_GB2312"/>
                <w:kern w:val="0"/>
                <w:sz w:val="28"/>
                <w:szCs w:val="28"/>
                <w:lang w:bidi="ar"/>
              </w:rPr>
            </w:pPr>
            <w:r>
              <w:rPr>
                <w:rFonts w:hint="eastAsia" w:ascii="仿宋_GB2312" w:hAnsi="仿宋_GB2312" w:eastAsia="仿宋_GB2312" w:cs="仿宋_GB2312"/>
                <w:kern w:val="0"/>
                <w:sz w:val="28"/>
                <w:szCs w:val="28"/>
                <w:lang w:bidi="ar"/>
              </w:rPr>
              <w:t>新增保障性租赁住房中</w:t>
            </w:r>
          </w:p>
          <w:p w14:paraId="21F46FDF">
            <w:pPr>
              <w:widowControl/>
              <w:spacing w:line="300" w:lineRule="exact"/>
              <w:jc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宿舍型（一张床）（床数）占比（%）</w:t>
            </w:r>
          </w:p>
        </w:tc>
        <w:tc>
          <w:tcPr>
            <w:tcW w:w="1075" w:type="dxa"/>
            <w:tcBorders>
              <w:top w:val="single" w:color="auto" w:sz="4" w:space="0"/>
              <w:left w:val="single" w:color="auto" w:sz="4" w:space="0"/>
              <w:bottom w:val="single" w:color="auto" w:sz="4" w:space="0"/>
              <w:right w:val="single" w:color="auto" w:sz="4" w:space="0"/>
            </w:tcBorders>
            <w:vAlign w:val="center"/>
          </w:tcPr>
          <w:p w14:paraId="7349C507">
            <w:pPr>
              <w:widowControl/>
              <w:spacing w:line="300" w:lineRule="exact"/>
              <w:jc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21.2</w:t>
            </w:r>
          </w:p>
        </w:tc>
        <w:tc>
          <w:tcPr>
            <w:tcW w:w="1331" w:type="dxa"/>
            <w:tcBorders>
              <w:top w:val="single" w:color="auto" w:sz="4" w:space="0"/>
              <w:left w:val="single" w:color="auto" w:sz="4" w:space="0"/>
              <w:bottom w:val="single" w:color="auto" w:sz="4" w:space="0"/>
              <w:right w:val="single" w:color="auto" w:sz="4" w:space="0"/>
            </w:tcBorders>
            <w:vAlign w:val="center"/>
          </w:tcPr>
          <w:p w14:paraId="386AE140">
            <w:pPr>
              <w:widowControl/>
              <w:spacing w:line="300" w:lineRule="exact"/>
              <w:jc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&gt;30</w:t>
            </w:r>
          </w:p>
        </w:tc>
        <w:tc>
          <w:tcPr>
            <w:tcW w:w="937" w:type="dxa"/>
            <w:tcBorders>
              <w:top w:val="single" w:color="auto" w:sz="4" w:space="0"/>
              <w:left w:val="single" w:color="auto" w:sz="4" w:space="0"/>
              <w:bottom w:val="single" w:color="auto" w:sz="4" w:space="0"/>
              <w:right w:val="single" w:color="auto" w:sz="4" w:space="0"/>
            </w:tcBorders>
            <w:vAlign w:val="center"/>
          </w:tcPr>
          <w:p w14:paraId="411CC6D4">
            <w:pPr>
              <w:widowControl/>
              <w:spacing w:line="300" w:lineRule="exact"/>
              <w:jc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预期性</w:t>
            </w:r>
          </w:p>
        </w:tc>
      </w:tr>
      <w:tr w14:paraId="235B8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737" w:hRule="exact"/>
          <w:jc w:val="center"/>
        </w:trPr>
        <w:tc>
          <w:tcPr>
            <w:tcW w:w="666" w:type="dxa"/>
            <w:tcBorders>
              <w:top w:val="single" w:color="auto" w:sz="4" w:space="0"/>
              <w:left w:val="single" w:color="auto" w:sz="4" w:space="0"/>
              <w:bottom w:val="single" w:color="auto" w:sz="4" w:space="0"/>
              <w:right w:val="single" w:color="auto" w:sz="4" w:space="0"/>
            </w:tcBorders>
            <w:vAlign w:val="center"/>
          </w:tcPr>
          <w:p w14:paraId="276B4DE3">
            <w:pPr>
              <w:widowControl/>
              <w:spacing w:line="300" w:lineRule="exact"/>
              <w:jc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5</w:t>
            </w:r>
          </w:p>
        </w:tc>
        <w:tc>
          <w:tcPr>
            <w:tcW w:w="4994" w:type="dxa"/>
            <w:tcBorders>
              <w:top w:val="single" w:color="auto" w:sz="4" w:space="0"/>
              <w:left w:val="single" w:color="auto" w:sz="4" w:space="0"/>
              <w:bottom w:val="single" w:color="auto" w:sz="4" w:space="0"/>
              <w:right w:val="single" w:color="auto" w:sz="4" w:space="0"/>
            </w:tcBorders>
            <w:vAlign w:val="center"/>
          </w:tcPr>
          <w:p w14:paraId="566A9F9B">
            <w:pPr>
              <w:widowControl/>
              <w:spacing w:line="300" w:lineRule="exact"/>
              <w:jc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存量资源盘活占新增保障性租赁住房比例（%）</w:t>
            </w:r>
          </w:p>
        </w:tc>
        <w:tc>
          <w:tcPr>
            <w:tcW w:w="1075" w:type="dxa"/>
            <w:tcBorders>
              <w:top w:val="single" w:color="auto" w:sz="4" w:space="0"/>
              <w:left w:val="single" w:color="auto" w:sz="4" w:space="0"/>
              <w:bottom w:val="single" w:color="auto" w:sz="4" w:space="0"/>
              <w:right w:val="single" w:color="auto" w:sz="4" w:space="0"/>
            </w:tcBorders>
            <w:vAlign w:val="center"/>
          </w:tcPr>
          <w:p w14:paraId="5801A453">
            <w:pPr>
              <w:widowControl/>
              <w:spacing w:line="300" w:lineRule="exact"/>
              <w:jc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55.2</w:t>
            </w:r>
          </w:p>
        </w:tc>
        <w:tc>
          <w:tcPr>
            <w:tcW w:w="1331" w:type="dxa"/>
            <w:tcBorders>
              <w:top w:val="single" w:color="auto" w:sz="4" w:space="0"/>
              <w:left w:val="single" w:color="auto" w:sz="4" w:space="0"/>
              <w:bottom w:val="single" w:color="auto" w:sz="4" w:space="0"/>
              <w:right w:val="single" w:color="auto" w:sz="4" w:space="0"/>
            </w:tcBorders>
            <w:vAlign w:val="center"/>
          </w:tcPr>
          <w:p w14:paraId="1D2427A8">
            <w:pPr>
              <w:widowControl/>
              <w:spacing w:line="300" w:lineRule="exact"/>
              <w:jc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&gt;60</w:t>
            </w:r>
          </w:p>
        </w:tc>
        <w:tc>
          <w:tcPr>
            <w:tcW w:w="937" w:type="dxa"/>
            <w:tcBorders>
              <w:top w:val="single" w:color="auto" w:sz="4" w:space="0"/>
              <w:left w:val="single" w:color="auto" w:sz="4" w:space="0"/>
              <w:bottom w:val="single" w:color="auto" w:sz="4" w:space="0"/>
              <w:right w:val="single" w:color="auto" w:sz="4" w:space="0"/>
            </w:tcBorders>
            <w:vAlign w:val="center"/>
          </w:tcPr>
          <w:p w14:paraId="31E7AE7E">
            <w:pPr>
              <w:widowControl/>
              <w:spacing w:line="300" w:lineRule="exact"/>
              <w:jc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预期性</w:t>
            </w:r>
          </w:p>
        </w:tc>
      </w:tr>
      <w:tr w14:paraId="1B18F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510" w:hRule="exact"/>
          <w:jc w:val="center"/>
        </w:trPr>
        <w:tc>
          <w:tcPr>
            <w:tcW w:w="666" w:type="dxa"/>
            <w:tcBorders>
              <w:top w:val="single" w:color="auto" w:sz="4" w:space="0"/>
              <w:left w:val="single" w:color="auto" w:sz="4" w:space="0"/>
              <w:bottom w:val="single" w:color="auto" w:sz="4" w:space="0"/>
              <w:right w:val="single" w:color="auto" w:sz="4" w:space="0"/>
            </w:tcBorders>
            <w:vAlign w:val="center"/>
          </w:tcPr>
          <w:p w14:paraId="7D34E45F">
            <w:pPr>
              <w:widowControl/>
              <w:spacing w:line="300" w:lineRule="exact"/>
              <w:jc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6</w:t>
            </w:r>
          </w:p>
        </w:tc>
        <w:tc>
          <w:tcPr>
            <w:tcW w:w="4994" w:type="dxa"/>
            <w:tcBorders>
              <w:top w:val="single" w:color="auto" w:sz="4" w:space="0"/>
              <w:left w:val="single" w:color="auto" w:sz="4" w:space="0"/>
              <w:bottom w:val="single" w:color="auto" w:sz="4" w:space="0"/>
              <w:right w:val="single" w:color="auto" w:sz="4" w:space="0"/>
            </w:tcBorders>
            <w:vAlign w:val="center"/>
          </w:tcPr>
          <w:p w14:paraId="0719A780">
            <w:pPr>
              <w:widowControl/>
              <w:spacing w:line="300" w:lineRule="exact"/>
              <w:jc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新开工改造城镇老旧小区数量（个）</w:t>
            </w:r>
          </w:p>
        </w:tc>
        <w:tc>
          <w:tcPr>
            <w:tcW w:w="1075" w:type="dxa"/>
            <w:tcBorders>
              <w:top w:val="single" w:color="auto" w:sz="4" w:space="0"/>
              <w:left w:val="single" w:color="auto" w:sz="4" w:space="0"/>
              <w:bottom w:val="single" w:color="auto" w:sz="4" w:space="0"/>
              <w:right w:val="single" w:color="auto" w:sz="4" w:space="0"/>
            </w:tcBorders>
            <w:vAlign w:val="center"/>
          </w:tcPr>
          <w:p w14:paraId="7F8E5179">
            <w:pPr>
              <w:widowControl/>
              <w:spacing w:line="300" w:lineRule="exact"/>
              <w:jc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〔3500〕</w:t>
            </w:r>
          </w:p>
        </w:tc>
        <w:tc>
          <w:tcPr>
            <w:tcW w:w="1331" w:type="dxa"/>
            <w:tcBorders>
              <w:top w:val="single" w:color="auto" w:sz="4" w:space="0"/>
              <w:left w:val="single" w:color="auto" w:sz="4" w:space="0"/>
              <w:bottom w:val="single" w:color="auto" w:sz="4" w:space="0"/>
              <w:right w:val="single" w:color="auto" w:sz="4" w:space="0"/>
            </w:tcBorders>
            <w:vAlign w:val="center"/>
          </w:tcPr>
          <w:p w14:paraId="32EF8F6C">
            <w:pPr>
              <w:widowControl/>
              <w:spacing w:line="300" w:lineRule="exact"/>
              <w:jc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〔≥1000〕</w:t>
            </w:r>
          </w:p>
        </w:tc>
        <w:tc>
          <w:tcPr>
            <w:tcW w:w="937" w:type="dxa"/>
            <w:tcBorders>
              <w:top w:val="single" w:color="auto" w:sz="4" w:space="0"/>
              <w:left w:val="single" w:color="auto" w:sz="4" w:space="0"/>
              <w:bottom w:val="single" w:color="auto" w:sz="4" w:space="0"/>
              <w:right w:val="single" w:color="auto" w:sz="4" w:space="0"/>
            </w:tcBorders>
            <w:vAlign w:val="center"/>
          </w:tcPr>
          <w:p w14:paraId="7DC5747F">
            <w:pPr>
              <w:widowControl/>
              <w:spacing w:line="300" w:lineRule="exact"/>
              <w:jc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预期性</w:t>
            </w:r>
          </w:p>
        </w:tc>
      </w:tr>
      <w:tr w14:paraId="5817B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482" w:hRule="exact"/>
          <w:jc w:val="center"/>
        </w:trPr>
        <w:tc>
          <w:tcPr>
            <w:tcW w:w="666" w:type="dxa"/>
            <w:tcBorders>
              <w:top w:val="single" w:color="auto" w:sz="4" w:space="0"/>
              <w:left w:val="single" w:color="auto" w:sz="4" w:space="0"/>
              <w:bottom w:val="single" w:color="auto" w:sz="4" w:space="0"/>
              <w:right w:val="single" w:color="auto" w:sz="4" w:space="0"/>
            </w:tcBorders>
            <w:vAlign w:val="center"/>
          </w:tcPr>
          <w:p w14:paraId="7F271C43">
            <w:pPr>
              <w:widowControl/>
              <w:spacing w:line="300" w:lineRule="exact"/>
              <w:jc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7</w:t>
            </w:r>
          </w:p>
        </w:tc>
        <w:tc>
          <w:tcPr>
            <w:tcW w:w="4994" w:type="dxa"/>
            <w:tcBorders>
              <w:top w:val="single" w:color="auto" w:sz="4" w:space="0"/>
              <w:left w:val="single" w:color="auto" w:sz="4" w:space="0"/>
              <w:bottom w:val="single" w:color="auto" w:sz="4" w:space="0"/>
              <w:right w:val="single" w:color="auto" w:sz="4" w:space="0"/>
            </w:tcBorders>
            <w:vAlign w:val="center"/>
          </w:tcPr>
          <w:p w14:paraId="1373ADE3">
            <w:pPr>
              <w:widowControl/>
              <w:spacing w:line="300" w:lineRule="exact"/>
              <w:jc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老旧楼房加装电梯（部）</w:t>
            </w:r>
          </w:p>
        </w:tc>
        <w:tc>
          <w:tcPr>
            <w:tcW w:w="1075" w:type="dxa"/>
            <w:tcBorders>
              <w:top w:val="single" w:color="auto" w:sz="4" w:space="0"/>
              <w:left w:val="single" w:color="auto" w:sz="4" w:space="0"/>
              <w:bottom w:val="single" w:color="auto" w:sz="4" w:space="0"/>
              <w:right w:val="single" w:color="auto" w:sz="4" w:space="0"/>
            </w:tcBorders>
            <w:vAlign w:val="center"/>
          </w:tcPr>
          <w:p w14:paraId="1088A29A">
            <w:pPr>
              <w:widowControl/>
              <w:spacing w:line="300" w:lineRule="exact"/>
              <w:jc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〔3452〕</w:t>
            </w:r>
          </w:p>
        </w:tc>
        <w:tc>
          <w:tcPr>
            <w:tcW w:w="1331" w:type="dxa"/>
            <w:tcBorders>
              <w:top w:val="single" w:color="auto" w:sz="4" w:space="0"/>
              <w:left w:val="single" w:color="auto" w:sz="4" w:space="0"/>
              <w:bottom w:val="single" w:color="auto" w:sz="4" w:space="0"/>
              <w:right w:val="single" w:color="auto" w:sz="4" w:space="0"/>
            </w:tcBorders>
            <w:vAlign w:val="center"/>
          </w:tcPr>
          <w:p w14:paraId="38D57725">
            <w:pPr>
              <w:widowControl/>
              <w:spacing w:line="300" w:lineRule="exact"/>
              <w:jc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w:t>
            </w:r>
            <w:r>
              <w:rPr>
                <w:rFonts w:ascii="仿宋_GB2312" w:hAnsi="仿宋_GB2312" w:eastAsia="仿宋_GB2312" w:cs="仿宋_GB2312"/>
                <w:kern w:val="0"/>
                <w:sz w:val="28"/>
                <w:szCs w:val="28"/>
                <w:lang w:bidi="ar"/>
              </w:rPr>
              <w:t>≥</w:t>
            </w:r>
            <w:r>
              <w:rPr>
                <w:rFonts w:hint="eastAsia" w:ascii="仿宋_GB2312" w:hAnsi="仿宋_GB2312" w:eastAsia="仿宋_GB2312" w:cs="仿宋_GB2312"/>
                <w:kern w:val="0"/>
                <w:sz w:val="28"/>
                <w:szCs w:val="28"/>
                <w:lang w:bidi="ar"/>
              </w:rPr>
              <w:t>3500〕</w:t>
            </w:r>
          </w:p>
        </w:tc>
        <w:tc>
          <w:tcPr>
            <w:tcW w:w="937" w:type="dxa"/>
            <w:tcBorders>
              <w:top w:val="single" w:color="auto" w:sz="4" w:space="0"/>
              <w:left w:val="single" w:color="auto" w:sz="4" w:space="0"/>
              <w:bottom w:val="single" w:color="auto" w:sz="4" w:space="0"/>
              <w:right w:val="single" w:color="auto" w:sz="4" w:space="0"/>
            </w:tcBorders>
            <w:vAlign w:val="center"/>
          </w:tcPr>
          <w:p w14:paraId="7C4779DD">
            <w:pPr>
              <w:widowControl/>
              <w:spacing w:line="300" w:lineRule="exact"/>
              <w:jc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预期性</w:t>
            </w:r>
          </w:p>
        </w:tc>
      </w:tr>
      <w:tr w14:paraId="0734F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482" w:hRule="exact"/>
          <w:jc w:val="center"/>
        </w:trPr>
        <w:tc>
          <w:tcPr>
            <w:tcW w:w="666" w:type="dxa"/>
            <w:tcBorders>
              <w:top w:val="single" w:color="auto" w:sz="4" w:space="0"/>
              <w:left w:val="single" w:color="auto" w:sz="4" w:space="0"/>
              <w:bottom w:val="single" w:color="auto" w:sz="4" w:space="0"/>
              <w:right w:val="single" w:color="auto" w:sz="4" w:space="0"/>
            </w:tcBorders>
            <w:vAlign w:val="center"/>
          </w:tcPr>
          <w:p w14:paraId="2059E875">
            <w:pPr>
              <w:widowControl/>
              <w:spacing w:line="300" w:lineRule="exact"/>
              <w:jc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8</w:t>
            </w:r>
          </w:p>
        </w:tc>
        <w:tc>
          <w:tcPr>
            <w:tcW w:w="4994" w:type="dxa"/>
            <w:tcBorders>
              <w:top w:val="single" w:color="auto" w:sz="4" w:space="0"/>
              <w:left w:val="single" w:color="auto" w:sz="4" w:space="0"/>
              <w:bottom w:val="single" w:color="auto" w:sz="4" w:space="0"/>
              <w:right w:val="single" w:color="auto" w:sz="4" w:space="0"/>
            </w:tcBorders>
            <w:vAlign w:val="center"/>
          </w:tcPr>
          <w:p w14:paraId="0E07D033">
            <w:pPr>
              <w:widowControl/>
              <w:spacing w:line="300" w:lineRule="exact"/>
              <w:jc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住宅老旧电梯更新（万台）</w:t>
            </w:r>
          </w:p>
        </w:tc>
        <w:tc>
          <w:tcPr>
            <w:tcW w:w="1075" w:type="dxa"/>
            <w:tcBorders>
              <w:top w:val="single" w:color="auto" w:sz="4" w:space="0"/>
              <w:left w:val="single" w:color="auto" w:sz="4" w:space="0"/>
              <w:bottom w:val="single" w:color="auto" w:sz="4" w:space="0"/>
              <w:right w:val="single" w:color="auto" w:sz="4" w:space="0"/>
            </w:tcBorders>
            <w:vAlign w:val="center"/>
          </w:tcPr>
          <w:p w14:paraId="6F7FC41E">
            <w:pPr>
              <w:widowControl/>
              <w:spacing w:line="300" w:lineRule="exact"/>
              <w:jc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w:t>
            </w:r>
          </w:p>
        </w:tc>
        <w:tc>
          <w:tcPr>
            <w:tcW w:w="1331" w:type="dxa"/>
            <w:tcBorders>
              <w:top w:val="single" w:color="auto" w:sz="4" w:space="0"/>
              <w:left w:val="single" w:color="auto" w:sz="4" w:space="0"/>
              <w:bottom w:val="single" w:color="auto" w:sz="4" w:space="0"/>
              <w:right w:val="single" w:color="auto" w:sz="4" w:space="0"/>
            </w:tcBorders>
            <w:vAlign w:val="center"/>
          </w:tcPr>
          <w:p w14:paraId="13E21B7B">
            <w:pPr>
              <w:widowControl/>
              <w:spacing w:line="300" w:lineRule="exact"/>
              <w:jc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〔≥2〕</w:t>
            </w:r>
          </w:p>
        </w:tc>
        <w:tc>
          <w:tcPr>
            <w:tcW w:w="937" w:type="dxa"/>
            <w:tcBorders>
              <w:top w:val="single" w:color="auto" w:sz="4" w:space="0"/>
              <w:left w:val="single" w:color="auto" w:sz="4" w:space="0"/>
              <w:bottom w:val="single" w:color="auto" w:sz="4" w:space="0"/>
              <w:right w:val="single" w:color="auto" w:sz="4" w:space="0"/>
            </w:tcBorders>
            <w:vAlign w:val="center"/>
          </w:tcPr>
          <w:p w14:paraId="74429DD9">
            <w:pPr>
              <w:widowControl/>
              <w:spacing w:line="300" w:lineRule="exact"/>
              <w:jc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预期性</w:t>
            </w:r>
          </w:p>
        </w:tc>
      </w:tr>
      <w:tr w14:paraId="3EB0D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482" w:hRule="exact"/>
          <w:jc w:val="center"/>
        </w:trPr>
        <w:tc>
          <w:tcPr>
            <w:tcW w:w="666" w:type="dxa"/>
            <w:tcBorders>
              <w:top w:val="single" w:color="auto" w:sz="4" w:space="0"/>
              <w:left w:val="single" w:color="auto" w:sz="4" w:space="0"/>
              <w:bottom w:val="single" w:color="auto" w:sz="4" w:space="0"/>
              <w:right w:val="single" w:color="auto" w:sz="4" w:space="0"/>
            </w:tcBorders>
            <w:vAlign w:val="center"/>
          </w:tcPr>
          <w:p w14:paraId="61DE520A">
            <w:pPr>
              <w:widowControl/>
              <w:spacing w:line="300" w:lineRule="exact"/>
              <w:jc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9</w:t>
            </w:r>
          </w:p>
        </w:tc>
        <w:tc>
          <w:tcPr>
            <w:tcW w:w="4994" w:type="dxa"/>
            <w:tcBorders>
              <w:top w:val="single" w:color="auto" w:sz="4" w:space="0"/>
              <w:left w:val="single" w:color="auto" w:sz="4" w:space="0"/>
              <w:bottom w:val="single" w:color="auto" w:sz="4" w:space="0"/>
              <w:right w:val="single" w:color="auto" w:sz="4" w:space="0"/>
            </w:tcBorders>
            <w:vAlign w:val="center"/>
          </w:tcPr>
          <w:p w14:paraId="137F67DE">
            <w:pPr>
              <w:widowControl/>
              <w:spacing w:line="300" w:lineRule="exact"/>
              <w:jc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D级危险住房解危治理</w:t>
            </w:r>
          </w:p>
        </w:tc>
        <w:tc>
          <w:tcPr>
            <w:tcW w:w="1075" w:type="dxa"/>
            <w:tcBorders>
              <w:top w:val="single" w:color="auto" w:sz="4" w:space="0"/>
              <w:left w:val="single" w:color="auto" w:sz="4" w:space="0"/>
              <w:bottom w:val="single" w:color="auto" w:sz="4" w:space="0"/>
              <w:right w:val="single" w:color="auto" w:sz="4" w:space="0"/>
            </w:tcBorders>
            <w:vAlign w:val="center"/>
          </w:tcPr>
          <w:p w14:paraId="051105A6">
            <w:pPr>
              <w:widowControl/>
              <w:spacing w:line="300" w:lineRule="exact"/>
              <w:jc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w:t>
            </w:r>
          </w:p>
        </w:tc>
        <w:tc>
          <w:tcPr>
            <w:tcW w:w="1331" w:type="dxa"/>
            <w:tcBorders>
              <w:top w:val="single" w:color="auto" w:sz="4" w:space="0"/>
              <w:left w:val="single" w:color="auto" w:sz="4" w:space="0"/>
              <w:bottom w:val="single" w:color="auto" w:sz="4" w:space="0"/>
              <w:right w:val="single" w:color="auto" w:sz="4" w:space="0"/>
            </w:tcBorders>
            <w:vAlign w:val="center"/>
          </w:tcPr>
          <w:p w14:paraId="504E32B5">
            <w:pPr>
              <w:widowControl/>
              <w:spacing w:line="300" w:lineRule="exact"/>
              <w:jc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动态清零</w:t>
            </w:r>
          </w:p>
        </w:tc>
        <w:tc>
          <w:tcPr>
            <w:tcW w:w="937" w:type="dxa"/>
            <w:tcBorders>
              <w:top w:val="single" w:color="auto" w:sz="4" w:space="0"/>
              <w:left w:val="single" w:color="auto" w:sz="4" w:space="0"/>
              <w:bottom w:val="single" w:color="auto" w:sz="4" w:space="0"/>
              <w:right w:val="single" w:color="auto" w:sz="4" w:space="0"/>
            </w:tcBorders>
            <w:vAlign w:val="center"/>
          </w:tcPr>
          <w:p w14:paraId="61EE7018">
            <w:pPr>
              <w:widowControl/>
              <w:spacing w:line="300" w:lineRule="exact"/>
              <w:jc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预期性</w:t>
            </w:r>
          </w:p>
        </w:tc>
      </w:tr>
      <w:tr w14:paraId="38325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482" w:hRule="exact"/>
          <w:jc w:val="center"/>
        </w:trPr>
        <w:tc>
          <w:tcPr>
            <w:tcW w:w="666" w:type="dxa"/>
            <w:tcBorders>
              <w:top w:val="single" w:color="auto" w:sz="4" w:space="0"/>
              <w:left w:val="single" w:color="auto" w:sz="4" w:space="0"/>
              <w:bottom w:val="single" w:color="auto" w:sz="4" w:space="0"/>
              <w:right w:val="single" w:color="auto" w:sz="4" w:space="0"/>
            </w:tcBorders>
            <w:vAlign w:val="center"/>
          </w:tcPr>
          <w:p w14:paraId="6C6365DD">
            <w:pPr>
              <w:widowControl/>
              <w:spacing w:line="300" w:lineRule="exact"/>
              <w:jc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10</w:t>
            </w:r>
          </w:p>
        </w:tc>
        <w:tc>
          <w:tcPr>
            <w:tcW w:w="4994" w:type="dxa"/>
            <w:tcBorders>
              <w:top w:val="single" w:color="auto" w:sz="4" w:space="0"/>
              <w:left w:val="single" w:color="auto" w:sz="4" w:space="0"/>
              <w:bottom w:val="single" w:color="auto" w:sz="4" w:space="0"/>
              <w:right w:val="single" w:color="auto" w:sz="4" w:space="0"/>
            </w:tcBorders>
            <w:vAlign w:val="center"/>
          </w:tcPr>
          <w:p w14:paraId="0E717410">
            <w:pPr>
              <w:widowControl/>
              <w:spacing w:line="300" w:lineRule="exact"/>
              <w:jc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城镇危旧房改造（万平方米）</w:t>
            </w:r>
          </w:p>
        </w:tc>
        <w:tc>
          <w:tcPr>
            <w:tcW w:w="1075" w:type="dxa"/>
            <w:tcBorders>
              <w:top w:val="single" w:color="auto" w:sz="4" w:space="0"/>
              <w:left w:val="single" w:color="auto" w:sz="4" w:space="0"/>
              <w:bottom w:val="single" w:color="auto" w:sz="4" w:space="0"/>
              <w:right w:val="single" w:color="auto" w:sz="4" w:space="0"/>
            </w:tcBorders>
            <w:vAlign w:val="center"/>
          </w:tcPr>
          <w:p w14:paraId="6E49726F">
            <w:pPr>
              <w:widowControl/>
              <w:spacing w:line="300" w:lineRule="exact"/>
              <w:jc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〔100〕</w:t>
            </w:r>
          </w:p>
        </w:tc>
        <w:tc>
          <w:tcPr>
            <w:tcW w:w="1331" w:type="dxa"/>
            <w:tcBorders>
              <w:top w:val="single" w:color="auto" w:sz="4" w:space="0"/>
              <w:left w:val="single" w:color="auto" w:sz="4" w:space="0"/>
              <w:bottom w:val="single" w:color="auto" w:sz="4" w:space="0"/>
              <w:right w:val="single" w:color="auto" w:sz="4" w:space="0"/>
            </w:tcBorders>
            <w:vAlign w:val="center"/>
          </w:tcPr>
          <w:p w14:paraId="60C34E90">
            <w:pPr>
              <w:widowControl/>
              <w:spacing w:line="300" w:lineRule="exact"/>
              <w:jc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〔100〕</w:t>
            </w:r>
          </w:p>
        </w:tc>
        <w:tc>
          <w:tcPr>
            <w:tcW w:w="937" w:type="dxa"/>
            <w:tcBorders>
              <w:top w:val="single" w:color="auto" w:sz="4" w:space="0"/>
              <w:left w:val="single" w:color="auto" w:sz="4" w:space="0"/>
              <w:bottom w:val="single" w:color="auto" w:sz="4" w:space="0"/>
              <w:right w:val="single" w:color="auto" w:sz="4" w:space="0"/>
            </w:tcBorders>
            <w:vAlign w:val="center"/>
          </w:tcPr>
          <w:p w14:paraId="26990740">
            <w:pPr>
              <w:widowControl/>
              <w:spacing w:line="300" w:lineRule="exact"/>
              <w:jc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预期性</w:t>
            </w:r>
          </w:p>
        </w:tc>
      </w:tr>
      <w:tr w14:paraId="1BAD4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482" w:hRule="exact"/>
          <w:jc w:val="center"/>
        </w:trPr>
        <w:tc>
          <w:tcPr>
            <w:tcW w:w="666" w:type="dxa"/>
            <w:tcBorders>
              <w:top w:val="single" w:color="auto" w:sz="4" w:space="0"/>
              <w:left w:val="single" w:color="auto" w:sz="4" w:space="0"/>
              <w:bottom w:val="single" w:color="auto" w:sz="4" w:space="0"/>
              <w:right w:val="single" w:color="auto" w:sz="4" w:space="0"/>
            </w:tcBorders>
            <w:vAlign w:val="center"/>
          </w:tcPr>
          <w:p w14:paraId="66ECFBDD">
            <w:pPr>
              <w:widowControl/>
              <w:spacing w:line="300" w:lineRule="exact"/>
              <w:jc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11</w:t>
            </w:r>
          </w:p>
        </w:tc>
        <w:tc>
          <w:tcPr>
            <w:tcW w:w="4994" w:type="dxa"/>
            <w:tcBorders>
              <w:top w:val="single" w:color="auto" w:sz="4" w:space="0"/>
              <w:left w:val="single" w:color="auto" w:sz="4" w:space="0"/>
              <w:bottom w:val="single" w:color="auto" w:sz="4" w:space="0"/>
              <w:right w:val="single" w:color="auto" w:sz="4" w:space="0"/>
            </w:tcBorders>
            <w:vAlign w:val="center"/>
          </w:tcPr>
          <w:p w14:paraId="490DE582">
            <w:pPr>
              <w:widowControl/>
              <w:spacing w:line="300" w:lineRule="exact"/>
              <w:jc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城中村改造数量（个）</w:t>
            </w:r>
          </w:p>
        </w:tc>
        <w:tc>
          <w:tcPr>
            <w:tcW w:w="1075" w:type="dxa"/>
            <w:tcBorders>
              <w:top w:val="single" w:color="auto" w:sz="4" w:space="0"/>
              <w:left w:val="single" w:color="auto" w:sz="4" w:space="0"/>
              <w:bottom w:val="single" w:color="auto" w:sz="4" w:space="0"/>
              <w:right w:val="single" w:color="auto" w:sz="4" w:space="0"/>
            </w:tcBorders>
            <w:vAlign w:val="center"/>
          </w:tcPr>
          <w:p w14:paraId="70F07CAC">
            <w:pPr>
              <w:widowControl/>
              <w:spacing w:line="300" w:lineRule="exact"/>
              <w:jc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〔51〕</w:t>
            </w:r>
          </w:p>
        </w:tc>
        <w:tc>
          <w:tcPr>
            <w:tcW w:w="1331" w:type="dxa"/>
            <w:tcBorders>
              <w:top w:val="single" w:color="auto" w:sz="4" w:space="0"/>
              <w:left w:val="single" w:color="auto" w:sz="4" w:space="0"/>
              <w:bottom w:val="single" w:color="auto" w:sz="4" w:space="0"/>
              <w:right w:val="single" w:color="auto" w:sz="4" w:space="0"/>
            </w:tcBorders>
            <w:vAlign w:val="center"/>
          </w:tcPr>
          <w:p w14:paraId="6F2D8E4A">
            <w:pPr>
              <w:widowControl/>
              <w:spacing w:line="300" w:lineRule="exact"/>
              <w:jc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〔57〕</w:t>
            </w:r>
          </w:p>
        </w:tc>
        <w:tc>
          <w:tcPr>
            <w:tcW w:w="937" w:type="dxa"/>
            <w:tcBorders>
              <w:top w:val="single" w:color="auto" w:sz="4" w:space="0"/>
              <w:left w:val="single" w:color="auto" w:sz="4" w:space="0"/>
              <w:bottom w:val="single" w:color="auto" w:sz="4" w:space="0"/>
              <w:right w:val="single" w:color="auto" w:sz="4" w:space="0"/>
            </w:tcBorders>
            <w:vAlign w:val="center"/>
          </w:tcPr>
          <w:p w14:paraId="56ACCFAC">
            <w:pPr>
              <w:widowControl/>
              <w:spacing w:line="300" w:lineRule="exact"/>
              <w:jc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预期性</w:t>
            </w:r>
          </w:p>
        </w:tc>
      </w:tr>
      <w:tr w14:paraId="17B4F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482" w:hRule="exact"/>
          <w:jc w:val="center"/>
        </w:trPr>
        <w:tc>
          <w:tcPr>
            <w:tcW w:w="666" w:type="dxa"/>
            <w:tcBorders>
              <w:top w:val="single" w:color="auto" w:sz="4" w:space="0"/>
              <w:left w:val="single" w:color="auto" w:sz="4" w:space="0"/>
              <w:bottom w:val="single" w:color="auto" w:sz="4" w:space="0"/>
              <w:right w:val="single" w:color="auto" w:sz="4" w:space="0"/>
            </w:tcBorders>
            <w:vAlign w:val="center"/>
          </w:tcPr>
          <w:p w14:paraId="3BF9F2FD">
            <w:pPr>
              <w:widowControl/>
              <w:spacing w:line="300" w:lineRule="exact"/>
              <w:jc w:val="center"/>
              <w:rPr>
                <w:rFonts w:ascii="仿宋_GB2312" w:hAnsi="仿宋_GB2312" w:eastAsia="仿宋_GB2312" w:cs="仿宋_GB2312"/>
                <w:kern w:val="0"/>
                <w:sz w:val="28"/>
                <w:szCs w:val="28"/>
                <w:lang w:bidi="ar"/>
              </w:rPr>
            </w:pPr>
            <w:r>
              <w:rPr>
                <w:rFonts w:hint="eastAsia" w:ascii="仿宋_GB2312" w:hAnsi="仿宋_GB2312" w:eastAsia="仿宋_GB2312" w:cs="仿宋_GB2312"/>
                <w:kern w:val="0"/>
                <w:sz w:val="28"/>
                <w:szCs w:val="28"/>
                <w:lang w:bidi="ar"/>
              </w:rPr>
              <w:t>12</w:t>
            </w:r>
          </w:p>
        </w:tc>
        <w:tc>
          <w:tcPr>
            <w:tcW w:w="4994" w:type="dxa"/>
            <w:tcBorders>
              <w:top w:val="single" w:color="auto" w:sz="4" w:space="0"/>
              <w:left w:val="single" w:color="auto" w:sz="4" w:space="0"/>
              <w:bottom w:val="single" w:color="auto" w:sz="4" w:space="0"/>
              <w:right w:val="single" w:color="auto" w:sz="4" w:space="0"/>
            </w:tcBorders>
            <w:vAlign w:val="center"/>
          </w:tcPr>
          <w:p w14:paraId="3CCCB9C1">
            <w:pPr>
              <w:widowControl/>
              <w:spacing w:line="300" w:lineRule="exact"/>
              <w:jc w:val="center"/>
              <w:rPr>
                <w:rFonts w:ascii="仿宋_GB2312" w:hAnsi="仿宋_GB2312" w:eastAsia="仿宋_GB2312" w:cs="仿宋_GB2312"/>
                <w:kern w:val="0"/>
                <w:sz w:val="28"/>
                <w:szCs w:val="28"/>
                <w:lang w:bidi="ar"/>
              </w:rPr>
            </w:pPr>
            <w:r>
              <w:rPr>
                <w:rFonts w:hint="eastAsia" w:ascii="仿宋_GB2312" w:hAnsi="仿宋_GB2312" w:eastAsia="仿宋_GB2312" w:cs="仿宋_GB2312"/>
                <w:kern w:val="0"/>
                <w:sz w:val="28"/>
                <w:szCs w:val="28"/>
                <w:lang w:bidi="ar"/>
              </w:rPr>
              <w:t>完整社区建设覆盖率（%）</w:t>
            </w:r>
          </w:p>
        </w:tc>
        <w:tc>
          <w:tcPr>
            <w:tcW w:w="1075" w:type="dxa"/>
            <w:tcBorders>
              <w:top w:val="single" w:color="auto" w:sz="4" w:space="0"/>
              <w:left w:val="single" w:color="auto" w:sz="4" w:space="0"/>
              <w:bottom w:val="single" w:color="auto" w:sz="4" w:space="0"/>
              <w:right w:val="single" w:color="auto" w:sz="4" w:space="0"/>
            </w:tcBorders>
            <w:vAlign w:val="center"/>
          </w:tcPr>
          <w:p w14:paraId="648BBAD8">
            <w:pPr>
              <w:widowControl/>
              <w:spacing w:line="300" w:lineRule="exact"/>
              <w:jc w:val="center"/>
              <w:rPr>
                <w:rFonts w:ascii="仿宋_GB2312" w:hAnsi="仿宋_GB2312" w:eastAsia="仿宋_GB2312" w:cs="仿宋_GB2312"/>
                <w:kern w:val="0"/>
                <w:sz w:val="28"/>
                <w:szCs w:val="28"/>
                <w:lang w:bidi="ar"/>
              </w:rPr>
            </w:pPr>
            <w:r>
              <w:rPr>
                <w:rFonts w:hint="eastAsia" w:ascii="仿宋_GB2312" w:hAnsi="仿宋_GB2312" w:eastAsia="仿宋_GB2312" w:cs="仿宋_GB2312"/>
                <w:kern w:val="0"/>
                <w:sz w:val="28"/>
                <w:szCs w:val="28"/>
                <w:lang w:bidi="ar"/>
              </w:rPr>
              <w:t>——</w:t>
            </w:r>
          </w:p>
        </w:tc>
        <w:tc>
          <w:tcPr>
            <w:tcW w:w="1331" w:type="dxa"/>
            <w:tcBorders>
              <w:top w:val="single" w:color="auto" w:sz="4" w:space="0"/>
              <w:left w:val="single" w:color="auto" w:sz="4" w:space="0"/>
              <w:bottom w:val="single" w:color="auto" w:sz="4" w:space="0"/>
              <w:right w:val="single" w:color="auto" w:sz="4" w:space="0"/>
            </w:tcBorders>
            <w:vAlign w:val="center"/>
          </w:tcPr>
          <w:p w14:paraId="0BA55F39">
            <w:pPr>
              <w:widowControl/>
              <w:spacing w:line="300" w:lineRule="exact"/>
              <w:jc w:val="center"/>
              <w:rPr>
                <w:rFonts w:ascii="仿宋_GB2312" w:hAnsi="仿宋_GB2312" w:eastAsia="仿宋_GB2312" w:cs="仿宋_GB2312"/>
                <w:kern w:val="0"/>
                <w:sz w:val="28"/>
                <w:szCs w:val="28"/>
                <w:lang w:bidi="ar"/>
              </w:rPr>
            </w:pPr>
            <w:r>
              <w:rPr>
                <w:rFonts w:ascii="仿宋_GB2312" w:hAnsi="仿宋_GB2312" w:eastAsia="仿宋_GB2312" w:cs="仿宋_GB2312"/>
                <w:kern w:val="0"/>
                <w:sz w:val="28"/>
                <w:szCs w:val="28"/>
                <w:lang w:bidi="ar"/>
              </w:rPr>
              <w:t>〔</w:t>
            </w:r>
            <w:r>
              <w:rPr>
                <w:rFonts w:hint="eastAsia" w:ascii="仿宋_GB2312" w:hAnsi="仿宋_GB2312" w:eastAsia="仿宋_GB2312" w:cs="仿宋_GB2312"/>
                <w:kern w:val="0"/>
                <w:sz w:val="28"/>
                <w:szCs w:val="28"/>
                <w:lang w:bidi="ar"/>
              </w:rPr>
              <w:t>&gt;60</w:t>
            </w:r>
            <w:r>
              <w:rPr>
                <w:rStyle w:val="11"/>
                <w:rFonts w:hint="eastAsia" w:ascii="仿宋_GB2312" w:hAnsi="仿宋_GB2312" w:eastAsia="仿宋_GB2312" w:cs="仿宋_GB2312"/>
                <w:kern w:val="0"/>
                <w:sz w:val="28"/>
                <w:szCs w:val="28"/>
                <w:lang w:bidi="ar"/>
              </w:rPr>
              <w:footnoteReference w:id="0"/>
            </w:r>
            <w:r>
              <w:rPr>
                <w:rFonts w:ascii="仿宋_GB2312" w:hAnsi="仿宋_GB2312" w:eastAsia="仿宋_GB2312" w:cs="仿宋_GB2312"/>
                <w:kern w:val="0"/>
                <w:sz w:val="28"/>
                <w:szCs w:val="28"/>
                <w:lang w:bidi="ar"/>
              </w:rPr>
              <w:t>〕</w:t>
            </w:r>
          </w:p>
        </w:tc>
        <w:tc>
          <w:tcPr>
            <w:tcW w:w="937" w:type="dxa"/>
            <w:tcBorders>
              <w:top w:val="single" w:color="auto" w:sz="4" w:space="0"/>
              <w:left w:val="single" w:color="auto" w:sz="4" w:space="0"/>
              <w:bottom w:val="single" w:color="auto" w:sz="4" w:space="0"/>
              <w:right w:val="single" w:color="auto" w:sz="4" w:space="0"/>
            </w:tcBorders>
            <w:vAlign w:val="center"/>
          </w:tcPr>
          <w:p w14:paraId="46F62587">
            <w:pPr>
              <w:widowControl/>
              <w:spacing w:line="300" w:lineRule="exact"/>
              <w:jc w:val="center"/>
              <w:rPr>
                <w:rFonts w:ascii="仿宋_GB2312" w:hAnsi="仿宋_GB2312" w:eastAsia="仿宋_GB2312" w:cs="仿宋_GB2312"/>
                <w:kern w:val="0"/>
                <w:sz w:val="28"/>
                <w:szCs w:val="28"/>
                <w:lang w:bidi="ar"/>
              </w:rPr>
            </w:pPr>
            <w:r>
              <w:rPr>
                <w:rFonts w:hint="eastAsia" w:ascii="仿宋_GB2312" w:hAnsi="仿宋_GB2312" w:eastAsia="仿宋_GB2312" w:cs="仿宋_GB2312"/>
                <w:kern w:val="0"/>
                <w:sz w:val="28"/>
                <w:szCs w:val="28"/>
                <w:lang w:bidi="ar"/>
              </w:rPr>
              <w:t>预期性</w:t>
            </w:r>
          </w:p>
        </w:tc>
      </w:tr>
      <w:tr w14:paraId="11A72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482" w:hRule="exact"/>
          <w:jc w:val="center"/>
        </w:trPr>
        <w:tc>
          <w:tcPr>
            <w:tcW w:w="666" w:type="dxa"/>
            <w:tcBorders>
              <w:top w:val="single" w:color="auto" w:sz="4" w:space="0"/>
              <w:left w:val="single" w:color="auto" w:sz="4" w:space="0"/>
              <w:bottom w:val="single" w:color="auto" w:sz="4" w:space="0"/>
              <w:right w:val="single" w:color="auto" w:sz="4" w:space="0"/>
            </w:tcBorders>
            <w:vAlign w:val="center"/>
          </w:tcPr>
          <w:p w14:paraId="1480B4D2">
            <w:pPr>
              <w:widowControl/>
              <w:spacing w:line="300" w:lineRule="exact"/>
              <w:jc w:val="center"/>
              <w:rPr>
                <w:rFonts w:ascii="仿宋_GB2312" w:hAnsi="仿宋_GB2312" w:eastAsia="仿宋_GB2312" w:cs="仿宋_GB2312"/>
                <w:kern w:val="0"/>
                <w:sz w:val="28"/>
                <w:szCs w:val="28"/>
                <w:lang w:bidi="ar"/>
              </w:rPr>
            </w:pPr>
            <w:r>
              <w:rPr>
                <w:rFonts w:hint="eastAsia" w:ascii="仿宋_GB2312" w:hAnsi="仿宋_GB2312" w:eastAsia="仿宋_GB2312" w:cs="仿宋_GB2312"/>
                <w:kern w:val="0"/>
                <w:sz w:val="28"/>
                <w:szCs w:val="28"/>
                <w:lang w:bidi="ar"/>
              </w:rPr>
              <w:t>13</w:t>
            </w:r>
          </w:p>
        </w:tc>
        <w:tc>
          <w:tcPr>
            <w:tcW w:w="4994" w:type="dxa"/>
            <w:tcBorders>
              <w:top w:val="single" w:color="auto" w:sz="4" w:space="0"/>
              <w:left w:val="single" w:color="auto" w:sz="4" w:space="0"/>
              <w:bottom w:val="single" w:color="auto" w:sz="4" w:space="0"/>
              <w:right w:val="single" w:color="auto" w:sz="4" w:space="0"/>
            </w:tcBorders>
            <w:vAlign w:val="center"/>
          </w:tcPr>
          <w:p w14:paraId="17C4E9CE">
            <w:pPr>
              <w:widowControl/>
              <w:spacing w:line="300" w:lineRule="exact"/>
              <w:jc w:val="center"/>
              <w:rPr>
                <w:rFonts w:ascii="仿宋_GB2312" w:hAnsi="仿宋_GB2312" w:eastAsia="仿宋_GB2312" w:cs="仿宋_GB2312"/>
                <w:kern w:val="0"/>
                <w:sz w:val="28"/>
                <w:szCs w:val="28"/>
                <w:lang w:bidi="ar"/>
              </w:rPr>
            </w:pPr>
            <w:r>
              <w:rPr>
                <w:rFonts w:hint="eastAsia" w:ascii="仿宋_GB2312" w:hAnsi="仿宋_GB2312" w:eastAsia="仿宋_GB2312" w:cs="仿宋_GB2312"/>
                <w:kern w:val="0"/>
                <w:sz w:val="28"/>
                <w:szCs w:val="28"/>
                <w:lang w:bidi="ar"/>
              </w:rPr>
              <w:t>城镇住房基础信息数字化率（%）</w:t>
            </w:r>
          </w:p>
        </w:tc>
        <w:tc>
          <w:tcPr>
            <w:tcW w:w="1075" w:type="dxa"/>
            <w:tcBorders>
              <w:top w:val="single" w:color="auto" w:sz="4" w:space="0"/>
              <w:left w:val="single" w:color="auto" w:sz="4" w:space="0"/>
              <w:bottom w:val="single" w:color="auto" w:sz="4" w:space="0"/>
              <w:right w:val="single" w:color="auto" w:sz="4" w:space="0"/>
            </w:tcBorders>
            <w:vAlign w:val="center"/>
          </w:tcPr>
          <w:p w14:paraId="1CC57EA6">
            <w:pPr>
              <w:widowControl/>
              <w:spacing w:line="300" w:lineRule="exact"/>
              <w:jc w:val="center"/>
              <w:rPr>
                <w:rFonts w:ascii="仿宋_GB2312" w:hAnsi="仿宋_GB2312" w:eastAsia="仿宋_GB2312" w:cs="仿宋_GB2312"/>
                <w:kern w:val="0"/>
                <w:sz w:val="28"/>
                <w:szCs w:val="28"/>
                <w:lang w:bidi="ar"/>
              </w:rPr>
            </w:pPr>
            <w:r>
              <w:rPr>
                <w:rFonts w:hint="eastAsia" w:ascii="仿宋_GB2312" w:hAnsi="仿宋_GB2312" w:eastAsia="仿宋_GB2312" w:cs="仿宋_GB2312"/>
                <w:kern w:val="0"/>
                <w:sz w:val="28"/>
                <w:szCs w:val="28"/>
                <w:lang w:bidi="ar"/>
              </w:rPr>
              <w:t>——</w:t>
            </w:r>
          </w:p>
        </w:tc>
        <w:tc>
          <w:tcPr>
            <w:tcW w:w="1331" w:type="dxa"/>
            <w:tcBorders>
              <w:top w:val="single" w:color="auto" w:sz="4" w:space="0"/>
              <w:left w:val="single" w:color="auto" w:sz="4" w:space="0"/>
              <w:bottom w:val="single" w:color="auto" w:sz="4" w:space="0"/>
              <w:right w:val="single" w:color="auto" w:sz="4" w:space="0"/>
            </w:tcBorders>
            <w:vAlign w:val="center"/>
          </w:tcPr>
          <w:p w14:paraId="110EBBC4">
            <w:pPr>
              <w:widowControl/>
              <w:spacing w:line="300" w:lineRule="exact"/>
              <w:jc w:val="center"/>
              <w:rPr>
                <w:rFonts w:ascii="仿宋_GB2312" w:hAnsi="仿宋_GB2312" w:eastAsia="仿宋_GB2312" w:cs="仿宋_GB2312"/>
                <w:kern w:val="0"/>
                <w:sz w:val="28"/>
                <w:szCs w:val="28"/>
                <w:lang w:bidi="ar"/>
              </w:rPr>
            </w:pPr>
            <w:r>
              <w:rPr>
                <w:rFonts w:hint="eastAsia" w:ascii="仿宋_GB2312" w:hAnsi="仿宋_GB2312" w:eastAsia="仿宋_GB2312" w:cs="仿宋_GB2312"/>
                <w:kern w:val="0"/>
                <w:sz w:val="28"/>
                <w:szCs w:val="28"/>
                <w:lang w:bidi="ar"/>
              </w:rPr>
              <w:t>&gt;95</w:t>
            </w:r>
          </w:p>
        </w:tc>
        <w:tc>
          <w:tcPr>
            <w:tcW w:w="937" w:type="dxa"/>
            <w:tcBorders>
              <w:top w:val="single" w:color="auto" w:sz="4" w:space="0"/>
              <w:left w:val="single" w:color="auto" w:sz="4" w:space="0"/>
              <w:bottom w:val="single" w:color="auto" w:sz="4" w:space="0"/>
              <w:right w:val="single" w:color="auto" w:sz="4" w:space="0"/>
            </w:tcBorders>
            <w:vAlign w:val="center"/>
          </w:tcPr>
          <w:p w14:paraId="437D9C3D">
            <w:pPr>
              <w:widowControl/>
              <w:spacing w:line="300" w:lineRule="exact"/>
              <w:jc w:val="center"/>
              <w:rPr>
                <w:rFonts w:ascii="仿宋_GB2312" w:hAnsi="仿宋_GB2312" w:eastAsia="仿宋_GB2312" w:cs="仿宋_GB2312"/>
                <w:kern w:val="0"/>
                <w:sz w:val="28"/>
                <w:szCs w:val="28"/>
                <w:lang w:bidi="ar"/>
              </w:rPr>
            </w:pPr>
            <w:r>
              <w:rPr>
                <w:rFonts w:hint="eastAsia" w:ascii="仿宋_GB2312" w:hAnsi="仿宋_GB2312" w:eastAsia="仿宋_GB2312" w:cs="仿宋_GB2312"/>
                <w:kern w:val="0"/>
                <w:sz w:val="28"/>
                <w:szCs w:val="28"/>
                <w:lang w:bidi="ar"/>
              </w:rPr>
              <w:t>预期性</w:t>
            </w:r>
          </w:p>
        </w:tc>
      </w:tr>
      <w:bookmarkEnd w:id="5"/>
    </w:tbl>
    <w:p w14:paraId="633029F2">
      <w:pPr>
        <w:widowControl/>
        <w:spacing w:line="400" w:lineRule="exact"/>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注：〔 〕内为5年累计数。</w:t>
      </w:r>
    </w:p>
    <w:p w14:paraId="3A1F5BD2">
      <w:pPr>
        <w:pStyle w:val="2"/>
        <w:widowControl/>
        <w:spacing w:line="640" w:lineRule="exact"/>
        <w:ind w:firstLine="720" w:firstLineChars="200"/>
        <w:rPr>
          <w:sz w:val="36"/>
          <w:szCs w:val="36"/>
        </w:rPr>
      </w:pPr>
      <w:bookmarkStart w:id="6" w:name="_Toc29991"/>
      <w:bookmarkStart w:id="7" w:name="_Toc18694"/>
      <w:bookmarkStart w:id="8" w:name="_Toc25139"/>
      <w:bookmarkStart w:id="9" w:name="_Toc27193"/>
      <w:bookmarkStart w:id="10" w:name="_Toc28192"/>
      <w:r>
        <w:rPr>
          <w:rFonts w:hint="eastAsia"/>
          <w:sz w:val="36"/>
          <w:szCs w:val="36"/>
        </w:rPr>
        <w:t>二、促进房地产市场平稳健康发展，更好满足群众多样化住房需求</w:t>
      </w:r>
      <w:bookmarkEnd w:id="6"/>
      <w:bookmarkEnd w:id="7"/>
      <w:bookmarkEnd w:id="8"/>
      <w:bookmarkEnd w:id="9"/>
      <w:bookmarkEnd w:id="10"/>
    </w:p>
    <w:p w14:paraId="1C4BB432">
      <w:pPr>
        <w:widowControl/>
        <w:spacing w:line="640" w:lineRule="exact"/>
        <w:ind w:firstLine="720" w:firstLineChars="200"/>
        <w:outlineLvl w:val="1"/>
        <w:rPr>
          <w:rFonts w:ascii="仿宋_GB2312" w:hAnsi="仿宋_GB2312" w:eastAsia="仿宋_GB2312" w:cs="仿宋_GB2312"/>
          <w:color w:val="000000"/>
          <w:kern w:val="0"/>
          <w:sz w:val="36"/>
          <w:szCs w:val="36"/>
          <w:lang w:bidi="ar"/>
        </w:rPr>
      </w:pPr>
      <w:bookmarkStart w:id="11" w:name="_Toc4597"/>
      <w:bookmarkStart w:id="12" w:name="_Toc3088"/>
      <w:bookmarkStart w:id="13" w:name="_Toc26519"/>
      <w:bookmarkStart w:id="14" w:name="_Toc1773"/>
      <w:bookmarkStart w:id="15" w:name="_Toc2379"/>
      <w:r>
        <w:rPr>
          <w:rStyle w:val="13"/>
          <w:rFonts w:hint="default" w:ascii="楷体_GB2312" w:hAnsi="楷体_GB2312" w:eastAsia="楷体_GB2312" w:cs="楷体_GB2312"/>
          <w:b w:val="0"/>
        </w:rPr>
        <w:t>（一）优化居住用地和商品住房供应结构与节奏</w:t>
      </w:r>
      <w:bookmarkEnd w:id="11"/>
      <w:r>
        <w:rPr>
          <w:rFonts w:hint="eastAsia" w:ascii="楷体_GB2312" w:hAnsi="楷体_GB2312" w:eastAsia="楷体_GB2312" w:cs="楷体_GB2312"/>
          <w:color w:val="000000"/>
          <w:kern w:val="0"/>
          <w:sz w:val="36"/>
          <w:szCs w:val="36"/>
          <w:lang w:bidi="ar"/>
        </w:rPr>
        <w:t>。</w:t>
      </w:r>
      <w:r>
        <w:rPr>
          <w:rFonts w:hint="eastAsia" w:ascii="仿宋_GB2312" w:hAnsi="仿宋_GB2312" w:eastAsia="仿宋_GB2312" w:cs="仿宋_GB2312"/>
          <w:color w:val="000000"/>
          <w:kern w:val="0"/>
          <w:sz w:val="36"/>
          <w:szCs w:val="36"/>
          <w:lang w:bidi="ar"/>
        </w:rPr>
        <w:t>统筹“人房地钱”要素联动和“职住商服”功能融合，完善“一地一策”会商机制，健全居住用地供应与住房需求、市场运行相衔接的动态调节机制，合理确定居住用地供应规模、结构和时序。优化居住用地供应空间布局，增强土地供应的精准性和适应性，优先在轨道站点周边、配套成熟地区和就业密集区域供地，加大用地周边市政配套建设支持，引导住房供给与就业、交通、公共服务等城市功能更好匹配，促进产城融合、职住平衡。</w:t>
      </w:r>
      <w:r>
        <w:rPr>
          <w:rFonts w:ascii="仿宋_GB2312" w:hAnsi="仿宋_GB2312" w:eastAsia="仿宋_GB2312" w:cs="仿宋_GB2312"/>
          <w:color w:val="000000"/>
          <w:kern w:val="0"/>
          <w:sz w:val="36"/>
          <w:szCs w:val="36"/>
          <w:lang w:bidi="ar"/>
        </w:rPr>
        <w:t>出让价款可按国家规定分期缴纳</w:t>
      </w:r>
      <w:r>
        <w:rPr>
          <w:rFonts w:hint="eastAsia" w:ascii="仿宋_GB2312" w:hAnsi="仿宋_GB2312" w:eastAsia="仿宋_GB2312" w:cs="仿宋_GB2312"/>
          <w:color w:val="000000"/>
          <w:kern w:val="0"/>
          <w:sz w:val="36"/>
          <w:szCs w:val="36"/>
          <w:lang w:bidi="ar"/>
        </w:rPr>
        <w:t>。强化居住用地供后监管。</w:t>
      </w:r>
      <w:bookmarkEnd w:id="12"/>
      <w:bookmarkEnd w:id="13"/>
      <w:bookmarkEnd w:id="14"/>
      <w:bookmarkEnd w:id="15"/>
    </w:p>
    <w:p w14:paraId="206F6350"/>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6A7BA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tcBorders>
              <w:top w:val="single" w:color="auto" w:sz="4" w:space="0"/>
              <w:left w:val="single" w:color="auto" w:sz="4" w:space="0"/>
              <w:bottom w:val="single" w:color="auto" w:sz="4" w:space="0"/>
              <w:right w:val="single" w:color="auto" w:sz="4" w:space="0"/>
            </w:tcBorders>
          </w:tcPr>
          <w:p w14:paraId="391C7321">
            <w:pPr>
              <w:widowControl/>
              <w:spacing w:line="480" w:lineRule="exact"/>
              <w:jc w:val="center"/>
              <w:rPr>
                <w:rFonts w:ascii="黑体" w:hAnsi="黑体" w:eastAsia="黑体" w:cs="黑体"/>
                <w:sz w:val="28"/>
                <w:szCs w:val="28"/>
              </w:rPr>
            </w:pPr>
            <w:r>
              <w:rPr>
                <w:rFonts w:hint="eastAsia" w:ascii="黑体" w:hAnsi="黑体" w:eastAsia="黑体" w:cs="黑体"/>
                <w:kern w:val="0"/>
                <w:sz w:val="28"/>
                <w:szCs w:val="28"/>
                <w:lang w:bidi="ar"/>
              </w:rPr>
              <w:t>专栏1 完善商品住房供地机制</w:t>
            </w:r>
          </w:p>
          <w:p w14:paraId="2579DC70">
            <w:pPr>
              <w:widowControl/>
              <w:spacing w:line="480" w:lineRule="exact"/>
              <w:ind w:firstLine="560" w:firstLineChars="200"/>
              <w:rPr>
                <w:rFonts w:ascii="仿宋_GB2312" w:hAnsi="仿宋_GB2312" w:eastAsia="仿宋_GB2312" w:cs="仿宋_GB2312"/>
                <w:sz w:val="36"/>
                <w:szCs w:val="36"/>
              </w:rPr>
            </w:pPr>
            <w:r>
              <w:rPr>
                <w:rFonts w:hint="eastAsia" w:ascii="仿宋_GB2312" w:hAnsi="仿宋_GB2312" w:eastAsia="仿宋_GB2312" w:cs="仿宋_GB2312"/>
                <w:color w:val="000000"/>
                <w:kern w:val="0"/>
                <w:sz w:val="28"/>
                <w:szCs w:val="28"/>
                <w:lang w:bidi="ar"/>
              </w:rPr>
              <w:t>适应科技创新和产业变革新趋势，结合各区域住房需求，推动用地向需求突出、职住矛盾集中区域适当倾斜。健全配套设施，推动配套设施与住房项目同步交付使用；地块周边具备水域资源的，同步打造优美滨水景观。结合综合化城市更新组团，强化站点、商圈及产业聚集区“职住商服”功能融合。</w:t>
            </w:r>
          </w:p>
        </w:tc>
      </w:tr>
    </w:tbl>
    <w:p w14:paraId="29E470A6">
      <w:pPr>
        <w:widowControl/>
        <w:spacing w:line="640" w:lineRule="exact"/>
        <w:ind w:firstLine="720" w:firstLineChars="200"/>
        <w:outlineLvl w:val="1"/>
        <w:rPr>
          <w:rFonts w:ascii="仿宋_GB2312" w:hAnsi="仿宋_GB2312" w:eastAsia="仿宋_GB2312" w:cs="仿宋_GB2312"/>
          <w:color w:val="000000"/>
          <w:sz w:val="36"/>
          <w:szCs w:val="36"/>
          <w:lang w:bidi="ar"/>
        </w:rPr>
      </w:pPr>
      <w:bookmarkStart w:id="16" w:name="_Toc26814"/>
      <w:bookmarkStart w:id="17" w:name="_Toc27886"/>
      <w:bookmarkStart w:id="18" w:name="_Toc18399"/>
      <w:bookmarkStart w:id="19" w:name="_Toc20816"/>
      <w:r>
        <w:rPr>
          <w:rStyle w:val="13"/>
          <w:rFonts w:hint="default" w:ascii="楷体_GB2312" w:hAnsi="楷体_GB2312" w:eastAsia="楷体_GB2312" w:cs="楷体_GB2312"/>
          <w:b w:val="0"/>
        </w:rPr>
        <w:t>（二）健全房地产基础性制度。</w:t>
      </w:r>
      <w:r>
        <w:rPr>
          <w:rFonts w:hint="eastAsia" w:ascii="仿宋_GB2312" w:hAnsi="仿宋_GB2312" w:eastAsia="仿宋_GB2312" w:cs="仿宋_GB2312"/>
          <w:color w:val="000000"/>
          <w:sz w:val="36"/>
          <w:szCs w:val="36"/>
          <w:lang w:bidi="ar"/>
        </w:rPr>
        <w:t>加快构建房地产发展新模式，完善商品住房销售制度。全面加强预售管理，完善项目预售资金监管；有序实施现房销售，实现“所见即所得”。加大对现房销售项目和安全舒适绿色智慧“好房子”项目的开发贷款支持力度，合理确定贷款投放节点和额度并全部用于项目建设，实现开发贷款发放与项目建设周期相匹配。推行房地产项目主办银行制，按照市场化原则满足项目合理融资需求。持续做好市场秩序规范和质量监管，商品住房开发建设实行项目开发公司制。支持房地产开发企业参与保障性住房、城市更新等项目的建设运营以及向数智化、绿色化转型升级。</w:t>
      </w:r>
      <w:bookmarkEnd w:id="16"/>
      <w:bookmarkEnd w:id="17"/>
      <w:bookmarkEnd w:id="18"/>
      <w:bookmarkEnd w:id="19"/>
    </w:p>
    <w:p w14:paraId="6C845A01">
      <w:pPr>
        <w:widowControl/>
        <w:spacing w:line="640" w:lineRule="exact"/>
        <w:ind w:firstLine="720" w:firstLineChars="200"/>
        <w:outlineLvl w:val="1"/>
        <w:rPr>
          <w:rFonts w:ascii="仿宋_GB2312" w:hAnsi="仿宋_GB2312" w:eastAsia="仿宋_GB2312" w:cs="仿宋_GB2312"/>
          <w:sz w:val="36"/>
          <w:szCs w:val="36"/>
        </w:rPr>
      </w:pPr>
      <w:bookmarkStart w:id="20" w:name="_Toc9755"/>
      <w:bookmarkStart w:id="21" w:name="_Toc7038"/>
      <w:bookmarkStart w:id="22" w:name="_Toc11605"/>
      <w:bookmarkStart w:id="23" w:name="_Toc31632"/>
      <w:r>
        <w:rPr>
          <w:rStyle w:val="13"/>
          <w:rFonts w:hint="default" w:ascii="楷体_GB2312" w:hAnsi="楷体_GB2312" w:eastAsia="楷体_GB2312" w:cs="楷体_GB2312"/>
          <w:b w:val="0"/>
        </w:rPr>
        <w:t>（三）鼓励支持刚性和改善性住房消费。</w:t>
      </w:r>
      <w:r>
        <w:rPr>
          <w:rFonts w:hint="eastAsia" w:ascii="仿宋_GB2312" w:hAnsi="仿宋_GB2312" w:eastAsia="仿宋_GB2312" w:cs="仿宋_GB2312"/>
          <w:color w:val="000000"/>
          <w:sz w:val="36"/>
          <w:szCs w:val="36"/>
          <w:lang w:bidi="ar"/>
        </w:rPr>
        <w:t>从群众合理购房需求出发，更好满足多样化住房消费需求。精准支持新市民、青年人、多子女家庭等群体购房需求。促进梯度消费和住房循环利用，释放存量住房市场活力。</w:t>
      </w:r>
      <w:bookmarkEnd w:id="20"/>
      <w:bookmarkEnd w:id="21"/>
      <w:bookmarkEnd w:id="22"/>
      <w:bookmarkEnd w:id="23"/>
    </w:p>
    <w:p w14:paraId="413164CC">
      <w:pPr>
        <w:widowControl/>
        <w:spacing w:line="640" w:lineRule="exact"/>
        <w:ind w:firstLine="720" w:firstLineChars="200"/>
        <w:outlineLvl w:val="1"/>
        <w:rPr>
          <w:rFonts w:ascii="仿宋_GB2312" w:hAnsi="仿宋_GB2312" w:eastAsia="仿宋_GB2312" w:cs="仿宋_GB2312"/>
          <w:color w:val="000000"/>
          <w:sz w:val="36"/>
          <w:szCs w:val="36"/>
          <w:lang w:bidi="ar"/>
        </w:rPr>
      </w:pPr>
      <w:bookmarkStart w:id="24" w:name="_Toc13599"/>
      <w:bookmarkStart w:id="25" w:name="_Toc5472"/>
      <w:bookmarkStart w:id="26" w:name="_Toc5669"/>
      <w:bookmarkStart w:id="27" w:name="_Toc24686"/>
      <w:r>
        <w:rPr>
          <w:rStyle w:val="13"/>
          <w:rFonts w:hint="default" w:ascii="楷体_GB2312" w:hAnsi="楷体_GB2312" w:eastAsia="楷体_GB2312" w:cs="楷体_GB2312"/>
          <w:b w:val="0"/>
        </w:rPr>
        <w:t>（四）规范房地产市场秩序。</w:t>
      </w:r>
      <w:r>
        <w:rPr>
          <w:rFonts w:hint="eastAsia" w:ascii="仿宋_GB2312" w:hAnsi="仿宋_GB2312" w:eastAsia="仿宋_GB2312" w:cs="仿宋_GB2312"/>
          <w:color w:val="000000"/>
          <w:sz w:val="36"/>
          <w:szCs w:val="36"/>
          <w:lang w:bidi="ar"/>
        </w:rPr>
        <w:t>依法规范房地产开发企业商品住房销售行为及房屋中介机构经纪行为，持续开展存量商品住房市场秩序治理，保障购房人在房屋交付、工程质量等方面的合法权益。畅通二手住房交易链条，优化交易流程，规范经纪服务和交易资金监管。</w:t>
      </w:r>
      <w:bookmarkEnd w:id="24"/>
      <w:bookmarkEnd w:id="25"/>
      <w:bookmarkEnd w:id="26"/>
      <w:bookmarkEnd w:id="27"/>
    </w:p>
    <w:p w14:paraId="6E64899A">
      <w:pPr>
        <w:pStyle w:val="4"/>
        <w:spacing w:after="0" w:line="240" w:lineRule="exact"/>
      </w:pP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5DC83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tcBorders>
              <w:top w:val="single" w:color="auto" w:sz="4" w:space="0"/>
              <w:left w:val="single" w:color="auto" w:sz="4" w:space="0"/>
              <w:bottom w:val="single" w:color="auto" w:sz="4" w:space="0"/>
              <w:right w:val="single" w:color="auto" w:sz="4" w:space="0"/>
            </w:tcBorders>
          </w:tcPr>
          <w:p w14:paraId="6DB7047C">
            <w:pPr>
              <w:widowControl/>
              <w:spacing w:line="480" w:lineRule="exact"/>
              <w:jc w:val="center"/>
              <w:rPr>
                <w:rFonts w:ascii="黑体" w:hAnsi="黑体" w:eastAsia="黑体" w:cs="黑体"/>
                <w:kern w:val="0"/>
                <w:sz w:val="28"/>
                <w:szCs w:val="28"/>
                <w:lang w:bidi="ar"/>
              </w:rPr>
            </w:pPr>
            <w:r>
              <w:rPr>
                <w:rFonts w:hint="eastAsia" w:ascii="黑体" w:hAnsi="黑体" w:eastAsia="黑体" w:cs="黑体"/>
                <w:kern w:val="0"/>
                <w:sz w:val="28"/>
                <w:szCs w:val="28"/>
                <w:lang w:bidi="ar"/>
              </w:rPr>
              <w:t>专栏2 规范房地产市场秩序系列行动</w:t>
            </w:r>
          </w:p>
          <w:p w14:paraId="5D0D48A2">
            <w:pPr>
              <w:widowControl/>
              <w:spacing w:line="480" w:lineRule="exact"/>
              <w:ind w:firstLine="560" w:firstLineChars="200"/>
              <w:rPr>
                <w:rFonts w:eastAsia="仿宋_GB2312"/>
              </w:rPr>
            </w:pPr>
            <w:r>
              <w:rPr>
                <w:rFonts w:hint="eastAsia" w:ascii="仿宋_GB2312" w:hAnsi="仿宋_GB2312" w:eastAsia="仿宋_GB2312" w:cs="仿宋_GB2312"/>
                <w:kern w:val="0"/>
                <w:sz w:val="28"/>
                <w:szCs w:val="28"/>
                <w:lang w:bidi="ar"/>
              </w:rPr>
              <w:t>聚焦房地产领域违法违规行为，市区统筹、部门联动，日常检查与专项治理、非现场监管与现场检查相结合。严厉打击无证销售、违规存取预售资金和现房销售定金、发布虚假房源、拖欠租金押金、房产中介向金融机构收取返佣等行为，定期曝光典型案例。</w:t>
            </w:r>
            <w:r>
              <w:rPr>
                <w:rFonts w:hint="eastAsia" w:ascii="仿宋_GB2312" w:hAnsi="仿宋_GB2312" w:eastAsia="仿宋_GB2312" w:cs="仿宋_GB2312"/>
                <w:sz w:val="28"/>
                <w:szCs w:val="28"/>
                <w:lang w:bidi="ar"/>
              </w:rPr>
              <w:t>规范涉房地产信息发布和传播秩序，依法查处编造、传播虚假信息等违法违规行为。</w:t>
            </w:r>
          </w:p>
        </w:tc>
      </w:tr>
    </w:tbl>
    <w:p w14:paraId="6644B244">
      <w:pPr>
        <w:widowControl/>
        <w:spacing w:line="640" w:lineRule="exact"/>
        <w:ind w:firstLine="720" w:firstLineChars="200"/>
        <w:outlineLvl w:val="1"/>
        <w:rPr>
          <w:rFonts w:ascii="仿宋_GB2312" w:hAnsi="仿宋_GB2312" w:eastAsia="仿宋_GB2312" w:cs="仿宋_GB2312"/>
          <w:color w:val="000000"/>
          <w:sz w:val="36"/>
          <w:szCs w:val="36"/>
        </w:rPr>
      </w:pPr>
      <w:bookmarkStart w:id="28" w:name="_Toc11995"/>
      <w:bookmarkStart w:id="29" w:name="_Toc18594"/>
      <w:bookmarkStart w:id="30" w:name="_Toc6568"/>
      <w:bookmarkStart w:id="31" w:name="_Toc20990"/>
      <w:r>
        <w:rPr>
          <w:rStyle w:val="13"/>
          <w:rFonts w:hint="default" w:ascii="楷体_GB2312" w:hAnsi="楷体_GB2312" w:eastAsia="楷体_GB2312" w:cs="楷体_GB2312"/>
          <w:b w:val="0"/>
        </w:rPr>
        <w:t>（五）改善存量居住社区配套服务。</w:t>
      </w:r>
      <w:r>
        <w:rPr>
          <w:rFonts w:hint="eastAsia" w:ascii="仿宋_GB2312" w:hAnsi="仿宋_GB2312" w:eastAsia="仿宋_GB2312" w:cs="仿宋_GB2312"/>
          <w:color w:val="000000"/>
          <w:kern w:val="0"/>
          <w:sz w:val="36"/>
          <w:szCs w:val="36"/>
          <w:lang w:bidi="ar"/>
        </w:rPr>
        <w:t>补齐已建成交付的存量居住社区的市政基础设施和养老、教育、医疗、商业等公共服务配套短板，</w:t>
      </w:r>
      <w:r>
        <w:rPr>
          <w:rFonts w:hint="eastAsia" w:ascii="仿宋_GB2312" w:hAnsi="仿宋_GB2312" w:eastAsia="仿宋_GB2312" w:cs="仿宋_GB2312"/>
          <w:kern w:val="0"/>
          <w:sz w:val="36"/>
          <w:szCs w:val="36"/>
          <w:lang w:bidi="ar"/>
        </w:rPr>
        <w:t>推动周边市政道路建成连通，规划的公园或绿地建成投用，具备水域资源的同步营造优美滨水景观。</w:t>
      </w:r>
      <w:bookmarkEnd w:id="28"/>
      <w:bookmarkEnd w:id="29"/>
      <w:bookmarkEnd w:id="30"/>
      <w:bookmarkEnd w:id="31"/>
    </w:p>
    <w:p w14:paraId="168E7698">
      <w:pPr>
        <w:widowControl/>
        <w:spacing w:line="640" w:lineRule="exact"/>
        <w:ind w:firstLine="720" w:firstLineChars="200"/>
        <w:outlineLvl w:val="1"/>
        <w:rPr>
          <w:rFonts w:ascii="仿宋_GB2312" w:hAnsi="仿宋_GB2312" w:eastAsia="仿宋_GB2312" w:cs="仿宋_GB2312"/>
          <w:color w:val="000000"/>
          <w:kern w:val="0"/>
          <w:sz w:val="36"/>
          <w:szCs w:val="36"/>
          <w:lang w:bidi="ar"/>
        </w:rPr>
      </w:pPr>
      <w:bookmarkStart w:id="32" w:name="_Toc20377"/>
      <w:bookmarkEnd w:id="32"/>
      <w:bookmarkStart w:id="33" w:name="_Toc24904"/>
      <w:bookmarkStart w:id="34" w:name="_Toc21898"/>
      <w:bookmarkStart w:id="35" w:name="_Toc15187"/>
      <w:bookmarkStart w:id="36" w:name="_Toc8576"/>
      <w:r>
        <w:rPr>
          <w:rStyle w:val="13"/>
          <w:rFonts w:hint="default" w:ascii="楷体_GB2312" w:hAnsi="楷体_GB2312" w:eastAsia="楷体_GB2312" w:cs="楷体_GB2312"/>
          <w:b w:val="0"/>
        </w:rPr>
        <w:t>（六）加强安置房统筹。</w:t>
      </w:r>
      <w:r>
        <w:rPr>
          <w:rFonts w:hint="eastAsia" w:ascii="仿宋_GB2312" w:hAnsi="仿宋_GB2312" w:eastAsia="仿宋_GB2312" w:cs="仿宋_GB2312"/>
          <w:color w:val="000000"/>
          <w:kern w:val="0"/>
          <w:sz w:val="36"/>
          <w:szCs w:val="36"/>
          <w:lang w:bidi="ar"/>
        </w:rPr>
        <w:t>持续开展全市逾期未安置项目清理，加快棚户区改造、城中村改造以及城镇危旧房改造的居民安置，统筹利用各类房源，严控周转周期，遏制新增逾期安置项目。统筹推进闲置土地和存量安置房源盘活利用，合理控制安置房新增规模。</w:t>
      </w:r>
      <w:r>
        <w:rPr>
          <w:rFonts w:hint="eastAsia" w:ascii="仿宋_GB2312" w:hAnsi="仿宋_GB2312" w:eastAsia="仿宋_GB2312" w:cs="仿宋_GB2312"/>
          <w:kern w:val="0"/>
          <w:sz w:val="36"/>
          <w:szCs w:val="36"/>
          <w:lang w:bidi="ar"/>
        </w:rPr>
        <w:t>探索推行房票安置等多元化安置方式，</w:t>
      </w:r>
      <w:r>
        <w:rPr>
          <w:rFonts w:hint="eastAsia" w:ascii="仿宋_GB2312" w:hAnsi="仿宋_GB2312" w:eastAsia="仿宋_GB2312" w:cs="仿宋_GB2312"/>
          <w:color w:val="000000"/>
          <w:kern w:val="0"/>
          <w:sz w:val="36"/>
          <w:szCs w:val="36"/>
          <w:lang w:bidi="ar"/>
        </w:rPr>
        <w:t>拓宽群众安置选择，推动剩余安置房转化为保障性租赁住房、公共租赁住房使用。</w:t>
      </w:r>
      <w:bookmarkEnd w:id="33"/>
      <w:bookmarkEnd w:id="34"/>
      <w:bookmarkEnd w:id="35"/>
      <w:bookmarkEnd w:id="36"/>
    </w:p>
    <w:p w14:paraId="2FCBAB98">
      <w:pPr>
        <w:widowControl/>
        <w:spacing w:line="640" w:lineRule="exact"/>
        <w:ind w:firstLine="720" w:firstLineChars="200"/>
        <w:outlineLvl w:val="1"/>
        <w:rPr>
          <w:rFonts w:ascii="仿宋_GB2312" w:hAnsi="仿宋_GB2312" w:eastAsia="仿宋_GB2312" w:cs="仿宋_GB2312"/>
          <w:color w:val="000000"/>
          <w:kern w:val="0"/>
          <w:sz w:val="36"/>
          <w:szCs w:val="36"/>
          <w:lang w:bidi="ar"/>
        </w:rPr>
      </w:pP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6A782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tcBorders>
              <w:top w:val="single" w:color="auto" w:sz="4" w:space="0"/>
              <w:left w:val="single" w:color="auto" w:sz="4" w:space="0"/>
              <w:bottom w:val="single" w:color="auto" w:sz="4" w:space="0"/>
              <w:right w:val="single" w:color="auto" w:sz="4" w:space="0"/>
            </w:tcBorders>
          </w:tcPr>
          <w:p w14:paraId="68D91DBF">
            <w:pPr>
              <w:widowControl/>
              <w:spacing w:line="480" w:lineRule="exact"/>
              <w:jc w:val="center"/>
              <w:rPr>
                <w:rFonts w:eastAsia="黑体"/>
                <w:kern w:val="0"/>
                <w:sz w:val="28"/>
                <w:szCs w:val="28"/>
                <w:lang w:bidi="ar"/>
              </w:rPr>
            </w:pPr>
            <w:r>
              <w:rPr>
                <w:rFonts w:hint="eastAsia" w:ascii="黑体" w:hAnsi="黑体" w:eastAsia="黑体" w:cs="黑体"/>
                <w:kern w:val="0"/>
                <w:sz w:val="28"/>
                <w:szCs w:val="28"/>
                <w:lang w:bidi="ar"/>
              </w:rPr>
              <w:t>专栏3 加快</w:t>
            </w:r>
            <w:r>
              <w:rPr>
                <w:rFonts w:eastAsia="黑体"/>
                <w:kern w:val="0"/>
                <w:sz w:val="28"/>
                <w:szCs w:val="28"/>
                <w:lang w:bidi="ar"/>
              </w:rPr>
              <w:t>解决群众逾期未安置问题</w:t>
            </w:r>
          </w:p>
          <w:p w14:paraId="72471540">
            <w:pPr>
              <w:widowControl/>
              <w:spacing w:line="480" w:lineRule="exact"/>
              <w:ind w:firstLine="560" w:firstLineChars="200"/>
              <w:rPr>
                <w:rFonts w:ascii="仿宋_GB2312" w:hAnsi="仿宋_GB2312" w:eastAsia="仿宋_GB2312" w:cs="仿宋_GB2312"/>
                <w:sz w:val="36"/>
                <w:szCs w:val="36"/>
              </w:rPr>
            </w:pPr>
            <w:r>
              <w:rPr>
                <w:rFonts w:hint="eastAsia" w:ascii="仿宋_GB2312" w:hAnsi="仿宋_GB2312" w:eastAsia="仿宋_GB2312" w:cs="仿宋_GB2312"/>
                <w:kern w:val="0"/>
                <w:sz w:val="28"/>
                <w:szCs w:val="28"/>
                <w:lang w:bidi="ar"/>
              </w:rPr>
              <w:t>坚持“以区为主、市区协同；问题导向、分类施策；明确节点、分批推进”，逐项目明确时间表和实施路径，统筹利用存量安置房等各类房源，促进安置房早开工、早建成、早交付，让已签订补偿安置协议、长期未回迁的群众早日“住有所居”。</w:t>
            </w:r>
          </w:p>
        </w:tc>
      </w:tr>
    </w:tbl>
    <w:p w14:paraId="67CC8926">
      <w:pPr>
        <w:pStyle w:val="2"/>
        <w:widowControl/>
        <w:spacing w:line="640" w:lineRule="exact"/>
        <w:ind w:firstLine="720" w:firstLineChars="200"/>
        <w:rPr>
          <w:rFonts w:ascii="Times New Roman" w:hAnsi="Times New Roman" w:cs="Times New Roman"/>
          <w:color w:val="000000"/>
          <w:kern w:val="0"/>
          <w:sz w:val="36"/>
          <w:szCs w:val="36"/>
          <w:lang w:bidi="ar"/>
        </w:rPr>
      </w:pPr>
      <w:bookmarkStart w:id="37" w:name="_Toc23962"/>
      <w:bookmarkStart w:id="38" w:name="_Toc27001"/>
      <w:bookmarkStart w:id="39" w:name="_Toc18218"/>
      <w:bookmarkStart w:id="40" w:name="_Toc28020"/>
      <w:bookmarkStart w:id="41" w:name="_Toc28700"/>
      <w:r>
        <w:rPr>
          <w:rStyle w:val="12"/>
          <w:rFonts w:ascii="Times New Roman" w:hAnsi="Times New Roman" w:cs="Times New Roman"/>
          <w:sz w:val="36"/>
          <w:szCs w:val="36"/>
        </w:rPr>
        <w:t>三、完善住房租赁体系，</w:t>
      </w:r>
      <w:bookmarkEnd w:id="37"/>
      <w:r>
        <w:rPr>
          <w:rStyle w:val="12"/>
          <w:rFonts w:ascii="Times New Roman" w:hAnsi="Times New Roman" w:cs="Times New Roman"/>
          <w:sz w:val="36"/>
          <w:szCs w:val="36"/>
        </w:rPr>
        <w:t>按需施策提升保障实效</w:t>
      </w:r>
      <w:bookmarkEnd w:id="38"/>
      <w:bookmarkEnd w:id="39"/>
      <w:bookmarkEnd w:id="40"/>
      <w:bookmarkEnd w:id="41"/>
    </w:p>
    <w:p w14:paraId="4C3188EF">
      <w:pPr>
        <w:widowControl/>
        <w:spacing w:line="640" w:lineRule="exact"/>
        <w:ind w:firstLine="720" w:firstLineChars="200"/>
        <w:outlineLvl w:val="1"/>
        <w:rPr>
          <w:rFonts w:ascii="仿宋_GB2312" w:hAnsi="仿宋_GB2312" w:eastAsia="仿宋_GB2312" w:cs="仿宋_GB2312"/>
          <w:color w:val="000000"/>
          <w:kern w:val="0"/>
          <w:sz w:val="36"/>
          <w:szCs w:val="36"/>
          <w:lang w:bidi="ar"/>
        </w:rPr>
      </w:pPr>
      <w:bookmarkStart w:id="42" w:name="_Toc9132"/>
      <w:bookmarkStart w:id="43" w:name="_Toc15862"/>
      <w:bookmarkStart w:id="44" w:name="_Toc5025"/>
      <w:bookmarkStart w:id="45" w:name="_Toc2437"/>
      <w:bookmarkStart w:id="46" w:name="_Toc11276"/>
      <w:r>
        <w:rPr>
          <w:rStyle w:val="13"/>
          <w:rFonts w:hint="default" w:ascii="Times New Roman" w:hAnsi="Times New Roman" w:eastAsia="楷体_GB2312" w:cs="Times New Roman"/>
          <w:b w:val="0"/>
        </w:rPr>
        <w:t>（七）加强公共租赁住房精准分层分类兜底基本民生保</w:t>
      </w:r>
      <w:bookmarkStart w:id="47" w:name="_Toc1096230499"/>
      <w:r>
        <w:rPr>
          <w:rStyle w:val="13"/>
          <w:rFonts w:hint="default" w:ascii="Times New Roman" w:hAnsi="Times New Roman" w:eastAsia="楷体_GB2312" w:cs="Times New Roman"/>
          <w:b w:val="0"/>
        </w:rPr>
        <w:t>障</w:t>
      </w:r>
      <w:bookmarkEnd w:id="42"/>
      <w:bookmarkEnd w:id="47"/>
      <w:r>
        <w:rPr>
          <w:rFonts w:eastAsia="楷体_GB2312"/>
          <w:color w:val="000000"/>
          <w:kern w:val="0"/>
          <w:sz w:val="36"/>
          <w:szCs w:val="36"/>
          <w:lang w:bidi="ar"/>
        </w:rPr>
        <w:t>。</w:t>
      </w:r>
      <w:r>
        <w:rPr>
          <w:rFonts w:hint="eastAsia" w:ascii="仿宋_GB2312" w:hAnsi="仿宋_GB2312" w:eastAsia="仿宋_GB2312" w:cs="仿宋_GB2312"/>
          <w:color w:val="000000"/>
          <w:kern w:val="0"/>
          <w:sz w:val="36"/>
          <w:szCs w:val="36"/>
          <w:lang w:bidi="ar"/>
        </w:rPr>
        <w:t>优化公共租赁住房政策设计，分层分类确定保障对象认定标准，准入条件与人均可支配收入水平联动并动态调整，在户型配租等方面加大对多子女家庭的支持。城市低保、低收入等特殊困难家庭依申请</w:t>
      </w:r>
      <w:r>
        <w:rPr>
          <w:rFonts w:hint="eastAsia" w:ascii="仿宋_GB2312" w:hAnsi="仿宋_GB2312" w:eastAsia="仿宋_GB2312" w:cs="仿宋_GB2312"/>
          <w:kern w:val="0"/>
          <w:sz w:val="36"/>
          <w:szCs w:val="36"/>
          <w:lang w:bidi="ar"/>
        </w:rPr>
        <w:t>“应保尽保”，优抚、见义勇为等优先家庭依申请“能保尽保”，</w:t>
      </w:r>
      <w:r>
        <w:rPr>
          <w:rFonts w:hint="eastAsia" w:ascii="仿宋_GB2312" w:hAnsi="仿宋_GB2312" w:eastAsia="仿宋_GB2312" w:cs="仿宋_GB2312"/>
          <w:color w:val="000000"/>
          <w:kern w:val="0"/>
          <w:sz w:val="36"/>
          <w:szCs w:val="36"/>
          <w:lang w:bidi="ar"/>
        </w:rPr>
        <w:t>其他符合条件家庭通过实物保障和货币补贴实现动态保障，公共租赁住房备案家庭保障率保持在</w:t>
      </w:r>
      <w:r>
        <w:rPr>
          <w:rFonts w:ascii="仿宋_GB2312" w:hAnsi="仿宋_GB2312" w:eastAsia="仿宋_GB2312" w:cs="仿宋_GB2312"/>
          <w:color w:val="000000"/>
          <w:kern w:val="0"/>
          <w:sz w:val="36"/>
          <w:szCs w:val="36"/>
          <w:lang w:bidi="ar"/>
        </w:rPr>
        <w:t>85%</w:t>
      </w:r>
      <w:r>
        <w:rPr>
          <w:rFonts w:hint="eastAsia" w:ascii="仿宋_GB2312" w:hAnsi="仿宋_GB2312" w:eastAsia="仿宋_GB2312" w:cs="仿宋_GB2312"/>
          <w:color w:val="000000"/>
          <w:kern w:val="0"/>
          <w:sz w:val="36"/>
          <w:szCs w:val="36"/>
          <w:lang w:bidi="ar"/>
        </w:rPr>
        <w:t>以上。逐步提升公共租赁住房资格审核效率和精准度，提高群众办事便利性。统筹公共租赁住房房源分配，完善调剂机制，提升房源使用效率。完善渐进式退出机制，合理设置过渡期，执行差异</w:t>
      </w:r>
      <w:r>
        <w:rPr>
          <w:rFonts w:hint="eastAsia" w:ascii="仿宋_GB2312" w:hAnsi="仿宋_GB2312" w:eastAsia="仿宋_GB2312" w:cs="仿宋_GB2312"/>
          <w:kern w:val="0"/>
          <w:sz w:val="36"/>
          <w:szCs w:val="36"/>
          <w:lang w:bidi="ar"/>
        </w:rPr>
        <w:t>化的退出标准，提升退出管理效率，探索闲置公共租赁住房统筹使用路径。加强公共租赁住房运营管理，完善租金定价和补贴政策。</w:t>
      </w:r>
      <w:bookmarkEnd w:id="43"/>
      <w:bookmarkEnd w:id="44"/>
      <w:bookmarkEnd w:id="45"/>
      <w:bookmarkEnd w:id="46"/>
    </w:p>
    <w:p w14:paraId="38E77D76">
      <w:pPr>
        <w:spacing w:line="640" w:lineRule="exact"/>
        <w:ind w:firstLine="720" w:firstLineChars="200"/>
        <w:outlineLvl w:val="1"/>
        <w:rPr>
          <w:sz w:val="36"/>
          <w:szCs w:val="36"/>
        </w:rPr>
      </w:pPr>
      <w:bookmarkStart w:id="48" w:name="_Toc24809"/>
      <w:bookmarkStart w:id="49" w:name="_Toc25065"/>
      <w:bookmarkStart w:id="50" w:name="_Toc12052"/>
      <w:bookmarkStart w:id="51" w:name="_Toc8989"/>
      <w:bookmarkStart w:id="52" w:name="_Toc21204"/>
      <w:r>
        <w:rPr>
          <w:rStyle w:val="13"/>
          <w:rFonts w:hint="default" w:ascii="Times New Roman" w:hAnsi="Times New Roman" w:eastAsia="楷体_GB2312" w:cs="Times New Roman"/>
          <w:b w:val="0"/>
        </w:rPr>
        <w:t>（八）强化政策支持，推动市场化运作，发挥保障性租赁住房的调节功能</w:t>
      </w:r>
      <w:bookmarkEnd w:id="48"/>
      <w:r>
        <w:rPr>
          <w:rFonts w:eastAsia="楷体_GB2312"/>
          <w:color w:val="000000"/>
          <w:kern w:val="0"/>
          <w:sz w:val="36"/>
          <w:szCs w:val="36"/>
          <w:lang w:bidi="ar"/>
        </w:rPr>
        <w:t>。</w:t>
      </w:r>
      <w:r>
        <w:rPr>
          <w:rFonts w:hint="eastAsia" w:ascii="仿宋_GB2312" w:hAnsi="仿宋_GB2312" w:eastAsia="仿宋_GB2312" w:cs="仿宋_GB2312"/>
          <w:color w:val="000000"/>
          <w:kern w:val="0"/>
          <w:sz w:val="36"/>
          <w:szCs w:val="36"/>
          <w:lang w:bidi="ar"/>
        </w:rPr>
        <w:t>坚持以需定供，优化保障性租赁住房布局，重点在租赁需求旺盛、产业园区周边区域增加供给，更好满足新市民、青年人、新就业群体租赁需求。</w:t>
      </w:r>
      <w:r>
        <w:rPr>
          <w:rFonts w:hint="eastAsia" w:ascii="仿宋_GB2312" w:hAnsi="仿宋_GB2312" w:eastAsia="仿宋_GB2312" w:cs="仿宋_GB2312"/>
          <w:kern w:val="0"/>
          <w:sz w:val="36"/>
          <w:szCs w:val="36"/>
          <w:lang w:bidi="ar"/>
        </w:rPr>
        <w:t>优化产品供给结构，增加宿舍型、公寓型供应，新增保障性租赁住房中公寓型和宿舍型占比</w:t>
      </w:r>
      <w:r>
        <w:rPr>
          <w:rFonts w:hint="eastAsia" w:ascii="仿宋_GB2312" w:hAnsi="仿宋_GB2312" w:eastAsia="仿宋_GB2312" w:cs="仿宋_GB2312"/>
          <w:color w:val="000000"/>
          <w:kern w:val="0"/>
          <w:sz w:val="36"/>
          <w:szCs w:val="36"/>
          <w:lang w:bidi="ar"/>
        </w:rPr>
        <w:t>达到</w:t>
      </w:r>
      <w:r>
        <w:rPr>
          <w:rFonts w:ascii="仿宋_GB2312" w:hAnsi="仿宋_GB2312" w:eastAsia="仿宋_GB2312" w:cs="仿宋_GB2312"/>
          <w:color w:val="000000"/>
          <w:kern w:val="0"/>
          <w:sz w:val="36"/>
          <w:szCs w:val="36"/>
          <w:lang w:bidi="ar"/>
        </w:rPr>
        <w:t>60%以上，其中宿舍型占比达到30%以上</w:t>
      </w:r>
      <w:r>
        <w:rPr>
          <w:rFonts w:hint="eastAsia" w:ascii="仿宋_GB2312" w:hAnsi="仿宋_GB2312" w:eastAsia="仿宋_GB2312" w:cs="仿宋_GB2312"/>
          <w:color w:val="000000"/>
          <w:kern w:val="0"/>
          <w:sz w:val="36"/>
          <w:szCs w:val="36"/>
          <w:lang w:bidi="ar"/>
        </w:rPr>
        <w:t>。依法依规、稳慎推进非居建筑改建保障性租赁住房，优化非居改建标准和审批流程。鼓励市、区属国企将存量商办项目盘活改建，按宿舍管理、按床位出租；将剩余安置房、空置公共租赁住房以及闲置低效楼宇等存量房屋，在确保安全的前提下改造为“一张床”“一间房”产品；支持园区配套公寓建设，鼓励将流动性较高的租赁需求纳入城中村或园区改造方案统筹解决；拓宽保障性住房供给渠道，存量资源盘活占新增保障性租赁住房的比例达到</w:t>
      </w:r>
      <w:r>
        <w:rPr>
          <w:rFonts w:ascii="仿宋_GB2312" w:hAnsi="仿宋_GB2312" w:eastAsia="仿宋_GB2312" w:cs="仿宋_GB2312"/>
          <w:color w:val="000000"/>
          <w:kern w:val="0"/>
          <w:sz w:val="36"/>
          <w:szCs w:val="36"/>
          <w:lang w:bidi="ar"/>
        </w:rPr>
        <w:t>60%以</w:t>
      </w:r>
      <w:r>
        <w:rPr>
          <w:rFonts w:hint="eastAsia" w:ascii="仿宋_GB2312" w:hAnsi="仿宋_GB2312" w:eastAsia="仿宋_GB2312" w:cs="仿宋_GB2312"/>
          <w:color w:val="000000"/>
          <w:kern w:val="0"/>
          <w:sz w:val="36"/>
          <w:szCs w:val="36"/>
          <w:lang w:bidi="ar"/>
        </w:rPr>
        <w:t>上。</w:t>
      </w:r>
      <w:bookmarkEnd w:id="49"/>
      <w:r>
        <w:rPr>
          <w:rFonts w:hint="eastAsia" w:ascii="仿宋_GB2312" w:hAnsi="仿宋_GB2312" w:eastAsia="仿宋_GB2312" w:cs="仿宋_GB2312"/>
          <w:color w:val="000000"/>
          <w:kern w:val="0"/>
          <w:sz w:val="36"/>
          <w:szCs w:val="36"/>
          <w:lang w:bidi="ar"/>
        </w:rPr>
        <w:t>以租金可负担、通勤更便捷为目标，健全青年人才住房支持政策，有序推进青年公寓试点。鼓励符合条件的市场租赁住房纳入保障性租赁住房管理，支持符合条件的租赁住房项目发行基础设施领域不动产投资信托基金（REITs）。</w:t>
      </w:r>
      <w:bookmarkEnd w:id="50"/>
      <w:bookmarkEnd w:id="51"/>
      <w:bookmarkEnd w:id="52"/>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5F2BF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tcBorders>
              <w:top w:val="single" w:color="auto" w:sz="4" w:space="0"/>
              <w:left w:val="single" w:color="auto" w:sz="4" w:space="0"/>
              <w:bottom w:val="single" w:color="auto" w:sz="4" w:space="0"/>
              <w:right w:val="single" w:color="auto" w:sz="4" w:space="0"/>
            </w:tcBorders>
          </w:tcPr>
          <w:p w14:paraId="7652D1B2">
            <w:pPr>
              <w:widowControl/>
              <w:spacing w:line="480" w:lineRule="exact"/>
              <w:jc w:val="center"/>
              <w:rPr>
                <w:rFonts w:ascii="黑体" w:hAnsi="黑体" w:eastAsia="黑体" w:cs="黑体"/>
                <w:kern w:val="0"/>
                <w:sz w:val="28"/>
                <w:szCs w:val="28"/>
                <w:lang w:bidi="ar"/>
              </w:rPr>
            </w:pPr>
            <w:r>
              <w:rPr>
                <w:rFonts w:hint="eastAsia" w:ascii="黑体" w:hAnsi="黑体" w:eastAsia="黑体" w:cs="黑体"/>
                <w:kern w:val="0"/>
                <w:sz w:val="28"/>
                <w:szCs w:val="28"/>
                <w:lang w:bidi="ar"/>
              </w:rPr>
              <w:t>专栏4 加强青年人和城市运行服务保障人员居住支持</w:t>
            </w:r>
          </w:p>
          <w:p w14:paraId="32050EF3">
            <w:pPr>
              <w:widowControl/>
              <w:spacing w:line="48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lang w:bidi="ar"/>
              </w:rPr>
              <w:t>完善“租补购服”并举的青年人才安居支持政策体系，满足青年人多样化租赁需求。坚持市级统筹、以区为主，鼓励各区和用人单位向青年人才提供租房补贴，</w:t>
            </w:r>
            <w:r>
              <w:rPr>
                <w:rFonts w:hint="eastAsia" w:ascii="仿宋_GB2312" w:hAnsi="仿宋_GB2312" w:eastAsia="仿宋_GB2312" w:cs="仿宋_GB2312"/>
                <w:kern w:val="0"/>
                <w:sz w:val="28"/>
                <w:szCs w:val="28"/>
                <w:lang w:bidi="ar"/>
              </w:rPr>
              <w:t>在就业集聚区周边统筹“一间房”供给，构建青年人才服务平台，打造北京特色安居品牌。</w:t>
            </w:r>
          </w:p>
          <w:p w14:paraId="5DD83B4E">
            <w:pPr>
              <w:widowControl/>
              <w:spacing w:line="480" w:lineRule="exact"/>
              <w:ind w:firstLine="560" w:firstLineChars="200"/>
            </w:pPr>
            <w:r>
              <w:rPr>
                <w:rFonts w:hint="eastAsia" w:ascii="仿宋_GB2312" w:hAnsi="仿宋_GB2312" w:eastAsia="仿宋_GB2312" w:cs="仿宋_GB2312"/>
                <w:kern w:val="0"/>
                <w:sz w:val="28"/>
                <w:szCs w:val="28"/>
                <w:lang w:bidi="ar"/>
              </w:rPr>
              <w:t>依托行业主管部门、平台企业等摸清城市运行服务保障人员居住需求，按需筹集房源并统一对接管理。推行运营主体与用工单位、个人签订三方租赁合同，租金尽量接近租住群体的可负担能力。支持行业协会、市场主体开展返工季、毕业季租房对接活动，让城市运行服务保障人员、青年人就近租得到、租得起、住得稳。</w:t>
            </w:r>
          </w:p>
        </w:tc>
      </w:tr>
    </w:tbl>
    <w:p w14:paraId="354AFBC2">
      <w:pPr>
        <w:widowControl/>
        <w:spacing w:line="640" w:lineRule="exact"/>
        <w:ind w:firstLine="720" w:firstLineChars="200"/>
        <w:outlineLvl w:val="1"/>
        <w:rPr>
          <w:rFonts w:ascii="仿宋_GB2312" w:hAnsi="仿宋_GB2312" w:eastAsia="仿宋_GB2312" w:cs="仿宋_GB2312"/>
          <w:sz w:val="32"/>
          <w:szCs w:val="32"/>
        </w:rPr>
      </w:pPr>
      <w:bookmarkStart w:id="53" w:name="_Toc7110"/>
      <w:bookmarkStart w:id="54" w:name="_Toc24004"/>
      <w:bookmarkStart w:id="55" w:name="_Toc5667"/>
      <w:bookmarkStart w:id="56" w:name="_Toc22484"/>
      <w:bookmarkStart w:id="57" w:name="_Toc3703"/>
      <w:r>
        <w:rPr>
          <w:rStyle w:val="13"/>
          <w:rFonts w:hint="default" w:ascii="楷体_GB2312" w:hAnsi="楷体_GB2312" w:eastAsia="楷体_GB2312" w:cs="楷体_GB2312"/>
          <w:b w:val="0"/>
        </w:rPr>
        <w:t>（九）充分发挥规范化多样化的市场租赁主体作</w:t>
      </w:r>
      <w:bookmarkStart w:id="58" w:name="_Toc1310590781"/>
      <w:r>
        <w:rPr>
          <w:rStyle w:val="13"/>
          <w:rFonts w:hint="default" w:ascii="楷体_GB2312" w:hAnsi="楷体_GB2312" w:eastAsia="楷体_GB2312" w:cs="楷体_GB2312"/>
          <w:b w:val="0"/>
        </w:rPr>
        <w:t>用</w:t>
      </w:r>
      <w:bookmarkEnd w:id="53"/>
      <w:bookmarkEnd w:id="58"/>
      <w:r>
        <w:rPr>
          <w:rStyle w:val="13"/>
          <w:rFonts w:hint="default" w:ascii="楷体_GB2312" w:hAnsi="楷体_GB2312" w:eastAsia="楷体_GB2312" w:cs="楷体_GB2312"/>
          <w:b w:val="0"/>
        </w:rPr>
        <w:t>。</w:t>
      </w:r>
      <w:r>
        <w:rPr>
          <w:rFonts w:hint="eastAsia" w:ascii="仿宋_GB2312" w:hAnsi="仿宋_GB2312" w:eastAsia="仿宋_GB2312" w:cs="仿宋_GB2312"/>
          <w:color w:val="000000"/>
          <w:kern w:val="0"/>
          <w:sz w:val="36"/>
          <w:szCs w:val="36"/>
          <w:lang w:bidi="ar"/>
        </w:rPr>
        <w:t>落实《北京市住房租赁条例》，坚持租赁管理与服务相结合，将住房租赁纳入基层治理体系，夯实属地主体责任，强化部门协同联动。</w:t>
      </w:r>
      <w:r>
        <w:rPr>
          <w:rFonts w:hint="eastAsia" w:ascii="仿宋_GB2312" w:hAnsi="仿宋_GB2312" w:eastAsia="仿宋_GB2312" w:cs="仿宋_GB2312"/>
          <w:color w:val="000000"/>
          <w:sz w:val="36"/>
          <w:szCs w:val="36"/>
          <w:lang w:bidi="ar"/>
        </w:rPr>
        <w:t>支持租房群体依法依规更好地享受基本公共服务。</w:t>
      </w:r>
      <w:r>
        <w:rPr>
          <w:rFonts w:hint="eastAsia" w:ascii="仿宋_GB2312" w:hAnsi="仿宋_GB2312" w:eastAsia="仿宋_GB2312" w:cs="仿宋_GB2312"/>
          <w:color w:val="000000"/>
          <w:kern w:val="0"/>
          <w:sz w:val="36"/>
          <w:szCs w:val="36"/>
          <w:lang w:bidi="ar"/>
        </w:rPr>
        <w:t>加强租赁企业备案管理，健全租赁纠纷多元化解机制，</w:t>
      </w:r>
      <w:r>
        <w:rPr>
          <w:rFonts w:hint="eastAsia" w:ascii="仿宋_GB2312" w:hAnsi="仿宋_GB2312" w:eastAsia="仿宋_GB2312" w:cs="仿宋_GB2312"/>
          <w:kern w:val="0"/>
          <w:sz w:val="36"/>
          <w:szCs w:val="36"/>
          <w:lang w:bidi="ar"/>
        </w:rPr>
        <w:t>严厉打击租赁违法违规行为，</w:t>
      </w:r>
      <w:r>
        <w:rPr>
          <w:rFonts w:hint="eastAsia" w:ascii="仿宋_GB2312" w:hAnsi="仿宋_GB2312" w:eastAsia="仿宋_GB2312" w:cs="仿宋_GB2312"/>
          <w:color w:val="000000"/>
          <w:kern w:val="0"/>
          <w:sz w:val="36"/>
          <w:szCs w:val="36"/>
          <w:lang w:bidi="ar"/>
        </w:rPr>
        <w:t>维护租赁双方合法权益。加强市场监测分析，动态掌握市场变化，适时采取调节措施。支持培育专业化、规模化租赁运营机构，积极打造住房租赁经营品牌。</w:t>
      </w:r>
      <w:bookmarkEnd w:id="54"/>
      <w:bookmarkEnd w:id="55"/>
      <w:bookmarkEnd w:id="56"/>
      <w:bookmarkEnd w:id="57"/>
      <w:bookmarkStart w:id="59" w:name="_Toc28832"/>
      <w:bookmarkStart w:id="60" w:name="_Toc342456565_WPSOffice_Level1"/>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29192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tcBorders>
              <w:top w:val="single" w:color="auto" w:sz="4" w:space="0"/>
              <w:left w:val="single" w:color="auto" w:sz="4" w:space="0"/>
              <w:bottom w:val="single" w:color="auto" w:sz="4" w:space="0"/>
              <w:right w:val="single" w:color="auto" w:sz="4" w:space="0"/>
            </w:tcBorders>
          </w:tcPr>
          <w:p w14:paraId="4C7B8920">
            <w:pPr>
              <w:widowControl/>
              <w:spacing w:line="480" w:lineRule="exact"/>
              <w:jc w:val="center"/>
              <w:rPr>
                <w:rFonts w:ascii="黑体" w:hAnsi="黑体" w:eastAsia="黑体" w:cs="黑体"/>
                <w:kern w:val="0"/>
                <w:sz w:val="28"/>
                <w:szCs w:val="28"/>
                <w:lang w:bidi="ar"/>
              </w:rPr>
            </w:pPr>
            <w:r>
              <w:rPr>
                <w:rFonts w:hint="eastAsia" w:ascii="黑体" w:hAnsi="黑体" w:eastAsia="黑体" w:cs="黑体"/>
                <w:kern w:val="0"/>
                <w:sz w:val="28"/>
                <w:szCs w:val="28"/>
                <w:lang w:bidi="ar"/>
              </w:rPr>
              <w:t>专栏5 规范住房租赁市场秩序，维护租赁当事人合法权益</w:t>
            </w:r>
          </w:p>
          <w:p w14:paraId="326542C5">
            <w:pPr>
              <w:widowControl/>
              <w:spacing w:line="480" w:lineRule="exact"/>
              <w:ind w:firstLine="560" w:firstLineChars="200"/>
              <w:rPr>
                <w:rFonts w:ascii="仿宋_GB2312" w:hAnsi="仿宋_GB2312" w:eastAsia="仿宋_GB2312" w:cs="仿宋_GB2312"/>
                <w:sz w:val="36"/>
                <w:szCs w:val="36"/>
              </w:rPr>
            </w:pPr>
            <w:r>
              <w:rPr>
                <w:rFonts w:hint="eastAsia" w:ascii="仿宋_GB2312" w:hAnsi="仿宋_GB2312" w:eastAsia="仿宋_GB2312" w:cs="仿宋_GB2312"/>
                <w:kern w:val="0"/>
                <w:sz w:val="28"/>
                <w:szCs w:val="28"/>
                <w:lang w:bidi="ar"/>
              </w:rPr>
              <w:t>加强住房租赁企业备案管理，规范房源信息发布，推进租赁合同网签备案，规范租赁服务和收费。重点打击“未备案开展经营”“押金租金未纳入监管”“黑中介侵害群众利益”等违法违规行为，严厉查处房屋中介违法行为。健全租赁纠纷多元化解和协同治理机制，</w:t>
            </w:r>
            <w:r>
              <w:rPr>
                <w:rFonts w:hint="eastAsia" w:ascii="仿宋_GB2312" w:hAnsi="仿宋_GB2312" w:eastAsia="仿宋_GB2312" w:cs="仿宋_GB2312"/>
                <w:sz w:val="28"/>
                <w:szCs w:val="28"/>
                <w:lang w:bidi="ar"/>
              </w:rPr>
              <w:t>综合评价诉求响应率、问题解决率、群众满意率和重复投诉率等。</w:t>
            </w:r>
          </w:p>
        </w:tc>
      </w:tr>
    </w:tbl>
    <w:p w14:paraId="02F51830">
      <w:pPr>
        <w:pStyle w:val="2"/>
        <w:widowControl/>
        <w:spacing w:line="640" w:lineRule="exact"/>
        <w:ind w:firstLine="720" w:firstLineChars="200"/>
        <w:rPr>
          <w:rFonts w:ascii="Times New Roman" w:hAnsi="Times New Roman" w:cs="Times New Roman"/>
          <w:sz w:val="36"/>
          <w:szCs w:val="36"/>
        </w:rPr>
      </w:pPr>
      <w:bookmarkStart w:id="61" w:name="_Toc10021"/>
      <w:bookmarkStart w:id="62" w:name="_Toc8783"/>
      <w:bookmarkStart w:id="63" w:name="_Toc10813"/>
      <w:bookmarkStart w:id="64" w:name="_Toc15725"/>
      <w:r>
        <w:rPr>
          <w:rStyle w:val="12"/>
          <w:rFonts w:ascii="Times New Roman" w:hAnsi="Times New Roman" w:cs="Times New Roman"/>
          <w:sz w:val="36"/>
          <w:szCs w:val="36"/>
        </w:rPr>
        <w:t>四、分类有序推进</w:t>
      </w:r>
      <w:r>
        <w:rPr>
          <w:rStyle w:val="12"/>
          <w:rFonts w:hint="eastAsia" w:ascii="Times New Roman" w:hAnsi="Times New Roman" w:cs="Times New Roman"/>
          <w:sz w:val="36"/>
          <w:szCs w:val="36"/>
        </w:rPr>
        <w:t>居住领域城市更新</w:t>
      </w:r>
      <w:r>
        <w:rPr>
          <w:rStyle w:val="12"/>
          <w:rFonts w:ascii="Times New Roman" w:hAnsi="Times New Roman" w:cs="Times New Roman"/>
          <w:sz w:val="36"/>
          <w:szCs w:val="36"/>
        </w:rPr>
        <w:t>，打造</w:t>
      </w:r>
      <w:r>
        <w:rPr>
          <w:rStyle w:val="12"/>
          <w:rFonts w:hint="eastAsia" w:ascii="Times New Roman" w:hAnsi="Times New Roman" w:cs="Times New Roman"/>
          <w:sz w:val="36"/>
          <w:szCs w:val="36"/>
        </w:rPr>
        <w:t>宜居街区</w:t>
      </w:r>
      <w:bookmarkEnd w:id="59"/>
      <w:bookmarkEnd w:id="60"/>
      <w:bookmarkEnd w:id="61"/>
      <w:bookmarkEnd w:id="62"/>
      <w:bookmarkEnd w:id="63"/>
      <w:bookmarkEnd w:id="64"/>
      <w:bookmarkStart w:id="65" w:name="_Toc2612"/>
    </w:p>
    <w:p w14:paraId="50A7F59B">
      <w:pPr>
        <w:widowControl/>
        <w:spacing w:line="640" w:lineRule="exact"/>
        <w:ind w:firstLine="720" w:firstLineChars="200"/>
        <w:rPr>
          <w:rFonts w:ascii="仿宋_GB2312" w:hAnsi="仿宋_GB2312" w:eastAsia="仿宋_GB2312" w:cs="仿宋_GB2312"/>
          <w:color w:val="000000"/>
          <w:kern w:val="0"/>
          <w:sz w:val="36"/>
          <w:szCs w:val="36"/>
          <w:lang w:bidi="ar"/>
        </w:rPr>
      </w:pPr>
      <w:bookmarkStart w:id="66" w:name="_Toc5835"/>
      <w:bookmarkStart w:id="67" w:name="_Toc2902"/>
      <w:bookmarkStart w:id="68" w:name="_Toc21308"/>
      <w:bookmarkStart w:id="69" w:name="_Toc27484"/>
      <w:r>
        <w:rPr>
          <w:rStyle w:val="13"/>
          <w:rFonts w:hint="default" w:ascii="Times New Roman" w:hAnsi="Times New Roman" w:eastAsia="楷体_GB2312" w:cs="Times New Roman"/>
          <w:b w:val="0"/>
        </w:rPr>
        <w:t>（十）持续推进城镇老旧小区综合整治</w:t>
      </w:r>
      <w:bookmarkEnd w:id="65"/>
      <w:bookmarkEnd w:id="66"/>
      <w:bookmarkEnd w:id="67"/>
      <w:bookmarkEnd w:id="68"/>
      <w:bookmarkEnd w:id="69"/>
      <w:r>
        <w:rPr>
          <w:rFonts w:eastAsia="仿宋_GB2312"/>
          <w:color w:val="000000"/>
          <w:kern w:val="0"/>
          <w:sz w:val="36"/>
          <w:szCs w:val="36"/>
          <w:lang w:bidi="ar"/>
        </w:rPr>
        <w:t>。以建设安全、舒适、便利的宜居家园为目标，推动基础改造、功能改善、品质提升。</w:t>
      </w:r>
      <w:r>
        <w:rPr>
          <w:rFonts w:hint="eastAsia" w:eastAsia="仿宋_GB2312"/>
          <w:color w:val="000000"/>
          <w:kern w:val="0"/>
          <w:sz w:val="36"/>
          <w:szCs w:val="36"/>
          <w:lang w:bidi="ar"/>
        </w:rPr>
        <w:t>充分</w:t>
      </w:r>
      <w:r>
        <w:rPr>
          <w:rFonts w:eastAsia="仿宋_GB2312"/>
          <w:color w:val="000000"/>
          <w:kern w:val="0"/>
          <w:sz w:val="36"/>
          <w:szCs w:val="36"/>
          <w:lang w:bidi="ar"/>
        </w:rPr>
        <w:t>尊重居民意愿，发挥专业技术团队作</w:t>
      </w:r>
      <w:r>
        <w:rPr>
          <w:rFonts w:ascii="仿宋_GB2312" w:hAnsi="仿宋_GB2312" w:eastAsia="仿宋_GB2312" w:cs="仿宋_GB2312"/>
          <w:color w:val="000000"/>
          <w:kern w:val="0"/>
          <w:sz w:val="36"/>
          <w:szCs w:val="36"/>
          <w:lang w:bidi="ar"/>
        </w:rPr>
        <w:t>用</w:t>
      </w:r>
      <w:r>
        <w:rPr>
          <w:rFonts w:hint="eastAsia" w:ascii="仿宋_GB2312" w:hAnsi="仿宋_GB2312" w:eastAsia="仿宋_GB2312" w:cs="仿宋_GB2312"/>
          <w:color w:val="000000"/>
          <w:kern w:val="0"/>
          <w:sz w:val="36"/>
          <w:szCs w:val="36"/>
          <w:lang w:bidi="ar"/>
        </w:rPr>
        <w:t>，</w:t>
      </w:r>
      <w:r>
        <w:rPr>
          <w:rFonts w:ascii="仿宋_GB2312" w:hAnsi="仿宋_GB2312" w:eastAsia="仿宋_GB2312" w:cs="仿宋_GB2312"/>
          <w:color w:val="000000"/>
          <w:kern w:val="0"/>
          <w:sz w:val="36"/>
          <w:szCs w:val="36"/>
          <w:lang w:bidi="ar"/>
        </w:rPr>
        <w:t>组织居民全过程参与</w:t>
      </w:r>
      <w:r>
        <w:rPr>
          <w:rFonts w:hint="eastAsia" w:ascii="仿宋_GB2312" w:hAnsi="仿宋_GB2312" w:eastAsia="仿宋_GB2312" w:cs="仿宋_GB2312"/>
          <w:color w:val="000000"/>
          <w:kern w:val="0"/>
          <w:sz w:val="36"/>
          <w:szCs w:val="36"/>
          <w:lang w:bidi="ar"/>
        </w:rPr>
        <w:t>，</w:t>
      </w:r>
      <w:r>
        <w:rPr>
          <w:rFonts w:eastAsia="仿宋_GB2312"/>
          <w:color w:val="000000"/>
          <w:kern w:val="0"/>
          <w:sz w:val="36"/>
          <w:szCs w:val="36"/>
          <w:lang w:bidi="ar"/>
        </w:rPr>
        <w:t>改造内容和方案由居民共商共定</w:t>
      </w:r>
      <w:r>
        <w:rPr>
          <w:rFonts w:ascii="仿宋_GB2312" w:hAnsi="仿宋_GB2312" w:eastAsia="仿宋_GB2312" w:cs="仿宋_GB2312"/>
          <w:color w:val="000000"/>
          <w:kern w:val="0"/>
          <w:sz w:val="36"/>
          <w:szCs w:val="36"/>
          <w:lang w:bidi="ar"/>
        </w:rPr>
        <w:t>。统筹推进楼本体、环境和</w:t>
      </w:r>
      <w:r>
        <w:rPr>
          <w:rFonts w:hint="eastAsia" w:ascii="仿宋_GB2312" w:hAnsi="仿宋_GB2312" w:eastAsia="仿宋_GB2312" w:cs="仿宋_GB2312"/>
          <w:color w:val="000000"/>
          <w:kern w:val="0"/>
          <w:sz w:val="36"/>
          <w:szCs w:val="36"/>
          <w:lang w:bidi="ar"/>
        </w:rPr>
        <w:t>市政专业</w:t>
      </w:r>
      <w:r>
        <w:rPr>
          <w:rFonts w:ascii="仿宋_GB2312" w:hAnsi="仿宋_GB2312" w:eastAsia="仿宋_GB2312" w:cs="仿宋_GB2312"/>
          <w:color w:val="000000"/>
          <w:kern w:val="0"/>
          <w:sz w:val="36"/>
          <w:szCs w:val="36"/>
          <w:lang w:bidi="ar"/>
        </w:rPr>
        <w:t>管线等一体化改造，推动各类</w:t>
      </w:r>
      <w:r>
        <w:rPr>
          <w:rFonts w:hint="eastAsia" w:ascii="仿宋_GB2312" w:hAnsi="仿宋_GB2312" w:eastAsia="仿宋_GB2312" w:cs="仿宋_GB2312"/>
          <w:color w:val="000000"/>
          <w:kern w:val="0"/>
          <w:sz w:val="36"/>
          <w:szCs w:val="36"/>
          <w:lang w:bidi="ar"/>
        </w:rPr>
        <w:t>改造</w:t>
      </w:r>
      <w:r>
        <w:rPr>
          <w:rFonts w:ascii="仿宋_GB2312" w:hAnsi="仿宋_GB2312" w:eastAsia="仿宋_GB2312" w:cs="仿宋_GB2312"/>
          <w:color w:val="000000"/>
          <w:kern w:val="0"/>
          <w:sz w:val="36"/>
          <w:szCs w:val="36"/>
          <w:lang w:bidi="ar"/>
        </w:rPr>
        <w:t>只改一次、一次改到位。重点对建成20年以上的城镇住宅小区开展专项体检，继续推进2000年底前建成、居民改造意愿强烈的老旧小区改造，稳步推进2001年至2005年建成的市属老旧小区改造，</w:t>
      </w:r>
      <w:bookmarkStart w:id="70" w:name="OLE_LINK1"/>
      <w:r>
        <w:rPr>
          <w:rFonts w:ascii="仿宋_GB2312" w:hAnsi="仿宋_GB2312" w:eastAsia="仿宋_GB2312" w:cs="仿宋_GB2312"/>
          <w:color w:val="000000"/>
          <w:kern w:val="0"/>
          <w:sz w:val="36"/>
          <w:szCs w:val="36"/>
          <w:lang w:bidi="ar"/>
        </w:rPr>
        <w:t>更大力度推进央军产老旧小区改造</w:t>
      </w:r>
      <w:r>
        <w:rPr>
          <w:rFonts w:hint="eastAsia" w:ascii="仿宋_GB2312" w:hAnsi="仿宋_GB2312" w:eastAsia="仿宋_GB2312" w:cs="仿宋_GB2312"/>
          <w:color w:val="000000"/>
          <w:kern w:val="0"/>
          <w:sz w:val="36"/>
          <w:szCs w:val="36"/>
          <w:lang w:bidi="ar"/>
        </w:rPr>
        <w:t>，取得</w:t>
      </w:r>
      <w:r>
        <w:rPr>
          <w:rFonts w:ascii="仿宋_GB2312" w:hAnsi="仿宋_GB2312" w:eastAsia="仿宋_GB2312" w:cs="仿宋_GB2312"/>
          <w:color w:val="000000"/>
          <w:kern w:val="0"/>
          <w:sz w:val="36"/>
          <w:szCs w:val="36"/>
          <w:lang w:bidi="ar"/>
        </w:rPr>
        <w:t>积极新进展</w:t>
      </w:r>
      <w:bookmarkEnd w:id="70"/>
      <w:r>
        <w:rPr>
          <w:rFonts w:ascii="仿宋_GB2312" w:hAnsi="仿宋_GB2312" w:eastAsia="仿宋_GB2312" w:cs="仿宋_GB2312"/>
          <w:color w:val="000000"/>
          <w:kern w:val="0"/>
          <w:sz w:val="36"/>
          <w:szCs w:val="36"/>
          <w:lang w:bidi="ar"/>
        </w:rPr>
        <w:t>。</w:t>
      </w:r>
      <w:r>
        <w:rPr>
          <w:rFonts w:hint="eastAsia" w:ascii="仿宋_GB2312" w:hAnsi="仿宋_GB2312" w:eastAsia="仿宋_GB2312" w:cs="仿宋_GB2312"/>
          <w:color w:val="000000"/>
          <w:kern w:val="0"/>
          <w:sz w:val="36"/>
          <w:szCs w:val="36"/>
          <w:lang w:bidi="ar"/>
        </w:rPr>
        <w:t>“</w:t>
      </w:r>
      <w:r>
        <w:rPr>
          <w:rFonts w:ascii="仿宋_GB2312" w:hAnsi="仿宋_GB2312" w:eastAsia="仿宋_GB2312" w:cs="仿宋_GB2312"/>
          <w:color w:val="000000"/>
          <w:kern w:val="0"/>
          <w:sz w:val="36"/>
          <w:szCs w:val="36"/>
          <w:lang w:bidi="ar"/>
        </w:rPr>
        <w:t>十五五</w:t>
      </w:r>
      <w:r>
        <w:rPr>
          <w:rFonts w:hint="eastAsia" w:ascii="仿宋_GB2312" w:hAnsi="仿宋_GB2312" w:eastAsia="仿宋_GB2312" w:cs="仿宋_GB2312"/>
          <w:color w:val="000000"/>
          <w:kern w:val="0"/>
          <w:sz w:val="36"/>
          <w:szCs w:val="36"/>
          <w:lang w:bidi="ar"/>
        </w:rPr>
        <w:t>”</w:t>
      </w:r>
      <w:r>
        <w:rPr>
          <w:rFonts w:ascii="仿宋_GB2312" w:hAnsi="仿宋_GB2312" w:eastAsia="仿宋_GB2312" w:cs="仿宋_GB2312"/>
          <w:color w:val="000000"/>
          <w:kern w:val="0"/>
          <w:sz w:val="36"/>
          <w:szCs w:val="36"/>
          <w:lang w:bidi="ar"/>
        </w:rPr>
        <w:t>时期新开工改造城镇老旧小区数量不少于1000个，加装电梯不少于3500部，用好各种优惠政策支持2万台以上住宅老旧电梯实施更新。加强改造质量全过程把控，健全改造后长效机制。鼓励企业在老旧小区改造中提供室内装修改造集成包</w:t>
      </w:r>
      <w:r>
        <w:rPr>
          <w:rFonts w:hint="eastAsia" w:ascii="仿宋_GB2312" w:hAnsi="仿宋_GB2312" w:eastAsia="仿宋_GB2312" w:cs="仿宋_GB2312"/>
          <w:color w:val="000000"/>
          <w:kern w:val="0"/>
          <w:sz w:val="36"/>
          <w:szCs w:val="36"/>
          <w:lang w:bidi="ar"/>
        </w:rPr>
        <w:t>，</w:t>
      </w:r>
      <w:r>
        <w:rPr>
          <w:rFonts w:ascii="仿宋_GB2312" w:hAnsi="仿宋_GB2312" w:eastAsia="仿宋_GB2312" w:cs="仿宋_GB2312"/>
          <w:color w:val="000000"/>
          <w:kern w:val="0"/>
          <w:sz w:val="36"/>
          <w:szCs w:val="36"/>
          <w:lang w:bidi="ar"/>
        </w:rPr>
        <w:t>聚焦绿色、智能、适老等需求，推出存量房整体改善和局部改造</w:t>
      </w:r>
      <w:r>
        <w:rPr>
          <w:rFonts w:hint="eastAsia" w:ascii="仿宋_GB2312" w:hAnsi="仿宋_GB2312" w:eastAsia="仿宋_GB2312" w:cs="仿宋_GB2312"/>
          <w:color w:val="000000"/>
          <w:kern w:val="0"/>
          <w:sz w:val="36"/>
          <w:szCs w:val="36"/>
          <w:lang w:bidi="ar"/>
        </w:rPr>
        <w:t>多样化</w:t>
      </w:r>
      <w:r>
        <w:rPr>
          <w:rFonts w:ascii="仿宋_GB2312" w:hAnsi="仿宋_GB2312" w:eastAsia="仿宋_GB2312" w:cs="仿宋_GB2312"/>
          <w:color w:val="000000"/>
          <w:kern w:val="0"/>
          <w:sz w:val="36"/>
          <w:szCs w:val="36"/>
          <w:lang w:bidi="ar"/>
        </w:rPr>
        <w:t>方案，满足焕新升级需求。</w:t>
      </w:r>
    </w:p>
    <w:p w14:paraId="1CD27187">
      <w:pPr>
        <w:widowControl/>
        <w:spacing w:line="640" w:lineRule="exact"/>
        <w:ind w:firstLine="720" w:firstLineChars="200"/>
        <w:outlineLvl w:val="1"/>
        <w:rPr>
          <w:rFonts w:ascii="仿宋_GB2312" w:hAnsi="仿宋_GB2312" w:eastAsia="仿宋_GB2312" w:cs="仿宋_GB2312"/>
          <w:color w:val="000000"/>
          <w:kern w:val="0"/>
          <w:sz w:val="36"/>
          <w:szCs w:val="36"/>
          <w:lang w:bidi="ar"/>
        </w:rPr>
      </w:pPr>
      <w:bookmarkStart w:id="71" w:name="_Toc15298"/>
      <w:bookmarkStart w:id="72" w:name="_Toc385"/>
      <w:bookmarkStart w:id="73" w:name="_Toc22727"/>
      <w:bookmarkStart w:id="74" w:name="_Toc5940"/>
      <w:bookmarkStart w:id="75" w:name="_Toc20447"/>
      <w:r>
        <w:rPr>
          <w:rStyle w:val="13"/>
          <w:rFonts w:hint="default" w:ascii="Times New Roman" w:hAnsi="Times New Roman" w:eastAsia="楷体_GB2312" w:cs="Times New Roman"/>
          <w:b w:val="0"/>
        </w:rPr>
        <w:t>（十一）积极稳步推进城镇危旧房治理</w:t>
      </w:r>
      <w:bookmarkEnd w:id="71"/>
      <w:r>
        <w:rPr>
          <w:rFonts w:eastAsia="楷体_GB2312"/>
          <w:color w:val="000000"/>
          <w:kern w:val="0"/>
          <w:sz w:val="36"/>
          <w:szCs w:val="36"/>
          <w:lang w:bidi="ar"/>
        </w:rPr>
        <w:t>。</w:t>
      </w:r>
      <w:r>
        <w:rPr>
          <w:rFonts w:ascii="仿宋_GB2312" w:hAnsi="仿宋_GB2312" w:eastAsia="仿宋_GB2312" w:cs="仿宋_GB2312"/>
          <w:color w:val="000000"/>
          <w:kern w:val="0"/>
          <w:sz w:val="36"/>
          <w:szCs w:val="36"/>
          <w:lang w:bidi="ar"/>
        </w:rPr>
        <w:t>坚持依法依规、合理改善、成本可控、模式可持续、注重实效，健全以确保安全为底线的城镇危旧房常态化治理机制，落实房屋使用安全责任，</w:t>
      </w:r>
      <w:r>
        <w:rPr>
          <w:rFonts w:hint="eastAsia" w:ascii="仿宋_GB2312" w:hAnsi="仿宋_GB2312" w:eastAsia="仿宋_GB2312" w:cs="仿宋_GB2312"/>
          <w:color w:val="000000"/>
          <w:kern w:val="0"/>
          <w:sz w:val="36"/>
          <w:szCs w:val="36"/>
          <w:lang w:bidi="ar"/>
        </w:rPr>
        <w:t>有序开展</w:t>
      </w:r>
      <w:r>
        <w:rPr>
          <w:rFonts w:ascii="仿宋_GB2312" w:hAnsi="仿宋_GB2312" w:eastAsia="仿宋_GB2312" w:cs="仿宋_GB2312"/>
          <w:color w:val="000000"/>
          <w:kern w:val="0"/>
          <w:sz w:val="36"/>
          <w:szCs w:val="36"/>
          <w:lang w:bidi="ar"/>
        </w:rPr>
        <w:t>城镇</w:t>
      </w:r>
      <w:r>
        <w:rPr>
          <w:rFonts w:hint="eastAsia" w:ascii="仿宋_GB2312" w:hAnsi="仿宋_GB2312" w:eastAsia="仿宋_GB2312" w:cs="仿宋_GB2312"/>
          <w:color w:val="000000"/>
          <w:kern w:val="0"/>
          <w:sz w:val="36"/>
          <w:szCs w:val="36"/>
          <w:lang w:bidi="ar"/>
        </w:rPr>
        <w:t>房屋</w:t>
      </w:r>
      <w:r>
        <w:rPr>
          <w:rFonts w:ascii="仿宋_GB2312" w:hAnsi="仿宋_GB2312" w:eastAsia="仿宋_GB2312" w:cs="仿宋_GB2312"/>
          <w:color w:val="000000"/>
          <w:kern w:val="0"/>
          <w:sz w:val="36"/>
          <w:szCs w:val="36"/>
          <w:lang w:bidi="ar"/>
        </w:rPr>
        <w:t>安全鉴定，</w:t>
      </w:r>
      <w:r>
        <w:rPr>
          <w:rFonts w:hint="eastAsia" w:ascii="仿宋_GB2312" w:hAnsi="仿宋_GB2312" w:eastAsia="仿宋_GB2312" w:cs="仿宋_GB2312"/>
          <w:color w:val="000000"/>
          <w:kern w:val="0"/>
          <w:sz w:val="36"/>
          <w:szCs w:val="36"/>
          <w:lang w:bidi="ar"/>
        </w:rPr>
        <w:t>“</w:t>
      </w:r>
      <w:r>
        <w:rPr>
          <w:rFonts w:ascii="仿宋_GB2312" w:hAnsi="仿宋_GB2312" w:eastAsia="仿宋_GB2312" w:cs="仿宋_GB2312"/>
          <w:color w:val="000000"/>
          <w:kern w:val="0"/>
          <w:sz w:val="36"/>
          <w:szCs w:val="36"/>
          <w:lang w:bidi="ar"/>
        </w:rPr>
        <w:t>留改拆</w:t>
      </w:r>
      <w:r>
        <w:rPr>
          <w:rFonts w:hint="eastAsia" w:ascii="仿宋_GB2312" w:hAnsi="仿宋_GB2312" w:eastAsia="仿宋_GB2312" w:cs="仿宋_GB2312"/>
          <w:color w:val="000000"/>
          <w:kern w:val="0"/>
          <w:sz w:val="36"/>
          <w:szCs w:val="36"/>
          <w:lang w:bidi="ar"/>
        </w:rPr>
        <w:t>”</w:t>
      </w:r>
      <w:r>
        <w:rPr>
          <w:rFonts w:ascii="仿宋_GB2312" w:hAnsi="仿宋_GB2312" w:eastAsia="仿宋_GB2312" w:cs="仿宋_GB2312"/>
          <w:color w:val="000000"/>
          <w:kern w:val="0"/>
          <w:sz w:val="36"/>
          <w:szCs w:val="36"/>
          <w:lang w:bidi="ar"/>
        </w:rPr>
        <w:t>并举，综合采取退租、改建、</w:t>
      </w:r>
      <w:r>
        <w:rPr>
          <w:rFonts w:hint="eastAsia" w:ascii="仿宋_GB2312" w:hAnsi="仿宋_GB2312" w:eastAsia="仿宋_GB2312" w:cs="仿宋_GB2312"/>
          <w:color w:val="000000"/>
          <w:kern w:val="0"/>
          <w:sz w:val="36"/>
          <w:szCs w:val="36"/>
          <w:lang w:bidi="ar"/>
        </w:rPr>
        <w:t>修缮加固、</w:t>
      </w:r>
      <w:r>
        <w:rPr>
          <w:rFonts w:ascii="仿宋_GB2312" w:hAnsi="仿宋_GB2312" w:eastAsia="仿宋_GB2312" w:cs="仿宋_GB2312"/>
          <w:color w:val="000000"/>
          <w:kern w:val="0"/>
          <w:sz w:val="36"/>
          <w:szCs w:val="36"/>
          <w:lang w:bidi="ar"/>
        </w:rPr>
        <w:t>老旧小区综合整治等多种方式予以整治</w:t>
      </w:r>
      <w:r>
        <w:rPr>
          <w:rFonts w:hint="eastAsia" w:ascii="仿宋_GB2312" w:hAnsi="仿宋_GB2312" w:eastAsia="仿宋_GB2312" w:cs="仿宋_GB2312"/>
          <w:color w:val="000000"/>
          <w:kern w:val="0"/>
          <w:sz w:val="36"/>
          <w:szCs w:val="36"/>
          <w:lang w:bidi="ar"/>
        </w:rPr>
        <w:t>，</w:t>
      </w:r>
      <w:r>
        <w:rPr>
          <w:rFonts w:ascii="仿宋_GB2312" w:hAnsi="仿宋_GB2312" w:eastAsia="仿宋_GB2312" w:cs="仿宋_GB2312"/>
          <w:color w:val="000000"/>
          <w:kern w:val="0"/>
          <w:sz w:val="36"/>
          <w:szCs w:val="36"/>
          <w:lang w:bidi="ar"/>
        </w:rPr>
        <w:t>及时</w:t>
      </w:r>
      <w:r>
        <w:rPr>
          <w:rFonts w:hint="eastAsia" w:ascii="仿宋_GB2312" w:hAnsi="仿宋_GB2312" w:eastAsia="仿宋_GB2312" w:cs="仿宋_GB2312"/>
          <w:color w:val="000000"/>
          <w:kern w:val="0"/>
          <w:sz w:val="36"/>
          <w:szCs w:val="36"/>
          <w:lang w:bidi="ar"/>
        </w:rPr>
        <w:t>对</w:t>
      </w:r>
      <w:r>
        <w:rPr>
          <w:rFonts w:ascii="仿宋_GB2312" w:hAnsi="仿宋_GB2312" w:eastAsia="仿宋_GB2312" w:cs="仿宋_GB2312"/>
          <w:color w:val="000000"/>
          <w:kern w:val="0"/>
          <w:sz w:val="36"/>
          <w:szCs w:val="36"/>
          <w:lang w:bidi="ar"/>
        </w:rPr>
        <w:t>C、D级危房采取</w:t>
      </w:r>
      <w:r>
        <w:rPr>
          <w:rFonts w:hint="eastAsia" w:ascii="仿宋_GB2312" w:hAnsi="仿宋_GB2312" w:eastAsia="仿宋_GB2312" w:cs="仿宋_GB2312"/>
          <w:color w:val="000000"/>
          <w:kern w:val="0"/>
          <w:sz w:val="36"/>
          <w:szCs w:val="36"/>
          <w:lang w:bidi="ar"/>
        </w:rPr>
        <w:t>处置</w:t>
      </w:r>
      <w:r>
        <w:rPr>
          <w:rFonts w:ascii="仿宋_GB2312" w:hAnsi="仿宋_GB2312" w:eastAsia="仿宋_GB2312" w:cs="仿宋_GB2312"/>
          <w:color w:val="000000"/>
          <w:kern w:val="0"/>
          <w:sz w:val="36"/>
          <w:szCs w:val="36"/>
          <w:lang w:bidi="ar"/>
        </w:rPr>
        <w:t>措施，强化日常管理维护，加强管理秩序和环境风貌管控，启动实施城镇危旧房改造100万平方米左右。鼓励居民自主更新，坚持</w:t>
      </w:r>
      <w:r>
        <w:rPr>
          <w:rFonts w:hint="eastAsia" w:ascii="仿宋_GB2312" w:hAnsi="仿宋_GB2312" w:eastAsia="仿宋_GB2312" w:cs="仿宋_GB2312"/>
          <w:color w:val="000000"/>
          <w:kern w:val="0"/>
          <w:sz w:val="36"/>
          <w:szCs w:val="36"/>
          <w:lang w:bidi="ar"/>
        </w:rPr>
        <w:t>“谁所有、谁出资、谁受益”原则，探索</w:t>
      </w:r>
      <w:r>
        <w:rPr>
          <w:rFonts w:ascii="仿宋_GB2312" w:hAnsi="仿宋_GB2312" w:eastAsia="仿宋_GB2312" w:cs="仿宋_GB2312"/>
          <w:color w:val="000000"/>
          <w:kern w:val="0"/>
          <w:sz w:val="36"/>
          <w:szCs w:val="36"/>
          <w:lang w:bidi="ar"/>
        </w:rPr>
        <w:t>改建贷款等融资支持，推动居住安全和品质同步提升。</w:t>
      </w:r>
      <w:bookmarkEnd w:id="72"/>
      <w:bookmarkEnd w:id="73"/>
      <w:bookmarkEnd w:id="74"/>
      <w:bookmarkEnd w:id="75"/>
    </w:p>
    <w:p w14:paraId="604FBA0A">
      <w:pPr>
        <w:widowControl/>
        <w:spacing w:line="640" w:lineRule="exact"/>
        <w:ind w:firstLine="720" w:firstLineChars="200"/>
        <w:outlineLvl w:val="1"/>
        <w:rPr>
          <w:rStyle w:val="13"/>
          <w:rFonts w:hint="default" w:ascii="Times New Roman" w:hAnsi="Times New Roman" w:eastAsia="楷体_GB2312" w:cs="Times New Roman"/>
          <w:b w:val="0"/>
        </w:rPr>
      </w:pPr>
      <w:bookmarkStart w:id="76" w:name="_Toc6186"/>
      <w:bookmarkStart w:id="77" w:name="_Toc7447"/>
      <w:bookmarkStart w:id="78" w:name="_Toc13400"/>
      <w:bookmarkStart w:id="79" w:name="_Toc2646"/>
      <w:bookmarkStart w:id="80" w:name="_Toc20430"/>
      <w:r>
        <w:rPr>
          <w:rStyle w:val="13"/>
          <w:rFonts w:hint="default" w:ascii="Times New Roman" w:hAnsi="Times New Roman" w:eastAsia="楷体_GB2312" w:cs="Times New Roman"/>
          <w:b w:val="0"/>
        </w:rPr>
        <w:t>（十二）扎实推进老城平房区保护修缮</w:t>
      </w:r>
      <w:bookmarkEnd w:id="76"/>
      <w:r>
        <w:rPr>
          <w:rFonts w:eastAsia="楷体_GB2312"/>
          <w:color w:val="000000"/>
          <w:kern w:val="0"/>
          <w:sz w:val="36"/>
          <w:szCs w:val="36"/>
          <w:lang w:bidi="ar"/>
        </w:rPr>
        <w:t>。</w:t>
      </w:r>
      <w:r>
        <w:rPr>
          <w:rFonts w:ascii="仿宋_GB2312" w:hAnsi="仿宋_GB2312" w:eastAsia="仿宋_GB2312" w:cs="仿宋_GB2312"/>
          <w:color w:val="000000"/>
          <w:kern w:val="0"/>
          <w:sz w:val="36"/>
          <w:szCs w:val="36"/>
          <w:lang w:bidi="ar"/>
        </w:rPr>
        <w:t>健全老城平房区保护修缮模式和实施路径，坚持整院落成片区更新原则，有序推进老城平房区申请式退租。以消除房屋安全隐患、保障群众居住安全为核心，聚焦重点区域成片压茬推进房屋修缮修建，重点开展平房区屋顶屋面整治消隐，推动老城平房区成片整院保护修缮。</w:t>
      </w:r>
      <w:bookmarkEnd w:id="77"/>
      <w:bookmarkEnd w:id="78"/>
      <w:bookmarkEnd w:id="79"/>
      <w:bookmarkEnd w:id="80"/>
      <w:bookmarkStart w:id="81" w:name="_Toc38"/>
      <w:bookmarkStart w:id="82" w:name="_Toc18977"/>
      <w:bookmarkStart w:id="83" w:name="_Toc15919"/>
      <w:bookmarkStart w:id="84" w:name="_Toc11245"/>
      <w:bookmarkStart w:id="85" w:name="_Toc12431"/>
    </w:p>
    <w:p w14:paraId="439A84B9">
      <w:pPr>
        <w:widowControl/>
        <w:spacing w:line="640" w:lineRule="exact"/>
        <w:ind w:firstLine="720" w:firstLineChars="200"/>
        <w:outlineLvl w:val="1"/>
        <w:rPr>
          <w:rFonts w:ascii="仿宋_GB2312" w:hAnsi="仿宋_GB2312" w:eastAsia="仿宋_GB2312" w:cs="仿宋_GB2312"/>
          <w:color w:val="000000"/>
          <w:kern w:val="0"/>
          <w:sz w:val="36"/>
          <w:szCs w:val="36"/>
          <w:lang w:bidi="ar"/>
        </w:rPr>
      </w:pPr>
      <w:r>
        <w:rPr>
          <w:rStyle w:val="13"/>
          <w:rFonts w:hint="default" w:ascii="Times New Roman" w:hAnsi="Times New Roman" w:eastAsia="楷体_GB2312" w:cs="Times New Roman"/>
          <w:b w:val="0"/>
        </w:rPr>
        <w:t>（十三）稳步推进城中村改造，有序推进棚户区改造收尾</w:t>
      </w:r>
      <w:r>
        <w:rPr>
          <w:rFonts w:eastAsia="楷体_GB2312"/>
          <w:kern w:val="0"/>
          <w:sz w:val="36"/>
          <w:szCs w:val="36"/>
          <w:lang w:bidi="ar"/>
        </w:rPr>
        <w:t>。</w:t>
      </w:r>
      <w:r>
        <w:rPr>
          <w:rFonts w:ascii="仿宋_GB2312" w:hAnsi="仿宋_GB2312" w:eastAsia="仿宋_GB2312" w:cs="仿宋_GB2312"/>
          <w:color w:val="000000"/>
          <w:kern w:val="0"/>
          <w:sz w:val="36"/>
          <w:szCs w:val="36"/>
          <w:lang w:bidi="ar"/>
        </w:rPr>
        <w:t>坚持依法依规、尊重民意、稳步实施，</w:t>
      </w:r>
      <w:r>
        <w:rPr>
          <w:rFonts w:hint="eastAsia" w:ascii="仿宋_GB2312" w:hAnsi="仿宋_GB2312" w:eastAsia="仿宋_GB2312" w:cs="仿宋_GB2312"/>
          <w:color w:val="000000"/>
          <w:kern w:val="0"/>
          <w:sz w:val="36"/>
          <w:szCs w:val="36"/>
          <w:lang w:bidi="ar"/>
        </w:rPr>
        <w:t>充分考虑</w:t>
      </w:r>
      <w:r>
        <w:rPr>
          <w:rFonts w:ascii="仿宋_GB2312" w:hAnsi="仿宋_GB2312" w:eastAsia="仿宋_GB2312" w:cs="仿宋_GB2312"/>
          <w:color w:val="000000"/>
          <w:kern w:val="0"/>
          <w:sz w:val="36"/>
          <w:szCs w:val="36"/>
          <w:lang w:bidi="ar"/>
        </w:rPr>
        <w:t>流动人口租赁居住需求</w:t>
      </w:r>
      <w:r>
        <w:rPr>
          <w:rFonts w:hint="eastAsia" w:ascii="仿宋_GB2312" w:hAnsi="仿宋_GB2312" w:eastAsia="仿宋_GB2312" w:cs="仿宋_GB2312"/>
          <w:color w:val="000000"/>
          <w:kern w:val="0"/>
          <w:sz w:val="36"/>
          <w:szCs w:val="36"/>
          <w:lang w:bidi="ar"/>
        </w:rPr>
        <w:t>，</w:t>
      </w:r>
      <w:r>
        <w:rPr>
          <w:rFonts w:ascii="仿宋_GB2312" w:hAnsi="仿宋_GB2312" w:eastAsia="仿宋_GB2312" w:cs="仿宋_GB2312"/>
          <w:color w:val="000000"/>
          <w:kern w:val="0"/>
          <w:sz w:val="36"/>
          <w:szCs w:val="36"/>
          <w:lang w:bidi="ar"/>
        </w:rPr>
        <w:t>因地制宜采取拆除新建、整治提升、拆整结合等方式推进城中村改造，</w:t>
      </w:r>
      <w:r>
        <w:rPr>
          <w:rFonts w:hint="eastAsia" w:ascii="仿宋_GB2312" w:hAnsi="仿宋_GB2312" w:eastAsia="仿宋_GB2312" w:cs="仿宋_GB2312"/>
          <w:color w:val="000000"/>
          <w:kern w:val="0"/>
          <w:sz w:val="36"/>
          <w:szCs w:val="36"/>
          <w:lang w:bidi="ar"/>
        </w:rPr>
        <w:t>“十五五”时期基本完成57个城中村改造</w:t>
      </w:r>
      <w:r>
        <w:rPr>
          <w:rFonts w:ascii="仿宋_GB2312" w:hAnsi="仿宋_GB2312" w:eastAsia="仿宋_GB2312" w:cs="仿宋_GB2312"/>
          <w:color w:val="000000"/>
          <w:kern w:val="0"/>
          <w:sz w:val="36"/>
          <w:szCs w:val="36"/>
          <w:lang w:bidi="ar"/>
        </w:rPr>
        <w:t>。牢牢把握棚改民生保障目标，结合项目实施进度，按照推进、退出、转化三种类型实行分类管理，有序推进棚户区改造项目收尾，加快剩余项目建设和居民安置。</w:t>
      </w:r>
      <w:r>
        <w:rPr>
          <w:rFonts w:hint="eastAsia" w:ascii="仿宋_GB2312" w:hAnsi="仿宋_GB2312" w:eastAsia="仿宋_GB2312" w:cs="仿宋_GB2312"/>
          <w:color w:val="000000"/>
          <w:kern w:val="0"/>
          <w:sz w:val="36"/>
          <w:szCs w:val="36"/>
          <w:lang w:bidi="ar"/>
        </w:rPr>
        <w:t>进一步完善</w:t>
      </w:r>
      <w:r>
        <w:rPr>
          <w:rFonts w:ascii="仿宋_GB2312" w:hAnsi="仿宋_GB2312" w:eastAsia="仿宋_GB2312" w:cs="仿宋_GB2312"/>
          <w:color w:val="000000"/>
          <w:kern w:val="0"/>
          <w:sz w:val="36"/>
          <w:szCs w:val="36"/>
          <w:lang w:bidi="ar"/>
        </w:rPr>
        <w:t>城中村改造、棚户区改造与新型城镇化建设相衔接的常态化推进机制，合理确定年度实施规模和时序，同步做好</w:t>
      </w:r>
      <w:r>
        <w:rPr>
          <w:rFonts w:hint="eastAsia" w:ascii="仿宋_GB2312" w:hAnsi="仿宋_GB2312" w:eastAsia="仿宋_GB2312" w:cs="仿宋_GB2312"/>
          <w:color w:val="000000"/>
          <w:kern w:val="0"/>
          <w:sz w:val="36"/>
          <w:szCs w:val="36"/>
          <w:lang w:bidi="ar"/>
        </w:rPr>
        <w:t>项目成本管控</w:t>
      </w:r>
      <w:r>
        <w:rPr>
          <w:rFonts w:ascii="仿宋_GB2312" w:hAnsi="仿宋_GB2312" w:eastAsia="仿宋_GB2312" w:cs="仿宋_GB2312"/>
          <w:color w:val="000000"/>
          <w:kern w:val="0"/>
          <w:sz w:val="36"/>
          <w:szCs w:val="36"/>
          <w:lang w:bidi="ar"/>
        </w:rPr>
        <w:t>。</w:t>
      </w:r>
      <w:bookmarkEnd w:id="81"/>
      <w:bookmarkEnd w:id="82"/>
      <w:bookmarkEnd w:id="83"/>
    </w:p>
    <w:p w14:paraId="4BE5DB31">
      <w:pPr>
        <w:widowControl/>
        <w:spacing w:line="640" w:lineRule="exact"/>
        <w:ind w:firstLine="720" w:firstLineChars="200"/>
        <w:outlineLvl w:val="1"/>
        <w:rPr>
          <w:rFonts w:ascii="仿宋_GB2312" w:hAnsi="仿宋_GB2312" w:eastAsia="仿宋_GB2312" w:cs="仿宋_GB2312"/>
          <w:color w:val="000000"/>
          <w:kern w:val="0"/>
          <w:sz w:val="36"/>
          <w:szCs w:val="36"/>
          <w:lang w:bidi="ar"/>
        </w:rPr>
      </w:pPr>
      <w:bookmarkStart w:id="86" w:name="_Toc30510"/>
      <w:bookmarkStart w:id="87" w:name="_Toc17063"/>
      <w:bookmarkStart w:id="88" w:name="_Toc1952"/>
      <w:bookmarkStart w:id="89" w:name="_Toc6510"/>
      <w:r>
        <w:rPr>
          <w:rStyle w:val="13"/>
          <w:rFonts w:hint="default" w:ascii="Times New Roman" w:hAnsi="Times New Roman" w:eastAsia="楷体_GB2312" w:cs="Times New Roman"/>
          <w:b w:val="0"/>
        </w:rPr>
        <w:t>（十四）着力推进完整社区建设扩面提质增效</w:t>
      </w:r>
      <w:bookmarkEnd w:id="84"/>
      <w:r>
        <w:rPr>
          <w:rFonts w:eastAsia="楷体_GB2312"/>
          <w:color w:val="000000"/>
          <w:kern w:val="0"/>
          <w:sz w:val="36"/>
          <w:szCs w:val="36"/>
          <w:lang w:bidi="ar"/>
        </w:rPr>
        <w:t>。</w:t>
      </w:r>
      <w:r>
        <w:rPr>
          <w:rFonts w:ascii="仿宋_GB2312" w:hAnsi="仿宋_GB2312" w:eastAsia="仿宋_GB2312" w:cs="仿宋_GB2312"/>
          <w:color w:val="000000"/>
          <w:kern w:val="0"/>
          <w:sz w:val="36"/>
          <w:szCs w:val="36"/>
          <w:lang w:bidi="ar"/>
        </w:rPr>
        <w:t>推动更多资源投资于人、服务于民生。坚持问题导向、系统治理，片区化组团式</w:t>
      </w:r>
      <w:r>
        <w:rPr>
          <w:rFonts w:hint="eastAsia" w:ascii="仿宋_GB2312" w:hAnsi="仿宋_GB2312" w:eastAsia="仿宋_GB2312" w:cs="仿宋_GB2312"/>
          <w:color w:val="000000"/>
          <w:kern w:val="0"/>
          <w:sz w:val="36"/>
          <w:szCs w:val="36"/>
          <w:lang w:bidi="ar"/>
        </w:rPr>
        <w:t>压茬</w:t>
      </w:r>
      <w:r>
        <w:rPr>
          <w:rFonts w:ascii="仿宋_GB2312" w:hAnsi="仿宋_GB2312" w:eastAsia="仿宋_GB2312" w:cs="仿宋_GB2312"/>
          <w:color w:val="000000"/>
          <w:kern w:val="0"/>
          <w:sz w:val="36"/>
          <w:szCs w:val="36"/>
          <w:lang w:bidi="ar"/>
        </w:rPr>
        <w:t>推进，优化设施配套、环境建设、服务治理功能，</w:t>
      </w:r>
      <w:r>
        <w:rPr>
          <w:rFonts w:hint="eastAsia" w:ascii="仿宋_GB2312" w:hAnsi="仿宋_GB2312" w:eastAsia="仿宋_GB2312" w:cs="仿宋_GB2312"/>
          <w:color w:val="000000"/>
          <w:kern w:val="0"/>
          <w:sz w:val="36"/>
          <w:szCs w:val="36"/>
          <w:lang w:bidi="ar"/>
        </w:rPr>
        <w:t>推进</w:t>
      </w:r>
      <w:r>
        <w:rPr>
          <w:rFonts w:ascii="仿宋_GB2312" w:hAnsi="仿宋_GB2312" w:eastAsia="仿宋_GB2312" w:cs="仿宋_GB2312"/>
          <w:color w:val="000000"/>
          <w:kern w:val="0"/>
          <w:sz w:val="36"/>
          <w:szCs w:val="36"/>
          <w:lang w:bidi="ar"/>
        </w:rPr>
        <w:t>安全健康、设施完善、管理有序的完整社区建设。聚焦全龄友好生活需求，推动</w:t>
      </w:r>
      <w:r>
        <w:rPr>
          <w:rFonts w:hint="eastAsia" w:ascii="仿宋_GB2312" w:hAnsi="仿宋_GB2312" w:eastAsia="仿宋_GB2312" w:cs="仿宋_GB2312"/>
          <w:color w:val="000000"/>
          <w:kern w:val="0"/>
          <w:sz w:val="36"/>
          <w:szCs w:val="36"/>
          <w:lang w:bidi="ar"/>
        </w:rPr>
        <w:t>社区基本公共服务设施、便民设施和配套基础设施根据实际需求和社区禀赋统筹配置</w:t>
      </w:r>
      <w:r>
        <w:rPr>
          <w:rFonts w:ascii="仿宋_GB2312" w:hAnsi="仿宋_GB2312" w:eastAsia="仿宋_GB2312" w:cs="仿宋_GB2312"/>
          <w:color w:val="000000"/>
          <w:kern w:val="0"/>
          <w:sz w:val="36"/>
          <w:szCs w:val="36"/>
          <w:lang w:bidi="ar"/>
        </w:rPr>
        <w:t>，实施城市社区嵌入式服务设施建设工程，因地制宜补齐养老、托育、健身、停车、充电、便利店、早餐店、菜市场、</w:t>
      </w:r>
      <w:r>
        <w:rPr>
          <w:rFonts w:hint="eastAsia" w:ascii="仿宋_GB2312" w:hAnsi="仿宋_GB2312" w:eastAsia="仿宋_GB2312" w:cs="仿宋_GB2312"/>
          <w:color w:val="000000"/>
          <w:kern w:val="0"/>
          <w:sz w:val="36"/>
          <w:szCs w:val="36"/>
          <w:lang w:bidi="ar"/>
        </w:rPr>
        <w:t>“</w:t>
      </w:r>
      <w:r>
        <w:rPr>
          <w:rFonts w:ascii="仿宋_GB2312" w:hAnsi="仿宋_GB2312" w:eastAsia="仿宋_GB2312" w:cs="仿宋_GB2312"/>
          <w:color w:val="000000"/>
          <w:kern w:val="0"/>
          <w:sz w:val="36"/>
          <w:szCs w:val="36"/>
          <w:lang w:bidi="ar"/>
        </w:rPr>
        <w:t>小修小补</w:t>
      </w:r>
      <w:r>
        <w:rPr>
          <w:rFonts w:hint="eastAsia" w:ascii="仿宋_GB2312" w:hAnsi="仿宋_GB2312" w:eastAsia="仿宋_GB2312" w:cs="仿宋_GB2312"/>
          <w:color w:val="000000"/>
          <w:kern w:val="0"/>
          <w:sz w:val="36"/>
          <w:szCs w:val="36"/>
          <w:lang w:bidi="ar"/>
        </w:rPr>
        <w:t>”</w:t>
      </w:r>
      <w:r>
        <w:rPr>
          <w:rFonts w:ascii="仿宋_GB2312" w:hAnsi="仿宋_GB2312" w:eastAsia="仿宋_GB2312" w:cs="仿宋_GB2312"/>
          <w:color w:val="000000"/>
          <w:kern w:val="0"/>
          <w:sz w:val="36"/>
          <w:szCs w:val="36"/>
          <w:lang w:bidi="ar"/>
        </w:rPr>
        <w:t>等便民服务。</w:t>
      </w:r>
      <w:bookmarkEnd w:id="86"/>
      <w:bookmarkEnd w:id="87"/>
      <w:bookmarkEnd w:id="88"/>
      <w:bookmarkEnd w:id="89"/>
    </w:p>
    <w:p w14:paraId="72FA3BCE">
      <w:pPr>
        <w:widowControl/>
        <w:spacing w:line="640" w:lineRule="exact"/>
        <w:ind w:firstLine="720" w:firstLineChars="200"/>
        <w:outlineLvl w:val="1"/>
        <w:rPr>
          <w:rFonts w:eastAsia="仿宋_GB2312"/>
          <w:color w:val="000000"/>
          <w:kern w:val="0"/>
          <w:sz w:val="36"/>
          <w:szCs w:val="36"/>
          <w:lang w:bidi="ar"/>
        </w:rPr>
      </w:pPr>
      <w:bookmarkStart w:id="90" w:name="_Toc1976"/>
      <w:bookmarkStart w:id="91" w:name="_Toc14641"/>
      <w:bookmarkStart w:id="92" w:name="_Toc1300"/>
      <w:r>
        <w:rPr>
          <w:rStyle w:val="13"/>
          <w:rFonts w:hint="default" w:ascii="Times New Roman" w:hAnsi="Times New Roman" w:eastAsia="楷体_GB2312" w:cs="Times New Roman"/>
          <w:b w:val="0"/>
        </w:rPr>
        <w:t>（十五）协同推进住房发展与城市更新</w:t>
      </w:r>
      <w:r>
        <w:rPr>
          <w:rFonts w:eastAsia="楷体_GB2312"/>
          <w:kern w:val="0"/>
          <w:sz w:val="36"/>
          <w:szCs w:val="36"/>
          <w:lang w:bidi="ar"/>
        </w:rPr>
        <w:t>。</w:t>
      </w:r>
      <w:r>
        <w:rPr>
          <w:rFonts w:eastAsia="仿宋_GB2312"/>
          <w:color w:val="000000"/>
          <w:kern w:val="0"/>
          <w:sz w:val="36"/>
          <w:szCs w:val="36"/>
          <w:lang w:bidi="ar"/>
        </w:rPr>
        <w:t>准确把握住房发展进入存量时代的阶段性特征，</w:t>
      </w:r>
      <w:r>
        <w:rPr>
          <w:rFonts w:hint="eastAsia" w:eastAsia="仿宋_GB2312"/>
          <w:color w:val="000000"/>
          <w:kern w:val="0"/>
          <w:sz w:val="36"/>
          <w:szCs w:val="36"/>
          <w:lang w:bidi="ar"/>
        </w:rPr>
        <w:t>衔接好各</w:t>
      </w:r>
      <w:r>
        <w:rPr>
          <w:rFonts w:eastAsia="仿宋_GB2312"/>
          <w:color w:val="000000"/>
          <w:kern w:val="0"/>
          <w:sz w:val="36"/>
          <w:szCs w:val="36"/>
          <w:lang w:bidi="ar"/>
        </w:rPr>
        <w:t>类城市更新</w:t>
      </w:r>
      <w:r>
        <w:rPr>
          <w:rFonts w:hint="eastAsia" w:eastAsia="仿宋_GB2312"/>
          <w:color w:val="000000"/>
          <w:kern w:val="0"/>
          <w:sz w:val="36"/>
          <w:szCs w:val="36"/>
          <w:lang w:bidi="ar"/>
        </w:rPr>
        <w:t>任务</w:t>
      </w:r>
      <w:r>
        <w:rPr>
          <w:rFonts w:eastAsia="仿宋_GB2312"/>
          <w:color w:val="000000"/>
          <w:kern w:val="0"/>
          <w:sz w:val="36"/>
          <w:szCs w:val="36"/>
          <w:lang w:bidi="ar"/>
        </w:rPr>
        <w:t>，发挥住房领域主责作用，统筹推进核心区平房院落保护性修缮和恢复性修建、危旧房改造</w:t>
      </w:r>
      <w:r>
        <w:rPr>
          <w:rFonts w:hint="eastAsia" w:eastAsia="仿宋_GB2312"/>
          <w:color w:val="000000"/>
          <w:kern w:val="0"/>
          <w:sz w:val="36"/>
          <w:szCs w:val="36"/>
          <w:lang w:bidi="ar"/>
        </w:rPr>
        <w:t>、</w:t>
      </w:r>
      <w:r>
        <w:rPr>
          <w:rFonts w:eastAsia="仿宋_GB2312"/>
          <w:color w:val="000000"/>
          <w:kern w:val="0"/>
          <w:sz w:val="36"/>
          <w:szCs w:val="36"/>
          <w:lang w:bidi="ar"/>
        </w:rPr>
        <w:t>老旧小区综合整治</w:t>
      </w:r>
      <w:r>
        <w:rPr>
          <w:rFonts w:hint="eastAsia" w:eastAsia="仿宋_GB2312"/>
          <w:color w:val="000000"/>
          <w:kern w:val="0"/>
          <w:sz w:val="36"/>
          <w:szCs w:val="36"/>
          <w:lang w:bidi="ar"/>
        </w:rPr>
        <w:t>、</w:t>
      </w:r>
      <w:r>
        <w:rPr>
          <w:rFonts w:eastAsia="仿宋_GB2312"/>
          <w:color w:val="000000"/>
          <w:kern w:val="0"/>
          <w:sz w:val="36"/>
          <w:szCs w:val="36"/>
          <w:lang w:bidi="ar"/>
        </w:rPr>
        <w:t>老旧街区改造</w:t>
      </w:r>
      <w:r>
        <w:rPr>
          <w:rFonts w:hint="eastAsia" w:eastAsia="仿宋_GB2312"/>
          <w:color w:val="000000"/>
          <w:kern w:val="0"/>
          <w:sz w:val="36"/>
          <w:szCs w:val="36"/>
          <w:lang w:bidi="ar"/>
        </w:rPr>
        <w:t>、</w:t>
      </w:r>
      <w:r>
        <w:rPr>
          <w:rFonts w:eastAsia="仿宋_GB2312"/>
          <w:color w:val="000000"/>
          <w:kern w:val="0"/>
          <w:sz w:val="36"/>
          <w:szCs w:val="36"/>
          <w:lang w:bidi="ar"/>
        </w:rPr>
        <w:t>历史文化街区修复和修缮等居住</w:t>
      </w:r>
      <w:r>
        <w:rPr>
          <w:rFonts w:hint="eastAsia" w:eastAsia="仿宋_GB2312"/>
          <w:color w:val="000000"/>
          <w:kern w:val="0"/>
          <w:sz w:val="36"/>
          <w:szCs w:val="36"/>
          <w:lang w:bidi="ar"/>
        </w:rPr>
        <w:t>领域</w:t>
      </w:r>
      <w:r>
        <w:rPr>
          <w:rFonts w:eastAsia="仿宋_GB2312"/>
          <w:color w:val="000000"/>
          <w:kern w:val="0"/>
          <w:sz w:val="36"/>
          <w:szCs w:val="36"/>
          <w:lang w:bidi="ar"/>
        </w:rPr>
        <w:t>更新。结合老旧火车站、轨道及周边街区统筹改造促进站城融合</w:t>
      </w:r>
      <w:r>
        <w:rPr>
          <w:rFonts w:hint="eastAsia" w:eastAsia="仿宋_GB2312"/>
          <w:color w:val="000000"/>
          <w:kern w:val="0"/>
          <w:sz w:val="36"/>
          <w:szCs w:val="36"/>
          <w:lang w:bidi="ar"/>
        </w:rPr>
        <w:t>、职住平衡</w:t>
      </w:r>
      <w:r>
        <w:rPr>
          <w:rFonts w:eastAsia="仿宋_GB2312"/>
          <w:color w:val="000000"/>
          <w:kern w:val="0"/>
          <w:sz w:val="36"/>
          <w:szCs w:val="36"/>
          <w:lang w:bidi="ar"/>
        </w:rPr>
        <w:t>，结合</w:t>
      </w:r>
      <w:r>
        <w:rPr>
          <w:rFonts w:hint="eastAsia" w:eastAsia="仿宋_GB2312"/>
          <w:color w:val="000000"/>
          <w:kern w:val="0"/>
          <w:sz w:val="36"/>
          <w:szCs w:val="36"/>
          <w:lang w:bidi="ar"/>
        </w:rPr>
        <w:t>打造产业社区和商务社区、</w:t>
      </w:r>
      <w:r>
        <w:rPr>
          <w:rFonts w:eastAsia="仿宋_GB2312"/>
          <w:color w:val="000000"/>
          <w:kern w:val="0"/>
          <w:sz w:val="36"/>
          <w:szCs w:val="36"/>
          <w:lang w:bidi="ar"/>
        </w:rPr>
        <w:t>商业街区改造提升、商业设施升级改造和消费基础设施升级改造完善社区便民商业，结合地下综合管廊改造和城市老旧地下管网改造同步推进老旧小区市政管线更新。建立住房项目与城市更新项目统筹协调机制，合理确定实施时序，推动居住功能与就业、商业、公共服务功能同步提升。</w:t>
      </w:r>
      <w:bookmarkEnd w:id="85"/>
      <w:bookmarkEnd w:id="90"/>
      <w:bookmarkEnd w:id="91"/>
      <w:bookmarkEnd w:id="92"/>
    </w:p>
    <w:p w14:paraId="7B56147F">
      <w:pPr>
        <w:pStyle w:val="2"/>
        <w:widowControl/>
        <w:spacing w:line="640" w:lineRule="exact"/>
        <w:ind w:firstLine="720" w:firstLineChars="200"/>
        <w:jc w:val="left"/>
        <w:rPr>
          <w:rFonts w:ascii="Times New Roman" w:hAnsi="Times New Roman" w:eastAsia="仿宋_GB2312" w:cs="Times New Roman"/>
          <w:sz w:val="36"/>
          <w:szCs w:val="36"/>
        </w:rPr>
      </w:pPr>
      <w:bookmarkStart w:id="93" w:name="_Toc974805205_WPSOffice_Level1"/>
      <w:bookmarkStart w:id="94" w:name="_Toc9016"/>
      <w:bookmarkStart w:id="95" w:name="_Toc16672"/>
      <w:bookmarkStart w:id="96" w:name="_Toc1091"/>
      <w:bookmarkStart w:id="97" w:name="_Toc27888"/>
      <w:bookmarkStart w:id="98" w:name="_Toc17715"/>
      <w:r>
        <w:rPr>
          <w:rStyle w:val="12"/>
          <w:rFonts w:ascii="Times New Roman" w:hAnsi="Times New Roman" w:cs="Times New Roman"/>
          <w:sz w:val="36"/>
          <w:szCs w:val="36"/>
        </w:rPr>
        <w:t>五、增存并重推进</w:t>
      </w:r>
      <w:r>
        <w:rPr>
          <w:rStyle w:val="12"/>
          <w:rFonts w:hint="eastAsia" w:ascii="Times New Roman" w:hAnsi="Times New Roman" w:cs="Times New Roman"/>
          <w:sz w:val="36"/>
          <w:szCs w:val="36"/>
        </w:rPr>
        <w:t>“</w:t>
      </w:r>
      <w:r>
        <w:rPr>
          <w:rStyle w:val="12"/>
          <w:rFonts w:ascii="Times New Roman" w:hAnsi="Times New Roman" w:cs="Times New Roman"/>
          <w:sz w:val="36"/>
          <w:szCs w:val="36"/>
        </w:rPr>
        <w:t>好房子</w:t>
      </w:r>
      <w:r>
        <w:rPr>
          <w:rStyle w:val="12"/>
          <w:rFonts w:hint="eastAsia" w:ascii="Times New Roman" w:hAnsi="Times New Roman" w:cs="Times New Roman"/>
          <w:sz w:val="36"/>
          <w:szCs w:val="36"/>
        </w:rPr>
        <w:t>”</w:t>
      </w:r>
      <w:r>
        <w:rPr>
          <w:rStyle w:val="12"/>
          <w:rFonts w:ascii="Times New Roman" w:hAnsi="Times New Roman" w:cs="Times New Roman"/>
          <w:sz w:val="36"/>
          <w:szCs w:val="36"/>
        </w:rPr>
        <w:t>建设，提升居住品质和服务水平</w:t>
      </w:r>
      <w:bookmarkEnd w:id="93"/>
      <w:bookmarkEnd w:id="94"/>
      <w:bookmarkEnd w:id="95"/>
      <w:bookmarkEnd w:id="96"/>
      <w:bookmarkEnd w:id="97"/>
      <w:bookmarkEnd w:id="98"/>
    </w:p>
    <w:p w14:paraId="4C6B3259">
      <w:pPr>
        <w:widowControl/>
        <w:spacing w:line="640" w:lineRule="exact"/>
        <w:ind w:firstLine="720" w:firstLineChars="200"/>
        <w:outlineLvl w:val="1"/>
        <w:rPr>
          <w:rFonts w:eastAsia="仿宋_GB2312"/>
          <w:color w:val="000000"/>
          <w:kern w:val="0"/>
          <w:sz w:val="36"/>
          <w:szCs w:val="36"/>
          <w:lang w:bidi="ar"/>
        </w:rPr>
      </w:pPr>
      <w:bookmarkStart w:id="99" w:name="_Toc28099"/>
      <w:bookmarkStart w:id="100" w:name="_Toc27122"/>
      <w:bookmarkStart w:id="101" w:name="_Toc10837"/>
      <w:bookmarkStart w:id="102" w:name="_Toc287"/>
      <w:bookmarkStart w:id="103" w:name="_Toc18092"/>
      <w:r>
        <w:rPr>
          <w:rStyle w:val="13"/>
          <w:rFonts w:hint="default" w:ascii="Times New Roman" w:hAnsi="Times New Roman" w:eastAsia="楷体_GB2312" w:cs="Times New Roman"/>
          <w:b w:val="0"/>
        </w:rPr>
        <w:t>（十六）强化住宅设计引导</w:t>
      </w:r>
      <w:bookmarkEnd w:id="99"/>
      <w:r>
        <w:rPr>
          <w:rFonts w:eastAsia="楷体_GB2312"/>
          <w:color w:val="000000"/>
          <w:kern w:val="0"/>
          <w:sz w:val="36"/>
          <w:szCs w:val="36"/>
          <w:lang w:bidi="ar"/>
        </w:rPr>
        <w:t>。</w:t>
      </w:r>
      <w:r>
        <w:rPr>
          <w:rFonts w:eastAsia="仿宋_GB2312"/>
          <w:color w:val="000000"/>
          <w:kern w:val="0"/>
          <w:sz w:val="36"/>
          <w:szCs w:val="36"/>
          <w:lang w:bidi="ar"/>
        </w:rPr>
        <w:t>坚持全龄友好、灵活可变的居住理念，兼顾</w:t>
      </w:r>
      <w:r>
        <w:rPr>
          <w:rFonts w:hint="eastAsia" w:eastAsia="仿宋_GB2312"/>
          <w:color w:val="000000"/>
          <w:kern w:val="0"/>
          <w:sz w:val="36"/>
          <w:szCs w:val="36"/>
          <w:lang w:bidi="ar"/>
        </w:rPr>
        <w:t>“</w:t>
      </w:r>
      <w:r>
        <w:rPr>
          <w:rFonts w:eastAsia="仿宋_GB2312"/>
          <w:color w:val="000000"/>
          <w:kern w:val="0"/>
          <w:sz w:val="36"/>
          <w:szCs w:val="36"/>
          <w:lang w:bidi="ar"/>
        </w:rPr>
        <w:t>一老一小</w:t>
      </w:r>
      <w:r>
        <w:rPr>
          <w:rFonts w:hint="eastAsia" w:eastAsia="仿宋_GB2312"/>
          <w:color w:val="000000"/>
          <w:kern w:val="0"/>
          <w:sz w:val="36"/>
          <w:szCs w:val="36"/>
          <w:lang w:bidi="ar"/>
        </w:rPr>
        <w:t>”</w:t>
      </w:r>
      <w:r>
        <w:rPr>
          <w:rFonts w:eastAsia="仿宋_GB2312"/>
          <w:color w:val="000000"/>
          <w:kern w:val="0"/>
          <w:sz w:val="36"/>
          <w:szCs w:val="36"/>
          <w:lang w:bidi="ar"/>
        </w:rPr>
        <w:t>、青年人和不同家庭结构的多样化居住需求，建设安全舒适绿色智慧的</w:t>
      </w:r>
      <w:r>
        <w:rPr>
          <w:rFonts w:hint="eastAsia" w:eastAsia="仿宋_GB2312"/>
          <w:color w:val="000000"/>
          <w:kern w:val="0"/>
          <w:sz w:val="36"/>
          <w:szCs w:val="36"/>
          <w:lang w:bidi="ar"/>
        </w:rPr>
        <w:t>“</w:t>
      </w:r>
      <w:r>
        <w:rPr>
          <w:rFonts w:eastAsia="仿宋_GB2312"/>
          <w:color w:val="000000"/>
          <w:kern w:val="0"/>
          <w:sz w:val="36"/>
          <w:szCs w:val="36"/>
          <w:lang w:bidi="ar"/>
        </w:rPr>
        <w:t>好房子</w:t>
      </w:r>
      <w:r>
        <w:rPr>
          <w:rFonts w:hint="eastAsia" w:eastAsia="仿宋_GB2312"/>
          <w:color w:val="000000"/>
          <w:kern w:val="0"/>
          <w:sz w:val="36"/>
          <w:szCs w:val="36"/>
          <w:lang w:bidi="ar"/>
        </w:rPr>
        <w:t>”</w:t>
      </w:r>
      <w:r>
        <w:rPr>
          <w:rFonts w:eastAsia="仿宋_GB2312"/>
          <w:color w:val="000000"/>
          <w:kern w:val="0"/>
          <w:sz w:val="36"/>
          <w:szCs w:val="36"/>
          <w:lang w:bidi="ar"/>
        </w:rPr>
        <w:t>。鼓励企业按照高品质商品住宅设计导则，统筹风貌协调、生活便捷、绿色低碳、耐久适用等要求，开展精细化、集成化设计，打造功能齐全、布局合理、灵活可变的住房产品。推广适老化、适儿化设计，鼓励新建住宅项目探索适老化户型和代际临近的居住产品设计，支持既有住宅结合更新实施居家适老化改造。推动社区配套兼容养老、托育等多元功能，促进空间资源复合利用。建立容积率、高度、密度弹性联动机制，优化居住区日照采光设计。完善附属绿化用地配置与核算规则，鼓励立体绿化与片区统筹，</w:t>
      </w:r>
      <w:r>
        <w:rPr>
          <w:rFonts w:hint="eastAsia" w:eastAsia="仿宋_GB2312"/>
          <w:color w:val="000000"/>
          <w:kern w:val="0"/>
          <w:sz w:val="36"/>
          <w:szCs w:val="36"/>
          <w:lang w:bidi="ar"/>
        </w:rPr>
        <w:t>实施花园住区建设，</w:t>
      </w:r>
      <w:r>
        <w:rPr>
          <w:rFonts w:eastAsia="仿宋_GB2312"/>
          <w:color w:val="000000"/>
          <w:kern w:val="0"/>
          <w:sz w:val="36"/>
          <w:szCs w:val="36"/>
          <w:lang w:bidi="ar"/>
        </w:rPr>
        <w:t>强化全专业一体化协同设计。推广灵活可变的套内空间、专业化部品部件，以及管线与主体结构分离、同层排水等技术。聚焦新建与更新，形成</w:t>
      </w:r>
      <w:r>
        <w:rPr>
          <w:rFonts w:hint="eastAsia" w:eastAsia="仿宋_GB2312"/>
          <w:color w:val="000000"/>
          <w:kern w:val="0"/>
          <w:sz w:val="36"/>
          <w:szCs w:val="36"/>
          <w:lang w:bidi="ar"/>
        </w:rPr>
        <w:t>“</w:t>
      </w:r>
      <w:r>
        <w:rPr>
          <w:rFonts w:eastAsia="仿宋_GB2312"/>
          <w:color w:val="000000"/>
          <w:kern w:val="0"/>
          <w:sz w:val="36"/>
          <w:szCs w:val="36"/>
          <w:lang w:bidi="ar"/>
        </w:rPr>
        <w:t>好房子</w:t>
      </w:r>
      <w:r>
        <w:rPr>
          <w:rFonts w:hint="eastAsia" w:eastAsia="仿宋_GB2312"/>
          <w:color w:val="000000"/>
          <w:kern w:val="0"/>
          <w:sz w:val="36"/>
          <w:szCs w:val="36"/>
          <w:lang w:bidi="ar"/>
        </w:rPr>
        <w:t>”</w:t>
      </w:r>
      <w:r>
        <w:rPr>
          <w:rFonts w:eastAsia="仿宋_GB2312"/>
          <w:color w:val="000000"/>
          <w:kern w:val="0"/>
          <w:sz w:val="36"/>
          <w:szCs w:val="36"/>
          <w:lang w:bidi="ar"/>
        </w:rPr>
        <w:t>设计与运维案例体系。推动保障性住房</w:t>
      </w:r>
      <w:r>
        <w:rPr>
          <w:rFonts w:hint="eastAsia" w:eastAsia="仿宋_GB2312"/>
          <w:color w:val="000000"/>
          <w:kern w:val="0"/>
          <w:sz w:val="36"/>
          <w:szCs w:val="36"/>
          <w:lang w:bidi="ar"/>
        </w:rPr>
        <w:t>成为经济实用</w:t>
      </w:r>
      <w:r>
        <w:rPr>
          <w:rFonts w:eastAsia="仿宋_GB2312"/>
          <w:color w:val="000000"/>
          <w:kern w:val="0"/>
          <w:sz w:val="36"/>
          <w:szCs w:val="36"/>
          <w:lang w:bidi="ar"/>
        </w:rPr>
        <w:t>、功能完善的</w:t>
      </w:r>
      <w:r>
        <w:rPr>
          <w:rFonts w:hint="eastAsia" w:eastAsia="仿宋_GB2312"/>
          <w:color w:val="000000"/>
          <w:kern w:val="0"/>
          <w:sz w:val="36"/>
          <w:szCs w:val="36"/>
          <w:lang w:bidi="ar"/>
        </w:rPr>
        <w:t>优良</w:t>
      </w:r>
      <w:r>
        <w:rPr>
          <w:rFonts w:eastAsia="仿宋_GB2312"/>
          <w:color w:val="000000"/>
          <w:kern w:val="0"/>
          <w:sz w:val="36"/>
          <w:szCs w:val="36"/>
          <w:lang w:bidi="ar"/>
        </w:rPr>
        <w:t>居住空间，让群众住得更舒心、更满意。</w:t>
      </w:r>
      <w:bookmarkEnd w:id="100"/>
      <w:bookmarkEnd w:id="101"/>
      <w:bookmarkEnd w:id="102"/>
      <w:bookmarkEnd w:id="103"/>
      <w:bookmarkStart w:id="104" w:name="_Toc18965"/>
      <w:bookmarkStart w:id="105" w:name="_Toc19480"/>
    </w:p>
    <w:p w14:paraId="513599DE">
      <w:pPr>
        <w:widowControl/>
        <w:spacing w:line="640" w:lineRule="exact"/>
        <w:ind w:firstLine="720" w:firstLineChars="200"/>
        <w:outlineLvl w:val="1"/>
        <w:rPr>
          <w:rFonts w:eastAsia="仿宋_GB2312"/>
          <w:color w:val="000000"/>
          <w:kern w:val="0"/>
          <w:sz w:val="36"/>
          <w:szCs w:val="36"/>
          <w:lang w:bidi="ar"/>
        </w:rPr>
      </w:pPr>
      <w:bookmarkStart w:id="106" w:name="_Toc5564"/>
      <w:bookmarkStart w:id="107" w:name="_Toc29095"/>
      <w:bookmarkStart w:id="108" w:name="_Toc8723"/>
      <w:r>
        <w:rPr>
          <w:rStyle w:val="13"/>
          <w:rFonts w:hint="default" w:ascii="Times New Roman" w:hAnsi="Times New Roman" w:eastAsia="楷体_GB2312" w:cs="Times New Roman"/>
          <w:b w:val="0"/>
        </w:rPr>
        <w:t>（十七）优化住宅建设质量</w:t>
      </w:r>
      <w:bookmarkEnd w:id="104"/>
      <w:r>
        <w:rPr>
          <w:rFonts w:eastAsia="楷体_GB2312"/>
          <w:color w:val="000000"/>
          <w:kern w:val="0"/>
          <w:sz w:val="36"/>
          <w:szCs w:val="36"/>
          <w:lang w:bidi="ar"/>
        </w:rPr>
        <w:t>。</w:t>
      </w:r>
      <w:r>
        <w:rPr>
          <w:rFonts w:hint="eastAsia" w:ascii="仿宋_GB2312" w:hAnsi="仿宋_GB2312" w:eastAsia="仿宋_GB2312" w:cs="仿宋_GB2312"/>
          <w:color w:val="000000"/>
          <w:kern w:val="0"/>
          <w:sz w:val="36"/>
          <w:szCs w:val="36"/>
          <w:lang w:bidi="ar"/>
        </w:rPr>
        <w:t>建立健全住宅项目工程质量保障体系，压实各方主体责任，强化从规划设计到交付使用的全过程监管。</w:t>
      </w:r>
      <w:r>
        <w:rPr>
          <w:rFonts w:eastAsia="仿宋_GB2312"/>
          <w:color w:val="000000"/>
          <w:kern w:val="0"/>
          <w:sz w:val="36"/>
          <w:szCs w:val="36"/>
          <w:lang w:bidi="ar"/>
        </w:rPr>
        <w:t>全面落实建设单位工程质量首要责任和勘察、设计、施工、监理单位主体责任，健全</w:t>
      </w:r>
      <w:r>
        <w:rPr>
          <w:rFonts w:hint="eastAsia" w:eastAsia="仿宋_GB2312"/>
          <w:color w:val="000000"/>
          <w:kern w:val="0"/>
          <w:sz w:val="36"/>
          <w:szCs w:val="36"/>
          <w:lang w:bidi="ar"/>
        </w:rPr>
        <w:t>“好房子”建设</w:t>
      </w:r>
      <w:r>
        <w:rPr>
          <w:rFonts w:eastAsia="仿宋_GB2312"/>
          <w:color w:val="000000"/>
          <w:kern w:val="0"/>
          <w:sz w:val="36"/>
          <w:szCs w:val="36"/>
          <w:lang w:bidi="ar"/>
        </w:rPr>
        <w:t>体系，鼓励制定团体标准和企业标准。推行新型建造方式，推广装配式建筑和绿色建筑，实行绿色建筑标识制度，加快绿色建材认证和推广应用。加强工程质量安全管理，将实体性能检测结果纳入住宅质量保证书，推行分户验收和业主查验制度，深化住宅质量通病治理。鼓励开发建设单位在商品房销售场所公示住宅品质提升相关措施，设置工艺工法展示区，将主要内容载入商品房买卖合同。鼓励开发建设单位交付三维可视住宅产品使用手册和住宅项目长期维护手册，明确关键时点检测维修计划，便于购房者合理使</w:t>
      </w:r>
      <w:r>
        <w:rPr>
          <w:rFonts w:hint="eastAsia" w:eastAsia="仿宋_GB2312"/>
          <w:color w:val="000000"/>
          <w:kern w:val="0"/>
          <w:sz w:val="36"/>
          <w:szCs w:val="36"/>
          <w:lang w:bidi="ar"/>
        </w:rPr>
        <w:t>用和</w:t>
      </w:r>
      <w:r>
        <w:rPr>
          <w:rFonts w:eastAsia="仿宋_GB2312"/>
          <w:color w:val="000000"/>
          <w:kern w:val="0"/>
          <w:sz w:val="36"/>
          <w:szCs w:val="36"/>
          <w:lang w:bidi="ar"/>
        </w:rPr>
        <w:t>维护房屋。鼓励提供房屋定制化整装、智能化家居等产品，探索住宅</w:t>
      </w:r>
      <w:r>
        <w:rPr>
          <w:rFonts w:hint="eastAsia" w:eastAsia="仿宋_GB2312"/>
          <w:color w:val="000000"/>
          <w:kern w:val="0"/>
          <w:sz w:val="36"/>
          <w:szCs w:val="36"/>
          <w:lang w:bidi="ar"/>
        </w:rPr>
        <w:t>“</w:t>
      </w:r>
      <w:r>
        <w:rPr>
          <w:rFonts w:eastAsia="仿宋_GB2312"/>
          <w:color w:val="000000"/>
          <w:kern w:val="0"/>
          <w:sz w:val="36"/>
          <w:szCs w:val="36"/>
          <w:lang w:bidi="ar"/>
        </w:rPr>
        <w:t>定制化</w:t>
      </w:r>
      <w:r>
        <w:rPr>
          <w:rFonts w:hint="eastAsia" w:eastAsia="仿宋_GB2312"/>
          <w:color w:val="000000"/>
          <w:kern w:val="0"/>
          <w:sz w:val="36"/>
          <w:szCs w:val="36"/>
          <w:lang w:bidi="ar"/>
        </w:rPr>
        <w:t>”“菜单式”</w:t>
      </w:r>
      <w:r>
        <w:rPr>
          <w:rFonts w:eastAsia="仿宋_GB2312"/>
          <w:color w:val="000000"/>
          <w:kern w:val="0"/>
          <w:sz w:val="36"/>
          <w:szCs w:val="36"/>
          <w:lang w:bidi="ar"/>
        </w:rPr>
        <w:t>精装交付模式。</w:t>
      </w:r>
      <w:bookmarkEnd w:id="105"/>
      <w:bookmarkEnd w:id="106"/>
      <w:bookmarkEnd w:id="107"/>
      <w:bookmarkEnd w:id="108"/>
    </w:p>
    <w:p w14:paraId="2AE258C3">
      <w:pPr>
        <w:widowControl/>
        <w:spacing w:line="240" w:lineRule="exact"/>
        <w:ind w:firstLine="720" w:firstLineChars="200"/>
        <w:outlineLvl w:val="1"/>
        <w:rPr>
          <w:rFonts w:eastAsia="仿宋_GB2312"/>
          <w:color w:val="000000"/>
          <w:kern w:val="0"/>
          <w:sz w:val="36"/>
          <w:szCs w:val="36"/>
          <w:lang w:bidi="ar"/>
        </w:rPr>
      </w:pP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79420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tcBorders>
              <w:top w:val="single" w:color="auto" w:sz="4" w:space="0"/>
              <w:left w:val="single" w:color="auto" w:sz="4" w:space="0"/>
              <w:bottom w:val="single" w:color="auto" w:sz="4" w:space="0"/>
              <w:right w:val="single" w:color="auto" w:sz="4" w:space="0"/>
            </w:tcBorders>
          </w:tcPr>
          <w:p w14:paraId="7E9CB5A2">
            <w:pPr>
              <w:widowControl/>
              <w:spacing w:line="480" w:lineRule="exact"/>
              <w:jc w:val="center"/>
              <w:rPr>
                <w:rFonts w:ascii="黑体" w:hAnsi="黑体" w:eastAsia="黑体" w:cs="黑体"/>
                <w:kern w:val="0"/>
                <w:sz w:val="28"/>
                <w:szCs w:val="28"/>
                <w:lang w:bidi="ar"/>
              </w:rPr>
            </w:pPr>
            <w:r>
              <w:rPr>
                <w:rFonts w:hint="eastAsia" w:ascii="黑体" w:hAnsi="黑体" w:eastAsia="黑体" w:cs="黑体"/>
                <w:kern w:val="0"/>
                <w:sz w:val="28"/>
                <w:szCs w:val="28"/>
                <w:lang w:bidi="ar"/>
              </w:rPr>
              <w:t>专栏6 提升住宅建设质量</w:t>
            </w:r>
          </w:p>
          <w:p w14:paraId="781052E8">
            <w:pPr>
              <w:widowControl/>
              <w:spacing w:line="480" w:lineRule="exact"/>
              <w:ind w:firstLine="560" w:firstLineChars="200"/>
            </w:pPr>
            <w:r>
              <w:rPr>
                <w:rFonts w:hint="eastAsia" w:ascii="仿宋_GB2312" w:hAnsi="仿宋_GB2312" w:eastAsia="仿宋_GB2312" w:cs="仿宋_GB2312"/>
                <w:kern w:val="0"/>
                <w:sz w:val="28"/>
                <w:szCs w:val="28"/>
                <w:lang w:bidi="ar"/>
              </w:rPr>
              <w:t>严格执行工程建设强制性标准，全面落实住宅隔声、防串味、防水等标准规定。狠抓材料进场检验，严格落实建材先检后用制度。</w:t>
            </w:r>
            <w:r>
              <w:rPr>
                <w:rFonts w:hint="eastAsia" w:ascii="仿宋_GB2312" w:hAnsi="仿宋_GB2312" w:eastAsia="仿宋_GB2312" w:cs="仿宋_GB2312"/>
                <w:bCs/>
                <w:color w:val="000000"/>
                <w:sz w:val="28"/>
                <w:szCs w:val="28"/>
              </w:rPr>
              <w:t>在分项工程大面积施工前，以现场示范操作、视频影像、图片样板等形式展示关键部位、关键工序的做法与要求，促进一线作业人员掌握质量标准和具体施工工艺。</w:t>
            </w:r>
            <w:r>
              <w:rPr>
                <w:rFonts w:hint="eastAsia" w:ascii="仿宋_GB2312" w:hAnsi="仿宋_GB2312" w:eastAsia="仿宋_GB2312" w:cs="仿宋_GB2312"/>
                <w:kern w:val="0"/>
                <w:sz w:val="28"/>
                <w:szCs w:val="28"/>
                <w:lang w:bidi="ar"/>
              </w:rPr>
              <w:t>健全工程质量第三方检测机制，在住宅工程竣工验收前，开展隔声、防串味、防水等实体性能检测，确保使用功能满足要求。推行住宅工程质量潜在缺陷保险制度，健全工程质量风险管控体系，切实保障产权所有人合法权益。</w:t>
            </w:r>
          </w:p>
        </w:tc>
      </w:tr>
    </w:tbl>
    <w:p w14:paraId="653B102E">
      <w:pPr>
        <w:widowControl/>
        <w:spacing w:line="640" w:lineRule="exact"/>
        <w:ind w:firstLine="720" w:firstLineChars="200"/>
        <w:outlineLvl w:val="1"/>
      </w:pPr>
      <w:bookmarkStart w:id="109" w:name="_Toc22947"/>
      <w:bookmarkStart w:id="110" w:name="_Toc1479"/>
      <w:bookmarkStart w:id="111" w:name="_Toc1817"/>
      <w:bookmarkStart w:id="112" w:name="_Toc18417"/>
      <w:bookmarkStart w:id="113" w:name="_Toc30974"/>
      <w:r>
        <w:rPr>
          <w:rStyle w:val="13"/>
          <w:rFonts w:hint="default" w:ascii="Times New Roman" w:hAnsi="Times New Roman" w:eastAsia="楷体_GB2312" w:cs="Times New Roman"/>
          <w:b w:val="0"/>
        </w:rPr>
        <w:t>（十八）健全房屋全生命周期管理制度</w:t>
      </w:r>
      <w:bookmarkEnd w:id="109"/>
      <w:r>
        <w:rPr>
          <w:rFonts w:eastAsia="楷体_GB2312"/>
          <w:color w:val="000000"/>
          <w:kern w:val="0"/>
          <w:sz w:val="36"/>
          <w:szCs w:val="36"/>
          <w:lang w:bidi="ar"/>
        </w:rPr>
        <w:t>。</w:t>
      </w:r>
      <w:r>
        <w:rPr>
          <w:rFonts w:hint="eastAsia" w:ascii="仿宋_GB2312" w:hAnsi="仿宋_GB2312" w:eastAsia="仿宋_GB2312" w:cs="仿宋_GB2312"/>
          <w:color w:val="000000"/>
          <w:kern w:val="0"/>
          <w:sz w:val="36"/>
          <w:szCs w:val="36"/>
          <w:lang w:bidi="ar"/>
        </w:rPr>
        <w:t>推行房屋安全体检、房屋安全管理资金、房屋质量安全保险试点及应用，支持住房公积金增值收益用于房屋全生命周期安全管理。健全房屋安全管理制度，压实房屋所有权人主体责任，建立政府统一领导、部门协同管理、安全责任人主责、社会共同参与的房屋安全风险防控治理体系，规范开展日常检查和年度综合检查，实现检查过程可追溯、整改可闭环。推进智慧房安系统建设，建立房屋建筑信息动态更新机制，完善房屋安全数字档案</w:t>
      </w:r>
      <w:r>
        <w:rPr>
          <w:rFonts w:ascii="仿宋_GB2312" w:hAnsi="仿宋_GB2312" w:eastAsia="仿宋_GB2312" w:cs="仿宋_GB2312"/>
          <w:color w:val="000000"/>
          <w:kern w:val="0"/>
          <w:sz w:val="36"/>
          <w:szCs w:val="36"/>
          <w:lang w:bidi="ar"/>
        </w:rPr>
        <w:t>，鼓励运用卫星遥感、智能监测等手段对既有房屋结构变形实施监测预警。</w:t>
      </w:r>
      <w:r>
        <w:rPr>
          <w:rFonts w:hint="eastAsia" w:ascii="仿宋_GB2312" w:hAnsi="仿宋_GB2312" w:eastAsia="仿宋_GB2312" w:cs="仿宋_GB2312"/>
          <w:color w:val="000000"/>
          <w:kern w:val="0"/>
          <w:sz w:val="36"/>
          <w:szCs w:val="36"/>
          <w:lang w:bidi="ar"/>
        </w:rPr>
        <w:t>推行建筑定期评估制度和城镇房屋达设计使用年限委托鉴定制度。创新房屋安全保险产品供给，推广“保险+服务”模式。</w:t>
      </w:r>
      <w:bookmarkEnd w:id="110"/>
      <w:bookmarkEnd w:id="111"/>
      <w:bookmarkEnd w:id="112"/>
      <w:bookmarkEnd w:id="113"/>
    </w:p>
    <w:p w14:paraId="369DE0BF">
      <w:pPr>
        <w:widowControl/>
        <w:spacing w:line="640" w:lineRule="exact"/>
        <w:ind w:firstLine="720" w:firstLineChars="200"/>
        <w:outlineLvl w:val="1"/>
        <w:rPr>
          <w:rFonts w:ascii="仿宋_GB2312" w:hAnsi="仿宋_GB2312" w:eastAsia="仿宋_GB2312" w:cs="仿宋_GB2312"/>
          <w:color w:val="000000"/>
          <w:kern w:val="0"/>
          <w:sz w:val="36"/>
          <w:szCs w:val="36"/>
          <w:lang w:bidi="ar"/>
        </w:rPr>
      </w:pPr>
      <w:bookmarkStart w:id="114" w:name="_Toc7130"/>
      <w:bookmarkStart w:id="115" w:name="_Toc32083"/>
      <w:bookmarkStart w:id="116" w:name="_Toc25432"/>
      <w:bookmarkStart w:id="117" w:name="_Toc27323"/>
      <w:bookmarkStart w:id="118" w:name="_Toc30149"/>
      <w:r>
        <w:rPr>
          <w:rStyle w:val="13"/>
          <w:rFonts w:hint="default" w:ascii="Times New Roman" w:hAnsi="Times New Roman" w:eastAsia="楷体_GB2312" w:cs="Times New Roman"/>
          <w:b w:val="0"/>
        </w:rPr>
        <w:t>（十九）提升物业服务水平</w:t>
      </w:r>
      <w:bookmarkEnd w:id="114"/>
      <w:r>
        <w:rPr>
          <w:rFonts w:eastAsia="楷体_GB2312"/>
          <w:color w:val="000000"/>
          <w:kern w:val="0"/>
          <w:sz w:val="36"/>
          <w:szCs w:val="36"/>
          <w:lang w:bidi="ar"/>
        </w:rPr>
        <w:t>。</w:t>
      </w:r>
      <w:r>
        <w:rPr>
          <w:rFonts w:hint="eastAsia" w:ascii="仿宋_GB2312" w:hAnsi="仿宋_GB2312" w:eastAsia="仿宋_GB2312" w:cs="仿宋_GB2312"/>
          <w:color w:val="000000"/>
          <w:kern w:val="0"/>
          <w:sz w:val="36"/>
          <w:szCs w:val="36"/>
          <w:lang w:bidi="ar"/>
        </w:rPr>
        <w:t>坚持建管并重，全面实施物业服务质量提升行动。持续健全社区党组织领导下的居委会、业委会、物管会、物业企业、产权单位、业主等多方参与的协调运行机制。深化物业企业综合评价应用，规范企业行为，构建质价相符的市场机制。持续抓好物业服务突出问题治理，补齐老旧小区物业服务短板，全面引入规范物业服务，推动老旧小区物业服务全覆盖，构建物业管理长效机制。探索“物业+生活”服务模式，推动物业服务向社区生活服务延伸。</w:t>
      </w:r>
      <w:bookmarkEnd w:id="115"/>
      <w:bookmarkEnd w:id="116"/>
      <w:bookmarkEnd w:id="117"/>
      <w:bookmarkEnd w:id="118"/>
      <w:r>
        <w:rPr>
          <w:rFonts w:hint="eastAsia" w:ascii="仿宋_GB2312" w:hAnsi="仿宋_GB2312" w:eastAsia="仿宋_GB2312" w:cs="仿宋_GB2312"/>
          <w:color w:val="000000"/>
          <w:kern w:val="0"/>
          <w:sz w:val="36"/>
          <w:szCs w:val="36"/>
          <w:lang w:bidi="ar"/>
        </w:rPr>
        <w:t>出台深化住宅专项维修资金管理改革的配套政策。推动小区共用部分经营收益规范管理，探索开展公共收益监管试点，研究完善社区配套运营反哺机制。</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245E0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tcBorders>
              <w:top w:val="single" w:color="auto" w:sz="4" w:space="0"/>
              <w:left w:val="single" w:color="auto" w:sz="4" w:space="0"/>
              <w:bottom w:val="single" w:color="auto" w:sz="4" w:space="0"/>
              <w:right w:val="single" w:color="auto" w:sz="4" w:space="0"/>
            </w:tcBorders>
          </w:tcPr>
          <w:p w14:paraId="0CA58A11">
            <w:pPr>
              <w:widowControl/>
              <w:spacing w:line="480" w:lineRule="exact"/>
              <w:jc w:val="center"/>
              <w:rPr>
                <w:rFonts w:ascii="黑体" w:hAnsi="黑体" w:eastAsia="黑体" w:cs="黑体"/>
                <w:kern w:val="0"/>
                <w:sz w:val="28"/>
                <w:szCs w:val="28"/>
                <w:lang w:bidi="ar"/>
              </w:rPr>
            </w:pPr>
            <w:r>
              <w:rPr>
                <w:rFonts w:hint="eastAsia" w:ascii="黑体" w:hAnsi="黑体" w:eastAsia="黑体" w:cs="黑体"/>
                <w:kern w:val="0"/>
                <w:sz w:val="28"/>
                <w:szCs w:val="28"/>
                <w:lang w:bidi="ar"/>
              </w:rPr>
              <w:t>专栏7 物业服务质量提升</w:t>
            </w:r>
          </w:p>
          <w:p w14:paraId="0FD39035">
            <w:pPr>
              <w:widowControl/>
              <w:spacing w:line="480" w:lineRule="exact"/>
              <w:ind w:firstLine="560" w:firstLineChars="200"/>
            </w:pPr>
            <w:r>
              <w:rPr>
                <w:rFonts w:hint="eastAsia" w:ascii="仿宋_GB2312" w:hAnsi="仿宋_GB2312" w:eastAsia="仿宋_GB2312" w:cs="仿宋_GB2312"/>
                <w:kern w:val="0"/>
                <w:sz w:val="28"/>
                <w:szCs w:val="28"/>
                <w:lang w:bidi="ar"/>
              </w:rPr>
              <w:t>全面实施物业服务质量提升行动。抓好物业服务领域专项集中整治，进一步规范物业企业服务、维护群众合法权益。鼓励物业服务企业结合嵌入式服务设施建设和完整社区建设，向养老、托育、家政、文化、健康等领域延伸，推动“物业服务进家庭”。</w:t>
            </w:r>
          </w:p>
        </w:tc>
      </w:tr>
    </w:tbl>
    <w:p w14:paraId="6D77675B">
      <w:pPr>
        <w:widowControl/>
        <w:spacing w:line="640" w:lineRule="exact"/>
        <w:ind w:firstLine="720" w:firstLineChars="200"/>
        <w:outlineLvl w:val="1"/>
        <w:rPr>
          <w:rFonts w:ascii="仿宋_GB2312" w:hAnsi="仿宋_GB2312" w:eastAsia="仿宋_GB2312" w:cs="仿宋_GB2312"/>
          <w:color w:val="000000"/>
          <w:kern w:val="0"/>
          <w:sz w:val="36"/>
          <w:szCs w:val="36"/>
          <w:lang w:bidi="ar"/>
        </w:rPr>
      </w:pPr>
      <w:bookmarkStart w:id="119" w:name="_Toc10048"/>
      <w:bookmarkStart w:id="120" w:name="_Toc12127"/>
      <w:bookmarkStart w:id="121" w:name="_Toc23657"/>
      <w:bookmarkStart w:id="122" w:name="_Toc29669"/>
      <w:bookmarkStart w:id="123" w:name="_Toc13389"/>
      <w:r>
        <w:rPr>
          <w:rStyle w:val="13"/>
          <w:rFonts w:hint="default" w:ascii="楷体_GB2312" w:hAnsi="楷体_GB2312" w:eastAsia="楷体_GB2312" w:cs="楷体_GB2312"/>
          <w:b w:val="0"/>
        </w:rPr>
        <w:t>（二十）推进智慧住区和数字家庭建设</w:t>
      </w:r>
      <w:bookmarkEnd w:id="119"/>
      <w:r>
        <w:rPr>
          <w:rFonts w:hint="eastAsia" w:ascii="楷体_GB2312" w:hAnsi="楷体_GB2312" w:eastAsia="楷体_GB2312" w:cs="楷体_GB2312"/>
          <w:color w:val="000000"/>
          <w:kern w:val="0"/>
          <w:sz w:val="36"/>
          <w:szCs w:val="36"/>
          <w:lang w:bidi="ar"/>
        </w:rPr>
        <w:t>。</w:t>
      </w:r>
      <w:r>
        <w:rPr>
          <w:rFonts w:hint="eastAsia" w:ascii="仿宋_GB2312" w:hAnsi="仿宋_GB2312" w:eastAsia="仿宋_GB2312" w:cs="仿宋_GB2312"/>
          <w:color w:val="000000"/>
          <w:kern w:val="0"/>
          <w:sz w:val="36"/>
          <w:szCs w:val="36"/>
          <w:lang w:bidi="ar"/>
        </w:rPr>
        <w:t>鼓励新建住宅建设数字家庭，加强智能信息综合布线，合理设置智能家居产品，既有住宅结合更新推进信息基础设施升级。推动智能家居与社区智慧服务、政务服务等场景联通，满足居民家居智能化服务、线上社会化服务和政务申办等需求。将智慧物业纳入完整社区建设一体推进，鼓励物业企业引入智能管理服务，建立与业主互通互联的小区智慧服务管理系统。推动“北京物业”板块与“京通”融合联通，丰富业主端应用场景。推进智慧住区建设，强化智慧物业与社区治理、便民服务协同联动。发展全龄友好的智慧居住服务，让群众享受更安全、更便捷、更舒适的智慧生活。</w:t>
      </w:r>
      <w:bookmarkEnd w:id="120"/>
      <w:bookmarkEnd w:id="121"/>
      <w:bookmarkEnd w:id="122"/>
      <w:bookmarkEnd w:id="123"/>
    </w:p>
    <w:p w14:paraId="4D8D1A6D">
      <w:pPr>
        <w:pStyle w:val="2"/>
        <w:widowControl/>
        <w:spacing w:line="640" w:lineRule="exact"/>
        <w:ind w:firstLine="720" w:firstLineChars="200"/>
        <w:rPr>
          <w:sz w:val="36"/>
          <w:szCs w:val="36"/>
        </w:rPr>
      </w:pPr>
      <w:bookmarkStart w:id="124" w:name="_Toc25118"/>
      <w:bookmarkStart w:id="125" w:name="_Toc24795"/>
      <w:bookmarkStart w:id="126" w:name="_Toc1509572324_WPSOffice_Level1"/>
      <w:bookmarkStart w:id="127" w:name="_Toc7137"/>
      <w:bookmarkStart w:id="128" w:name="_Toc14691"/>
      <w:bookmarkStart w:id="129" w:name="_Toc31168"/>
      <w:r>
        <w:rPr>
          <w:rStyle w:val="12"/>
          <w:rFonts w:hint="eastAsia"/>
          <w:sz w:val="36"/>
          <w:szCs w:val="36"/>
        </w:rPr>
        <w:t>六、统筹要素优化住房空间格局</w:t>
      </w:r>
      <w:bookmarkEnd w:id="124"/>
      <w:bookmarkEnd w:id="125"/>
      <w:bookmarkEnd w:id="126"/>
      <w:r>
        <w:rPr>
          <w:rStyle w:val="12"/>
          <w:rFonts w:hint="eastAsia"/>
          <w:sz w:val="36"/>
          <w:szCs w:val="36"/>
        </w:rPr>
        <w:t>，促进职住平衡</w:t>
      </w:r>
      <w:bookmarkEnd w:id="127"/>
      <w:bookmarkEnd w:id="128"/>
      <w:bookmarkEnd w:id="129"/>
    </w:p>
    <w:p w14:paraId="030E68CE">
      <w:pPr>
        <w:spacing w:line="640" w:lineRule="exact"/>
        <w:ind w:firstLine="720" w:firstLineChars="200"/>
        <w:outlineLvl w:val="1"/>
        <w:rPr>
          <w:rFonts w:ascii="仿宋_GB2312" w:hAnsi="仿宋_GB2312" w:eastAsia="仿宋_GB2312" w:cs="仿宋_GB2312"/>
          <w:color w:val="000000"/>
          <w:sz w:val="36"/>
          <w:szCs w:val="36"/>
          <w:lang w:bidi="ar"/>
        </w:rPr>
      </w:pPr>
      <w:bookmarkStart w:id="130" w:name="_Toc27349"/>
      <w:bookmarkStart w:id="131" w:name="_Toc29293"/>
      <w:bookmarkStart w:id="132" w:name="_Toc31364"/>
      <w:bookmarkStart w:id="133" w:name="_Toc25454"/>
      <w:bookmarkStart w:id="134" w:name="_Toc13246"/>
      <w:r>
        <w:rPr>
          <w:rStyle w:val="13"/>
          <w:rFonts w:hint="default" w:ascii="楷体_GB2312" w:hAnsi="楷体_GB2312" w:eastAsia="楷体_GB2312" w:cs="楷体_GB2312"/>
          <w:b w:val="0"/>
        </w:rPr>
        <w:t>（二十一）站城融合，强化轨道交通对居住布局的引领</w:t>
      </w:r>
      <w:bookmarkEnd w:id="130"/>
      <w:r>
        <w:rPr>
          <w:rFonts w:hint="eastAsia" w:ascii="楷体_GB2312" w:hAnsi="楷体_GB2312" w:eastAsia="楷体_GB2312" w:cs="楷体_GB2312"/>
          <w:color w:val="000000"/>
          <w:kern w:val="0"/>
          <w:sz w:val="36"/>
          <w:szCs w:val="36"/>
          <w:lang w:bidi="ar"/>
        </w:rPr>
        <w:t>。</w:t>
      </w:r>
      <w:r>
        <w:rPr>
          <w:rFonts w:hint="eastAsia" w:ascii="仿宋_GB2312" w:hAnsi="仿宋_GB2312" w:eastAsia="仿宋_GB2312" w:cs="仿宋_GB2312"/>
          <w:color w:val="000000"/>
          <w:kern w:val="0"/>
          <w:sz w:val="36"/>
          <w:szCs w:val="36"/>
          <w:lang w:bidi="ar"/>
        </w:rPr>
        <w:t>坚持以公共交通为导向，强化轨道交通对居住布局的引领作用。聚焦轨道交通廊道和重要站点，突出市郊（市域）铁路和大站快线的骨干作用，推动居住、就业、商业</w:t>
      </w:r>
      <w:r>
        <w:rPr>
          <w:rFonts w:hint="eastAsia" w:ascii="仿宋_GB2312" w:hAnsi="仿宋_GB2312" w:eastAsia="仿宋_GB2312" w:cs="仿宋_GB2312"/>
          <w:color w:val="000000"/>
          <w:sz w:val="36"/>
          <w:szCs w:val="36"/>
          <w:lang w:bidi="ar"/>
        </w:rPr>
        <w:t>和公共服务功能有机融合。强化站点片区功能复合与站城融合，引导住房资源向轨道站点周边集聚。</w:t>
      </w:r>
      <w:bookmarkEnd w:id="131"/>
      <w:bookmarkEnd w:id="132"/>
      <w:bookmarkEnd w:id="133"/>
      <w:bookmarkEnd w:id="134"/>
    </w:p>
    <w:p w14:paraId="29B20C6B">
      <w:pPr>
        <w:spacing w:line="640" w:lineRule="exact"/>
        <w:ind w:firstLine="720" w:firstLineChars="200"/>
        <w:outlineLvl w:val="1"/>
        <w:rPr>
          <w:rFonts w:ascii="仿宋_GB2312" w:hAnsi="仿宋_GB2312" w:eastAsia="仿宋_GB2312" w:cs="仿宋_GB2312"/>
          <w:color w:val="000000"/>
          <w:sz w:val="36"/>
          <w:szCs w:val="36"/>
          <w:lang w:bidi="ar"/>
        </w:rPr>
      </w:pPr>
      <w:bookmarkStart w:id="135" w:name="_Toc2554"/>
      <w:bookmarkStart w:id="136" w:name="_Toc2088"/>
      <w:bookmarkStart w:id="137" w:name="_Toc5592"/>
      <w:bookmarkStart w:id="138" w:name="_Toc11716"/>
      <w:bookmarkStart w:id="139" w:name="_Toc32341"/>
      <w:r>
        <w:rPr>
          <w:rStyle w:val="13"/>
          <w:rFonts w:hint="default" w:ascii="楷体_GB2312" w:hAnsi="楷体_GB2312" w:eastAsia="楷体_GB2312" w:cs="楷体_GB2312"/>
          <w:b w:val="0"/>
        </w:rPr>
        <w:t>（二十二）产城融合，促进就业与居住合理匹配</w:t>
      </w:r>
      <w:bookmarkEnd w:id="135"/>
      <w:r>
        <w:rPr>
          <w:rFonts w:hint="eastAsia" w:ascii="楷体_GB2312" w:hAnsi="楷体_GB2312" w:eastAsia="楷体_GB2312" w:cs="楷体_GB2312"/>
          <w:color w:val="000000"/>
          <w:kern w:val="0"/>
          <w:sz w:val="36"/>
          <w:szCs w:val="36"/>
          <w:lang w:bidi="ar"/>
        </w:rPr>
        <w:t>。</w:t>
      </w:r>
      <w:r>
        <w:rPr>
          <w:rFonts w:hint="eastAsia" w:ascii="仿宋_GB2312" w:hAnsi="仿宋_GB2312" w:eastAsia="仿宋_GB2312" w:cs="仿宋_GB2312"/>
          <w:color w:val="000000"/>
          <w:sz w:val="36"/>
          <w:szCs w:val="36"/>
          <w:lang w:bidi="ar"/>
        </w:rPr>
        <w:t>坚持产居联动，促进职住近接和产城融合。立足“三城一区”和重点产业功能区，在就业集聚的重点功能区周边合理增加保障性租赁住房供给，引导人口就近居住。围绕中关村科学城、北京经济技术开发区、临空经济区等重点产业功能区以及重点高教园区，加强住房供给。在平原新城根据产业发展阶段和就业规模变化合理安排住房供应，以住房配置支撑产业培育和功能成熟，促进产城融合发展。</w:t>
      </w:r>
      <w:bookmarkEnd w:id="136"/>
      <w:bookmarkEnd w:id="137"/>
      <w:bookmarkEnd w:id="138"/>
      <w:bookmarkEnd w:id="139"/>
    </w:p>
    <w:p w14:paraId="11DDFD93">
      <w:pPr>
        <w:widowControl/>
        <w:spacing w:line="640" w:lineRule="exact"/>
        <w:ind w:firstLine="720" w:firstLineChars="200"/>
        <w:outlineLvl w:val="1"/>
        <w:rPr>
          <w:rFonts w:ascii="仿宋_GB2312" w:hAnsi="仿宋_GB2312" w:eastAsia="仿宋_GB2312" w:cs="仿宋_GB2312"/>
          <w:color w:val="000000"/>
          <w:sz w:val="36"/>
          <w:szCs w:val="36"/>
          <w:lang w:bidi="ar"/>
        </w:rPr>
      </w:pPr>
      <w:bookmarkStart w:id="140" w:name="_Toc4353"/>
      <w:bookmarkStart w:id="141" w:name="_Toc6057"/>
      <w:bookmarkStart w:id="142" w:name="_Toc28092"/>
      <w:bookmarkStart w:id="143" w:name="_Toc12854"/>
      <w:bookmarkStart w:id="144" w:name="_Toc10513"/>
      <w:r>
        <w:rPr>
          <w:rStyle w:val="13"/>
          <w:rFonts w:hint="default" w:ascii="楷体_GB2312" w:hAnsi="楷体_GB2312" w:eastAsia="楷体_GB2312" w:cs="楷体_GB2312"/>
          <w:b w:val="0"/>
        </w:rPr>
        <w:t>（二十三）水绿融合，营造望山亲水近绿的宜居组团</w:t>
      </w:r>
      <w:bookmarkEnd w:id="140"/>
      <w:r>
        <w:rPr>
          <w:rFonts w:hint="eastAsia" w:ascii="楷体_GB2312" w:hAnsi="楷体_GB2312" w:eastAsia="楷体_GB2312" w:cs="楷体_GB2312"/>
          <w:color w:val="000000"/>
          <w:kern w:val="0"/>
          <w:sz w:val="36"/>
          <w:szCs w:val="36"/>
          <w:lang w:bidi="ar"/>
        </w:rPr>
        <w:t>。</w:t>
      </w:r>
      <w:r>
        <w:rPr>
          <w:rFonts w:hint="eastAsia" w:ascii="仿宋_GB2312" w:hAnsi="仿宋_GB2312" w:eastAsia="仿宋_GB2312" w:cs="仿宋_GB2312"/>
          <w:color w:val="000000"/>
          <w:sz w:val="36"/>
          <w:szCs w:val="36"/>
          <w:lang w:bidi="ar"/>
        </w:rPr>
        <w:t>结合花园城市建设，依托绿道网络、公园体系和滨水空间，推动居住空间与绿色空间均衡布局，优化住房与生态空间的融合关系。推动住区绿道融入完整社区建设和一刻钟便民生活圈，串联居住社区、就业中心、学校和公交站点，营造“出门进林荫、转角即入园”的居住环境。加强住区与滨水岸线的连通，推动更多住区就近亲水。结合老旧小区改造和住区更新营造花园住区场景，推动组团式、簇式居住空间发展，充分利用空闲地、边角地实施社区微花园建设，实现社区三季有花、四季有绿。在生态环境优良、公共服务完善的区域，结合养老型和改善型居住需求，引导发展绿色宜居、全龄友好、健康舒适的高品质居住组团，营造开放共享的社区环境，让居民望山、亲水、近绿。</w:t>
      </w:r>
      <w:bookmarkEnd w:id="141"/>
      <w:bookmarkEnd w:id="142"/>
      <w:bookmarkEnd w:id="143"/>
      <w:bookmarkEnd w:id="144"/>
    </w:p>
    <w:p w14:paraId="160B881D">
      <w:pPr>
        <w:widowControl/>
        <w:spacing w:line="640" w:lineRule="exact"/>
        <w:ind w:firstLine="720" w:firstLineChars="200"/>
        <w:outlineLvl w:val="1"/>
        <w:rPr>
          <w:rFonts w:hint="eastAsia" w:ascii="仿宋_GB2312" w:hAnsi="仿宋_GB2312" w:eastAsia="仿宋_GB2312" w:cs="仿宋_GB2312"/>
          <w:color w:val="000000"/>
          <w:sz w:val="36"/>
          <w:szCs w:val="36"/>
          <w:lang w:bidi="ar"/>
        </w:rPr>
      </w:pPr>
      <w:bookmarkStart w:id="145" w:name="_Toc15226"/>
      <w:bookmarkStart w:id="146" w:name="_Toc2844"/>
      <w:bookmarkStart w:id="147" w:name="_Toc27845"/>
      <w:bookmarkStart w:id="148" w:name="_Toc29890"/>
      <w:bookmarkStart w:id="149" w:name="_Toc1785"/>
      <w:r>
        <w:rPr>
          <w:rStyle w:val="13"/>
          <w:rFonts w:hint="default" w:ascii="楷体_GB2312" w:hAnsi="楷体_GB2312" w:eastAsia="楷体_GB2312" w:cs="楷体_GB2312"/>
          <w:b w:val="0"/>
        </w:rPr>
        <w:t>（二十四）围绕合理通勤范围，构建职住平衡的多层级居住承载空间</w:t>
      </w:r>
      <w:bookmarkEnd w:id="145"/>
      <w:r>
        <w:rPr>
          <w:rFonts w:hint="eastAsia" w:ascii="楷体_GB2312" w:hAnsi="楷体_GB2312" w:eastAsia="楷体_GB2312" w:cs="楷体_GB2312"/>
          <w:color w:val="000000"/>
          <w:kern w:val="0"/>
          <w:sz w:val="36"/>
          <w:szCs w:val="36"/>
          <w:lang w:bidi="ar"/>
        </w:rPr>
        <w:t>。</w:t>
      </w:r>
      <w:r>
        <w:rPr>
          <w:rFonts w:hint="eastAsia" w:ascii="仿宋_GB2312" w:hAnsi="仿宋_GB2312" w:eastAsia="仿宋_GB2312" w:cs="仿宋_GB2312"/>
          <w:color w:val="000000"/>
          <w:sz w:val="36"/>
          <w:szCs w:val="36"/>
          <w:lang w:bidi="ar"/>
        </w:rPr>
        <w:t>加强现代化首都都市圈协同，构建多层级居住承载空间。以交通一体化为引领，全面建成平原新城至中心城区半小时通勤圈。统筹京津冀地区居住需求，关注市域外围高校、医院等重大公共服务设施周边的居住需求，鼓励就近居住、改善通勤，强化轨道交通支撑，推动“通医通学”便利化。发挥城市副中心发展引领、平原新城协同衔接、生态涵养区生态安全保障作用，通过廊道串联、组团发展，推动通勤便捷、公共服务共享和要素有序流动。</w:t>
      </w:r>
      <w:bookmarkEnd w:id="146"/>
      <w:bookmarkEnd w:id="147"/>
      <w:bookmarkEnd w:id="148"/>
      <w:bookmarkEnd w:id="149"/>
    </w:p>
    <w:p w14:paraId="2D676B77">
      <w:pPr>
        <w:widowControl/>
        <w:spacing w:line="640" w:lineRule="exact"/>
        <w:ind w:firstLine="720" w:firstLineChars="200"/>
        <w:outlineLvl w:val="1"/>
        <w:rPr>
          <w:rFonts w:hint="eastAsia" w:ascii="仿宋_GB2312" w:hAnsi="仿宋_GB2312" w:eastAsia="仿宋_GB2312" w:cs="仿宋_GB2312"/>
          <w:color w:val="000000"/>
          <w:sz w:val="36"/>
          <w:szCs w:val="36"/>
          <w:lang w:bidi="ar"/>
        </w:rPr>
      </w:pPr>
      <w:bookmarkStart w:id="154" w:name="_GoBack"/>
      <w:bookmarkEnd w:id="154"/>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4BD5E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tcBorders>
              <w:top w:val="single" w:color="auto" w:sz="4" w:space="0"/>
              <w:left w:val="single" w:color="auto" w:sz="4" w:space="0"/>
              <w:bottom w:val="single" w:color="auto" w:sz="4" w:space="0"/>
              <w:right w:val="single" w:color="auto" w:sz="4" w:space="0"/>
            </w:tcBorders>
          </w:tcPr>
          <w:p w14:paraId="308CBE51">
            <w:pPr>
              <w:widowControl/>
              <w:spacing w:line="520" w:lineRule="exact"/>
              <w:jc w:val="center"/>
              <w:rPr>
                <w:rFonts w:ascii="黑体" w:hAnsi="黑体" w:eastAsia="黑体" w:cs="黑体"/>
                <w:kern w:val="0"/>
                <w:sz w:val="28"/>
                <w:szCs w:val="28"/>
                <w:lang w:bidi="ar"/>
              </w:rPr>
            </w:pPr>
            <w:r>
              <w:rPr>
                <w:rFonts w:hint="eastAsia" w:ascii="黑体" w:hAnsi="黑体" w:eastAsia="黑体" w:cs="黑体"/>
                <w:kern w:val="0"/>
                <w:sz w:val="28"/>
                <w:szCs w:val="28"/>
                <w:lang w:bidi="ar"/>
              </w:rPr>
              <w:t>专栏8 职住联动的分圈层住房空间指引</w:t>
            </w:r>
          </w:p>
          <w:p w14:paraId="65B50C4D">
            <w:pPr>
              <w:widowControl/>
              <w:spacing w:line="480" w:lineRule="exact"/>
              <w:ind w:firstLine="560" w:firstLineChars="200"/>
              <w:rPr>
                <w:rFonts w:ascii="仿宋_GB2312" w:hAnsi="仿宋_GB2312" w:eastAsia="仿宋_GB2312" w:cs="仿宋_GB2312"/>
                <w:sz w:val="36"/>
                <w:szCs w:val="36"/>
              </w:rPr>
            </w:pPr>
            <w:r>
              <w:rPr>
                <w:rFonts w:hint="eastAsia" w:ascii="仿宋_GB2312" w:hAnsi="仿宋_GB2312" w:eastAsia="仿宋_GB2312" w:cs="仿宋_GB2312"/>
                <w:kern w:val="0"/>
                <w:sz w:val="28"/>
                <w:szCs w:val="28"/>
                <w:lang w:bidi="ar"/>
              </w:rPr>
              <w:t>落实城市总体规划空间结构，坚持“分圈层指引、因区施策”，统筹住宅用地与产业用地供给，推动职住用地平衡，促进职住商服功能融合。强化住宅与产业联动支撑，在就业岗位集聚区域就近增加住房供给，在住宅用地供应相对集中区域适度增加产业功能导入，实现住宅用地与产业用地双向调节、产城融合、职住近接。核心区坚持减量发展和有机更新，创新推进平房区有机保护修缮，依托存量空间织补完善职住功能。中心城区围绕人口与岗位高度集聚特征，提升居住空间供给结构适配性，推动住宅用地向就业密集区域适度倾斜，促进居住供给与就业岗位相匹配。城市副中心结合功能定位和产业导入，以住房配置支撑产业培育和功能成熟。平原新城结合产业导入和轨道交通建设，合理安排住房供应结构和时序，围绕产业园区和轨道交通站点周边就近布局住房，引导就业人口就近居住。生态涵养区以满足常住人口改善型和城镇化居住需求为主，打造生态绿色友好型社区。</w:t>
            </w:r>
          </w:p>
        </w:tc>
      </w:tr>
    </w:tbl>
    <w:p w14:paraId="0CB5BB06">
      <w:pPr>
        <w:pStyle w:val="2"/>
        <w:ind w:firstLine="720" w:firstLineChars="200"/>
        <w:rPr>
          <w:sz w:val="36"/>
          <w:szCs w:val="36"/>
        </w:rPr>
      </w:pPr>
      <w:bookmarkStart w:id="150" w:name="_Toc9130"/>
      <w:bookmarkStart w:id="151" w:name="_Toc470091082_WPSOffice_Level1"/>
      <w:bookmarkStart w:id="152" w:name="_Toc30361"/>
      <w:bookmarkStart w:id="153" w:name="_Toc27549"/>
      <w:r>
        <w:rPr>
          <w:rFonts w:hint="eastAsia"/>
          <w:sz w:val="36"/>
          <w:szCs w:val="36"/>
        </w:rPr>
        <w:t>七、实施保障</w:t>
      </w:r>
      <w:bookmarkEnd w:id="150"/>
      <w:bookmarkEnd w:id="151"/>
      <w:bookmarkEnd w:id="152"/>
      <w:bookmarkEnd w:id="153"/>
    </w:p>
    <w:p w14:paraId="6FEB4ADE">
      <w:pPr>
        <w:widowControl/>
        <w:spacing w:line="600" w:lineRule="exact"/>
        <w:ind w:firstLine="720" w:firstLineChars="200"/>
        <w:rPr>
          <w:rFonts w:ascii="仿宋_GB2312" w:hAnsi="仿宋" w:eastAsia="仿宋_GB2312"/>
          <w:sz w:val="32"/>
          <w:szCs w:val="32"/>
        </w:rPr>
      </w:pPr>
      <w:r>
        <w:rPr>
          <w:rFonts w:hint="eastAsia" w:ascii="仿宋_GB2312" w:hAnsi="仿宋_GB2312" w:eastAsia="仿宋_GB2312" w:cs="仿宋_GB2312"/>
          <w:color w:val="000000"/>
          <w:kern w:val="0"/>
          <w:sz w:val="36"/>
          <w:szCs w:val="36"/>
          <w:lang w:bidi="ar"/>
        </w:rPr>
        <w:t>强化规划实施保障，有序开展规划实施的年度监测评估、中期评估和总结评估，做好与土地、人口、产业、交通、城市更新等规划实施在政策完善、任务落地和空间布局上的协同。</w:t>
      </w:r>
      <w:r>
        <w:rPr>
          <w:rFonts w:hint="eastAsia" w:ascii="仿宋_GB2312" w:hAnsi="仿宋_GB2312" w:eastAsia="仿宋_GB2312" w:cs="仿宋_GB2312"/>
          <w:kern w:val="0"/>
          <w:sz w:val="36"/>
          <w:szCs w:val="36"/>
          <w:lang w:bidi="ar"/>
        </w:rPr>
        <w:t>统筹用好各类资金和财税金融政策工具，加大对住房保障、住房租赁和住区更新改造的支持力度。</w:t>
      </w:r>
      <w:r>
        <w:rPr>
          <w:rFonts w:hint="eastAsia" w:ascii="仿宋_GB2312" w:hAnsi="仿宋_GB2312" w:eastAsia="仿宋_GB2312" w:cs="仿宋_GB2312"/>
          <w:color w:val="000000"/>
          <w:kern w:val="0"/>
          <w:sz w:val="36"/>
          <w:szCs w:val="36"/>
          <w:lang w:bidi="ar"/>
        </w:rPr>
        <w:t>健全住房供需动态监测预警机制，跟踪租金、房价、市场供求等变化，作为优化住房供应布局、结构和时序的重要依据。整合优化各类住房信息平台，构建统一的房屋大数据平台，覆盖规划、建设、交易、运维、更新全周期，推动政务服务和公共服务在住房领域深度融合。支持行业协会更好发挥作用，加强宣传引导，广泛凝聚社会共识，为首都住房高质量发展汇聚合力。</w:t>
      </w:r>
    </w:p>
    <w:p w14:paraId="4D459536">
      <w:pPr>
        <w:widowControl/>
        <w:spacing w:line="600" w:lineRule="exact"/>
        <w:rPr>
          <w:rFonts w:ascii="仿宋_GB2312" w:hAnsi="仿宋" w:eastAsia="仿宋_GB2312"/>
          <w:sz w:val="32"/>
          <w:szCs w:val="32"/>
        </w:rPr>
      </w:pPr>
    </w:p>
    <w:p w14:paraId="5FB46411"/>
    <w:sectPr>
      <w:footerReference r:id="rId7" w:type="first"/>
      <w:headerReference r:id="rId4" w:type="default"/>
      <w:footerReference r:id="rId5" w:type="default"/>
      <w:footerReference r:id="rId6" w:type="even"/>
      <w:pgSz w:w="11906" w:h="16838"/>
      <w:pgMar w:top="1701" w:right="1474" w:bottom="1701" w:left="1588" w:header="567" w:footer="1588" w:gutter="0"/>
      <w:pgNumType w:fmt="numberInDash"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3AE220">
    <w:pPr>
      <w:pStyle w:val="5"/>
      <w:ind w:right="360" w:firstLine="360"/>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711835" cy="230505"/>
              <wp:effectExtent l="0" t="0" r="0" b="0"/>
              <wp:wrapNone/>
              <wp:docPr id="2" name="文本框 2"/>
              <wp:cNvGraphicFramePr/>
              <a:graphic xmlns:a="http://schemas.openxmlformats.org/drawingml/2006/main">
                <a:graphicData uri="http://schemas.microsoft.com/office/word/2010/wordprocessingShape">
                  <wps:wsp>
                    <wps:cNvSpPr txBox="1"/>
                    <wps:spPr>
                      <a:xfrm>
                        <a:off x="0" y="0"/>
                        <a:ext cx="711835" cy="230505"/>
                      </a:xfrm>
                      <a:prstGeom prst="rect">
                        <a:avLst/>
                      </a:prstGeom>
                      <a:noFill/>
                      <a:ln w="6350">
                        <a:noFill/>
                      </a:ln>
                    </wps:spPr>
                    <wps:txbx>
                      <w:txbxContent>
                        <w:p w14:paraId="7AC1681F">
                          <w:pPr>
                            <w:pStyle w:val="5"/>
                            <w:ind w:left="420" w:leftChars="200"/>
                            <w:rPr>
                              <w:rStyle w:val="10"/>
                              <w:rFonts w:ascii="宋体" w:hAnsi="宋体"/>
                              <w:sz w:val="28"/>
                              <w:szCs w:val="28"/>
                            </w:rPr>
                          </w:pPr>
                          <w:r>
                            <w:rPr>
                              <w:rStyle w:val="10"/>
                              <w:rFonts w:ascii="宋体" w:hAnsi="宋体"/>
                              <w:sz w:val="28"/>
                              <w:szCs w:val="28"/>
                            </w:rPr>
                            <w:fldChar w:fldCharType="begin"/>
                          </w:r>
                          <w:r>
                            <w:rPr>
                              <w:rStyle w:val="10"/>
                              <w:rFonts w:ascii="宋体" w:hAnsi="宋体"/>
                              <w:sz w:val="28"/>
                              <w:szCs w:val="28"/>
                            </w:rPr>
                            <w:instrText xml:space="preserve">PAGE  </w:instrText>
                          </w:r>
                          <w:r>
                            <w:rPr>
                              <w:rStyle w:val="10"/>
                              <w:rFonts w:ascii="宋体" w:hAnsi="宋体"/>
                              <w:sz w:val="28"/>
                              <w:szCs w:val="28"/>
                            </w:rPr>
                            <w:fldChar w:fldCharType="separate"/>
                          </w:r>
                          <w:r>
                            <w:rPr>
                              <w:rStyle w:val="10"/>
                              <w:rFonts w:ascii="宋体" w:hAnsi="宋体"/>
                              <w:sz w:val="28"/>
                              <w:szCs w:val="28"/>
                            </w:rPr>
                            <w:t>- 2 -</w:t>
                          </w:r>
                          <w:r>
                            <w:rPr>
                              <w:rStyle w:val="10"/>
                              <w:rFonts w:ascii="宋体" w:hAnsi="宋体"/>
                              <w:sz w:val="28"/>
                              <w:szCs w:val="28"/>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8.15pt;width:56.05pt;mso-position-horizontal:outside;mso-position-horizontal-relative:margin;mso-wrap-style:none;z-index:251659264;mso-width-relative:page;mso-height-relative:page;" filled="f" stroked="f" coordsize="21600,21600" o:gfxdata="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NCXp70gAAAAQBAAAPAAAAAAAAAAEAIAAAACIA&#10;AABkcnMvZG93bnJldi54bWxQSwECFAAUAAAACACHTuJA3fsN3NYBAACgAwAADgAAAAAAAAABACAA&#10;AAAhAQAAZHJzL2Uyb0RvYy54bWxQSwUGAAAAAAYABgBZAQAAaQUAAAAA&#10;">
              <v:fill on="f" focussize="0,0"/>
              <v:stroke on="f" weight="0.5pt"/>
              <v:imagedata o:title=""/>
              <o:lock v:ext="edit" aspectratio="f"/>
              <v:textbox inset="0mm,0mm,0mm,0mm" style="mso-fit-shape-to-text:t;">
                <w:txbxContent>
                  <w:p w14:paraId="7AC1681F">
                    <w:pPr>
                      <w:pStyle w:val="5"/>
                      <w:ind w:left="420" w:leftChars="200"/>
                      <w:rPr>
                        <w:rStyle w:val="10"/>
                        <w:rFonts w:ascii="宋体" w:hAnsi="宋体"/>
                        <w:sz w:val="28"/>
                        <w:szCs w:val="28"/>
                      </w:rPr>
                    </w:pPr>
                    <w:r>
                      <w:rPr>
                        <w:rStyle w:val="10"/>
                        <w:rFonts w:ascii="宋体" w:hAnsi="宋体"/>
                        <w:sz w:val="28"/>
                        <w:szCs w:val="28"/>
                      </w:rPr>
                      <w:fldChar w:fldCharType="begin"/>
                    </w:r>
                    <w:r>
                      <w:rPr>
                        <w:rStyle w:val="10"/>
                        <w:rFonts w:ascii="宋体" w:hAnsi="宋体"/>
                        <w:sz w:val="28"/>
                        <w:szCs w:val="28"/>
                      </w:rPr>
                      <w:instrText xml:space="preserve">PAGE  </w:instrText>
                    </w:r>
                    <w:r>
                      <w:rPr>
                        <w:rStyle w:val="10"/>
                        <w:rFonts w:ascii="宋体" w:hAnsi="宋体"/>
                        <w:sz w:val="28"/>
                        <w:szCs w:val="28"/>
                      </w:rPr>
                      <w:fldChar w:fldCharType="separate"/>
                    </w:r>
                    <w:r>
                      <w:rPr>
                        <w:rStyle w:val="10"/>
                        <w:rFonts w:ascii="宋体" w:hAnsi="宋体"/>
                        <w:sz w:val="28"/>
                        <w:szCs w:val="28"/>
                      </w:rPr>
                      <w:t>- 2 -</w:t>
                    </w:r>
                    <w:r>
                      <w:rPr>
                        <w:rStyle w:val="10"/>
                        <w:rFonts w:ascii="宋体" w:hAnsi="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6CA0BD">
    <w:pPr>
      <w:pStyle w:val="5"/>
      <w:framePr w:wrap="around" w:vAnchor="text" w:hAnchor="margin" w:xAlign="outside" w:y="1"/>
      <w:rPr>
        <w:rStyle w:val="10"/>
      </w:rPr>
    </w:pPr>
    <w:r>
      <w:rPr>
        <w:rStyle w:val="10"/>
      </w:rPr>
      <w:fldChar w:fldCharType="begin"/>
    </w:r>
    <w:r>
      <w:rPr>
        <w:rStyle w:val="10"/>
      </w:rPr>
      <w:instrText xml:space="preserve">PAGE  </w:instrText>
    </w:r>
    <w:r>
      <w:rPr>
        <w:rStyle w:val="10"/>
      </w:rPr>
      <w:fldChar w:fldCharType="end"/>
    </w:r>
  </w:p>
  <w:p w14:paraId="25AAE699">
    <w:pPr>
      <w:pStyle w:val="5"/>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AEE9E2">
    <w:pPr>
      <w:pStyle w:val="5"/>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445135" cy="230505"/>
              <wp:effectExtent l="0" t="0" r="0" b="0"/>
              <wp:wrapNone/>
              <wp:docPr id="1" name="文本框 1"/>
              <wp:cNvGraphicFramePr/>
              <a:graphic xmlns:a="http://schemas.openxmlformats.org/drawingml/2006/main">
                <a:graphicData uri="http://schemas.microsoft.com/office/word/2010/wordprocessingShape">
                  <wps:wsp>
                    <wps:cNvSpPr txBox="1"/>
                    <wps:spPr>
                      <a:xfrm>
                        <a:off x="0" y="0"/>
                        <a:ext cx="445135" cy="230505"/>
                      </a:xfrm>
                      <a:prstGeom prst="rect">
                        <a:avLst/>
                      </a:prstGeom>
                      <a:noFill/>
                      <a:ln w="6350">
                        <a:noFill/>
                      </a:ln>
                    </wps:spPr>
                    <wps:txbx>
                      <w:txbxContent>
                        <w:p w14:paraId="2FBB07CD">
                          <w:pPr>
                            <w:pStyle w:val="5"/>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- 1 -</w:t>
                          </w:r>
                          <w:r>
                            <w:rPr>
                              <w:rFonts w:hint="eastAsia" w:ascii="宋体" w:hAnsi="宋体" w:cs="宋体"/>
                              <w:sz w:val="28"/>
                              <w:szCs w:val="28"/>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8.15pt;width:35.05pt;mso-position-horizontal:outside;mso-position-horizontal-relative:margin;mso-wrap-style:none;z-index:251659264;mso-width-relative:page;mso-height-relative:page;" filled="f" stroked="f" coordsize="21600,21600" o:gfxdata="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B99z4b0gAAAAMBAAAPAAAAAAAAAAEAIAAAACIA&#10;AABkcnMvZG93bnJldi54bWxQSwECFAAUAAAACACHTuJATUZamdYBAACgAwAADgAAAAAAAAABACAA&#10;AAAhAQAAZHJzL2Uyb0RvYy54bWxQSwUGAAAAAAYABgBZAQAAaQUAAAAA&#10;">
              <v:fill on="f" focussize="0,0"/>
              <v:stroke on="f" weight="0.5pt"/>
              <v:imagedata o:title=""/>
              <o:lock v:ext="edit" aspectratio="f"/>
              <v:textbox inset="0mm,0mm,0mm,0mm" style="mso-fit-shape-to-text:t;">
                <w:txbxContent>
                  <w:p w14:paraId="2FBB07CD">
                    <w:pPr>
                      <w:pStyle w:val="5"/>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- 1 -</w:t>
                    </w:r>
                    <w:r>
                      <w:rPr>
                        <w:rFonts w:hint="eastAsia" w:ascii="宋体" w:hAnsi="宋体" w:cs="宋体"/>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14:paraId="084E4D8C">
      <w:pPr>
        <w:pStyle w:val="7"/>
        <w:rPr>
          <w:sz w:val="20"/>
          <w:szCs w:val="28"/>
        </w:rPr>
      </w:pPr>
      <w:r>
        <w:rPr>
          <w:rStyle w:val="11"/>
          <w:sz w:val="20"/>
          <w:szCs w:val="28"/>
        </w:rPr>
        <w:footnoteRef/>
      </w:r>
      <w:r>
        <w:rPr>
          <w:sz w:val="20"/>
          <w:szCs w:val="28"/>
        </w:rPr>
        <w:t xml:space="preserve"> </w:t>
      </w:r>
      <w:r>
        <w:rPr>
          <w:rFonts w:hint="eastAsia"/>
          <w:sz w:val="20"/>
          <w:szCs w:val="28"/>
        </w:rPr>
        <w:t>建设改造基本公共服务设施、便民设施和配套基础设施基本完善的完整社区覆盖率。</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7542F5">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2"/>
    <w:footnote w:id="3"/>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A7E38EE"/>
    <w:rsid w:val="1F0E0B62"/>
    <w:rsid w:val="32367137"/>
    <w:rsid w:val="FA7E38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2"/>
    <w:qFormat/>
    <w:uiPriority w:val="9"/>
    <w:pPr>
      <w:outlineLvl w:val="0"/>
    </w:pPr>
    <w:rPr>
      <w:rFonts w:ascii="黑体" w:hAnsi="黑体" w:eastAsia="黑体" w:cs="黑体"/>
    </w:rPr>
  </w:style>
  <w:style w:type="paragraph" w:styleId="3">
    <w:name w:val="heading 2"/>
    <w:basedOn w:val="1"/>
    <w:next w:val="1"/>
    <w:link w:val="13"/>
    <w:qFormat/>
    <w:uiPriority w:val="0"/>
    <w:pPr>
      <w:spacing w:before="100" w:beforeAutospacing="1" w:after="100" w:afterAutospacing="1"/>
      <w:jc w:val="left"/>
      <w:outlineLvl w:val="1"/>
    </w:pPr>
    <w:rPr>
      <w:rFonts w:hint="eastAsia" w:ascii="宋体" w:hAnsi="宋体"/>
      <w:b/>
      <w:kern w:val="0"/>
      <w:sz w:val="36"/>
      <w:szCs w:val="36"/>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0"/>
    <w:pPr>
      <w:spacing w:after="140" w:line="276" w:lineRule="auto"/>
    </w:p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footnote text"/>
    <w:basedOn w:val="1"/>
    <w:qFormat/>
    <w:uiPriority w:val="0"/>
    <w:pPr>
      <w:snapToGrid w:val="0"/>
      <w:jc w:val="left"/>
    </w:pPr>
    <w:rPr>
      <w:sz w:val="18"/>
    </w:rPr>
  </w:style>
  <w:style w:type="character" w:styleId="10">
    <w:name w:val="page number"/>
    <w:qFormat/>
    <w:uiPriority w:val="0"/>
  </w:style>
  <w:style w:type="character" w:styleId="11">
    <w:name w:val="footnote reference"/>
    <w:qFormat/>
    <w:uiPriority w:val="0"/>
    <w:rPr>
      <w:vertAlign w:val="superscript"/>
    </w:rPr>
  </w:style>
  <w:style w:type="character" w:customStyle="1" w:styleId="12">
    <w:name w:val="标题 1 字符"/>
    <w:link w:val="2"/>
    <w:qFormat/>
    <w:uiPriority w:val="9"/>
    <w:rPr>
      <w:rFonts w:ascii="黑体" w:hAnsi="黑体" w:eastAsia="黑体" w:cs="黑体"/>
    </w:rPr>
  </w:style>
  <w:style w:type="character" w:customStyle="1" w:styleId="13">
    <w:name w:val="标题 2 字符"/>
    <w:link w:val="3"/>
    <w:qFormat/>
    <w:uiPriority w:val="9"/>
    <w:rPr>
      <w:rFonts w:hint="eastAsia" w:ascii="宋体" w:hAnsi="宋体"/>
      <w:b/>
      <w:kern w:val="0"/>
      <w:sz w:val="36"/>
      <w:szCs w:val="36"/>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636</Words>
  <Characters>642</Characters>
  <Lines>0</Lines>
  <Paragraphs>0</Paragraphs>
  <TotalTime>43</TotalTime>
  <ScaleCrop>false</ScaleCrop>
  <LinksUpToDate>false</LinksUpToDate>
  <CharactersWithSpaces>642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2026-11-05T13:23:00Z</dcterms:created>
  <dc:creator>uos</dc:creator>
  <cp:lastModifiedBy>杜敬</cp:lastModifiedBy>
  <dcterms:modified xsi:type="dcterms:W3CDTF">2026-11-06T01:18:22Z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eyJoZGlkIjoiMjBiNGRkYWViYjcxODk5M2FhMjhlZjAzMGMyNTQwMDkiLCJ1c2VySWQiOiI3MzgzOTY3NDkifQ==</vt:lpwstr>
  </property>
  <property fmtid="{D5CDD505-2E9C-101B-9397-08002B2CF9AE}" pid="4" name="ICV">
    <vt:lpwstr>72AE80979073450C85B2E5D6D0331401_12</vt:lpwstr>
  </property>
</Properties>
</file>