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514E7">
      <w:pPr>
        <w:pStyle w:val="2"/>
        <w:ind w:firstLine="0" w:firstLineChars="0"/>
        <w:rPr>
          <w:rFonts w:hint="eastAsia" w:ascii="黑体" w:hAnsi="黑体" w:eastAsia="黑体"/>
          <w:color w:val="auto"/>
          <w:highlight w:val="none"/>
        </w:rPr>
      </w:pPr>
      <w:r>
        <w:rPr>
          <w:rFonts w:hint="eastAsia" w:ascii="黑体" w:hAnsi="黑体" w:eastAsia="黑体"/>
          <w:color w:val="auto"/>
          <w:highlight w:val="none"/>
        </w:rPr>
        <w:t>附件</w:t>
      </w:r>
    </w:p>
    <w:p w14:paraId="34955835">
      <w:pPr>
        <w:spacing w:line="400" w:lineRule="exact"/>
        <w:rPr>
          <w:highlight w:val="none"/>
        </w:rPr>
      </w:pPr>
    </w:p>
    <w:p w14:paraId="53F2F4CF">
      <w:pPr>
        <w:spacing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报废更新补贴标准</w:t>
      </w:r>
    </w:p>
    <w:p w14:paraId="6E7554A2">
      <w:pPr>
        <w:spacing w:line="400" w:lineRule="exact"/>
        <w:jc w:val="center"/>
        <w:rPr>
          <w:rFonts w:hint="eastAsia" w:ascii="黑体" w:hAnsi="黑体" w:eastAsia="黑体"/>
          <w:color w:val="000000"/>
          <w:highlight w:val="none"/>
        </w:rPr>
      </w:pPr>
    </w:p>
    <w:p w14:paraId="4096BF33">
      <w:pPr>
        <w:spacing w:line="560" w:lineRule="exact"/>
        <w:ind w:firstLine="640" w:firstLineChars="20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一、国四及以下排放标准老旧货车报废更新</w:t>
      </w:r>
      <w:r>
        <w:rPr>
          <w:rFonts w:hint="eastAsia" w:ascii="黑体" w:hAnsi="黑体" w:eastAsia="黑体" w:cs="黑体"/>
          <w:color w:val="000000"/>
          <w:sz w:val="32"/>
          <w:szCs w:val="32"/>
          <w:highlight w:val="none"/>
          <w:lang w:val="en-US" w:eastAsia="zh-CN"/>
        </w:rPr>
        <w:t>为新能源货车</w:t>
      </w:r>
    </w:p>
    <w:p w14:paraId="1900E740">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报废国四及以下排放标准老旧货车并更新新能源车辆方可领取</w:t>
      </w:r>
      <w:r>
        <w:rPr>
          <w:rFonts w:hint="eastAsia" w:ascii="仿宋_GB2312" w:eastAsia="仿宋_GB2312"/>
          <w:color w:val="000000"/>
          <w:sz w:val="32"/>
          <w:szCs w:val="32"/>
          <w:highlight w:val="none"/>
          <w:lang w:eastAsia="zh-CN"/>
        </w:rPr>
        <w:t>补贴</w:t>
      </w:r>
      <w:r>
        <w:rPr>
          <w:rFonts w:hint="eastAsia" w:ascii="仿宋_GB2312" w:eastAsia="仿宋_GB2312"/>
          <w:color w:val="000000"/>
          <w:sz w:val="32"/>
          <w:szCs w:val="32"/>
          <w:highlight w:val="none"/>
        </w:rPr>
        <w:t>。</w:t>
      </w:r>
    </w:p>
    <w:p w14:paraId="7EADFABA">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报废国四及以下排放老旧货车并更新新能源货车补贴=报废国四及以下排放老旧货车补贴+更新新能源货车补贴</w:t>
      </w:r>
    </w:p>
    <w:p w14:paraId="416DEC56">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其中，报废国四及以下排放老旧货车补贴标准见表1，更新新能源货车补贴标准见表2。</w:t>
      </w:r>
    </w:p>
    <w:p w14:paraId="51BEFF81">
      <w:pPr>
        <w:spacing w:before="156" w:beforeLines="50"/>
        <w:jc w:val="center"/>
        <w:rPr>
          <w:rFonts w:ascii="Times New Roman" w:hAnsi="Times New Roman" w:eastAsia="黑体"/>
          <w:sz w:val="28"/>
          <w:szCs w:val="28"/>
          <w:highlight w:val="none"/>
        </w:rPr>
      </w:pPr>
      <w:r>
        <w:rPr>
          <w:rFonts w:ascii="Times New Roman" w:hAnsi="Times New Roman" w:eastAsia="黑体"/>
          <w:sz w:val="28"/>
          <w:szCs w:val="28"/>
          <w:highlight w:val="none"/>
        </w:rPr>
        <w:t>表1</w:t>
      </w:r>
      <w:r>
        <w:rPr>
          <w:rFonts w:hint="eastAsia" w:ascii="Times New Roman" w:hAnsi="Times New Roman" w:eastAsia="黑体"/>
          <w:sz w:val="28"/>
          <w:szCs w:val="28"/>
          <w:highlight w:val="none"/>
        </w:rPr>
        <w:t xml:space="preserve"> 报废国四及以下排放老旧货车补贴标准</w:t>
      </w:r>
    </w:p>
    <w:tbl>
      <w:tblPr>
        <w:tblStyle w:val="3"/>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6163"/>
      </w:tblGrid>
      <w:tr w14:paraId="5E0C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79201A91">
            <w:pPr>
              <w:jc w:val="center"/>
              <w:rPr>
                <w:rFonts w:ascii="Times New Roman" w:hAnsi="Times New Roman" w:eastAsia="黑体"/>
                <w:sz w:val="28"/>
                <w:szCs w:val="28"/>
                <w:highlight w:val="none"/>
              </w:rPr>
            </w:pPr>
            <w:r>
              <w:rPr>
                <w:rFonts w:hint="eastAsia" w:ascii="仿宋_GB2312" w:hAnsi="仿宋_GB2312" w:eastAsia="仿宋_GB2312" w:cs="仿宋_GB2312"/>
                <w:color w:val="000000"/>
                <w:kern w:val="0"/>
                <w:sz w:val="28"/>
                <w:szCs w:val="28"/>
                <w:highlight w:val="none"/>
              </w:rPr>
              <w:t>车辆类型</w:t>
            </w:r>
          </w:p>
        </w:tc>
        <w:tc>
          <w:tcPr>
            <w:tcW w:w="3601" w:type="pct"/>
            <w:noWrap w:val="0"/>
            <w:vAlign w:val="top"/>
          </w:tcPr>
          <w:p w14:paraId="6D5CC027">
            <w:pPr>
              <w:jc w:val="center"/>
              <w:rPr>
                <w:rFonts w:ascii="Times New Roman" w:hAnsi="Times New Roman" w:eastAsia="黑体"/>
                <w:sz w:val="28"/>
                <w:szCs w:val="28"/>
                <w:highlight w:val="none"/>
              </w:rPr>
            </w:pPr>
            <w:r>
              <w:rPr>
                <w:rFonts w:hint="eastAsia" w:ascii="仿宋_GB2312" w:hAnsi="仿宋_GB2312" w:eastAsia="仿宋_GB2312" w:cs="仿宋_GB2312"/>
                <w:color w:val="000000"/>
                <w:kern w:val="0"/>
                <w:sz w:val="28"/>
                <w:szCs w:val="28"/>
                <w:highlight w:val="none"/>
              </w:rPr>
              <w:t>补贴标准（万元/辆）</w:t>
            </w:r>
          </w:p>
        </w:tc>
      </w:tr>
      <w:tr w14:paraId="2BA6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0144EC59">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轻、微型</w:t>
            </w:r>
          </w:p>
        </w:tc>
        <w:tc>
          <w:tcPr>
            <w:tcW w:w="3601" w:type="pct"/>
            <w:noWrap w:val="0"/>
            <w:vAlign w:val="top"/>
          </w:tcPr>
          <w:p w14:paraId="66B03AAD">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1.5</w:t>
            </w:r>
          </w:p>
        </w:tc>
      </w:tr>
      <w:tr w14:paraId="65FC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699609C7">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中型</w:t>
            </w:r>
          </w:p>
        </w:tc>
        <w:tc>
          <w:tcPr>
            <w:tcW w:w="3601" w:type="pct"/>
            <w:noWrap w:val="0"/>
            <w:vAlign w:val="top"/>
          </w:tcPr>
          <w:p w14:paraId="32F6CF04">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2.5</w:t>
            </w:r>
          </w:p>
        </w:tc>
      </w:tr>
      <w:tr w14:paraId="4230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714D29C6">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重型</w:t>
            </w:r>
          </w:p>
        </w:tc>
        <w:tc>
          <w:tcPr>
            <w:tcW w:w="3601" w:type="pct"/>
            <w:noWrap w:val="0"/>
            <w:vAlign w:val="top"/>
          </w:tcPr>
          <w:p w14:paraId="410755F5">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4.5</w:t>
            </w:r>
          </w:p>
        </w:tc>
      </w:tr>
    </w:tbl>
    <w:p w14:paraId="765BB454">
      <w:pPr>
        <w:spacing w:before="156" w:beforeLines="50"/>
        <w:jc w:val="center"/>
        <w:rPr>
          <w:rFonts w:ascii="Times New Roman" w:hAnsi="Times New Roman" w:eastAsia="黑体"/>
          <w:sz w:val="28"/>
          <w:szCs w:val="28"/>
          <w:highlight w:val="none"/>
        </w:rPr>
      </w:pPr>
      <w:r>
        <w:rPr>
          <w:rFonts w:ascii="Times New Roman" w:hAnsi="Times New Roman" w:eastAsia="黑体"/>
          <w:sz w:val="28"/>
          <w:szCs w:val="28"/>
          <w:highlight w:val="none"/>
        </w:rPr>
        <w:t>表2</w:t>
      </w:r>
      <w:r>
        <w:rPr>
          <w:rFonts w:hint="eastAsia" w:ascii="Times New Roman" w:hAnsi="Times New Roman" w:eastAsia="黑体"/>
          <w:sz w:val="28"/>
          <w:szCs w:val="28"/>
          <w:highlight w:val="none"/>
        </w:rPr>
        <w:t xml:space="preserve"> 更新新能源货车补贴标准</w:t>
      </w:r>
    </w:p>
    <w:tbl>
      <w:tblPr>
        <w:tblStyle w:val="3"/>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6162"/>
      </w:tblGrid>
      <w:tr w14:paraId="4835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7FACB5AA">
            <w:pPr>
              <w:jc w:val="center"/>
              <w:rPr>
                <w:rFonts w:ascii="Times New Roman" w:hAnsi="Times New Roman" w:eastAsia="黑体"/>
                <w:sz w:val="28"/>
                <w:szCs w:val="28"/>
                <w:highlight w:val="none"/>
              </w:rPr>
            </w:pPr>
            <w:r>
              <w:rPr>
                <w:rFonts w:hint="eastAsia" w:ascii="仿宋_GB2312" w:hAnsi="仿宋_GB2312" w:eastAsia="仿宋_GB2312" w:cs="仿宋_GB2312"/>
                <w:color w:val="000000"/>
                <w:kern w:val="0"/>
                <w:sz w:val="28"/>
                <w:szCs w:val="28"/>
                <w:highlight w:val="none"/>
              </w:rPr>
              <w:t>车辆类型</w:t>
            </w:r>
          </w:p>
        </w:tc>
        <w:tc>
          <w:tcPr>
            <w:tcW w:w="3601" w:type="pct"/>
            <w:noWrap w:val="0"/>
            <w:vAlign w:val="top"/>
          </w:tcPr>
          <w:p w14:paraId="6CCA6976">
            <w:pPr>
              <w:jc w:val="center"/>
              <w:rPr>
                <w:rFonts w:ascii="Times New Roman" w:hAnsi="Times New Roman" w:eastAsia="黑体"/>
                <w:sz w:val="28"/>
                <w:szCs w:val="28"/>
                <w:highlight w:val="none"/>
              </w:rPr>
            </w:pPr>
            <w:r>
              <w:rPr>
                <w:rFonts w:hint="eastAsia" w:ascii="仿宋_GB2312" w:hAnsi="仿宋_GB2312" w:eastAsia="仿宋_GB2312" w:cs="仿宋_GB2312"/>
                <w:color w:val="000000"/>
                <w:kern w:val="0"/>
                <w:sz w:val="28"/>
                <w:szCs w:val="28"/>
                <w:highlight w:val="none"/>
              </w:rPr>
              <w:t>补贴标准（万元/辆）</w:t>
            </w:r>
          </w:p>
        </w:tc>
      </w:tr>
      <w:tr w14:paraId="2BF0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7F41070C">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轻型</w:t>
            </w:r>
          </w:p>
        </w:tc>
        <w:tc>
          <w:tcPr>
            <w:tcW w:w="3601" w:type="pct"/>
            <w:noWrap w:val="0"/>
            <w:vAlign w:val="top"/>
          </w:tcPr>
          <w:p w14:paraId="5E523D02">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2.0</w:t>
            </w:r>
          </w:p>
        </w:tc>
      </w:tr>
      <w:tr w14:paraId="226F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391657ED">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中型</w:t>
            </w:r>
          </w:p>
        </w:tc>
        <w:tc>
          <w:tcPr>
            <w:tcW w:w="3601" w:type="pct"/>
            <w:noWrap w:val="0"/>
            <w:vAlign w:val="top"/>
          </w:tcPr>
          <w:p w14:paraId="40F0042C">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3.5</w:t>
            </w:r>
          </w:p>
        </w:tc>
      </w:tr>
      <w:tr w14:paraId="2B72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269ECB17">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重型</w:t>
            </w:r>
          </w:p>
        </w:tc>
        <w:tc>
          <w:tcPr>
            <w:tcW w:w="3601" w:type="pct"/>
            <w:noWrap w:val="0"/>
            <w:vAlign w:val="top"/>
          </w:tcPr>
          <w:p w14:paraId="01868795">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9.5</w:t>
            </w:r>
          </w:p>
        </w:tc>
      </w:tr>
    </w:tbl>
    <w:p w14:paraId="31CF5192">
      <w:pPr>
        <w:rPr>
          <w:rFonts w:hint="eastAsia" w:ascii="黑体" w:hAnsi="黑体" w:eastAsia="黑体"/>
          <w:color w:val="000000"/>
          <w:highlight w:val="none"/>
        </w:rPr>
      </w:pPr>
    </w:p>
    <w:p w14:paraId="0901F09D">
      <w:pPr>
        <w:spacing w:line="560" w:lineRule="exact"/>
        <w:ind w:firstLine="640" w:firstLineChars="20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二、国四及以下排放标准</w:t>
      </w:r>
      <w:r>
        <w:rPr>
          <w:rFonts w:hint="eastAsia" w:ascii="黑体" w:hAnsi="黑体" w:eastAsia="黑体" w:cs="黑体"/>
          <w:color w:val="000000"/>
          <w:sz w:val="32"/>
          <w:szCs w:val="32"/>
          <w:highlight w:val="none"/>
          <w:lang w:eastAsia="zh-CN"/>
        </w:rPr>
        <w:t>老旧大中</w:t>
      </w:r>
      <w:r>
        <w:rPr>
          <w:rFonts w:hint="eastAsia" w:ascii="黑体" w:hAnsi="黑体" w:eastAsia="黑体" w:cs="黑体"/>
          <w:color w:val="000000"/>
          <w:sz w:val="32"/>
          <w:szCs w:val="32"/>
          <w:highlight w:val="none"/>
        </w:rPr>
        <w:t>客车报废更新</w:t>
      </w:r>
      <w:r>
        <w:rPr>
          <w:rFonts w:hint="eastAsia" w:ascii="黑体" w:hAnsi="黑体" w:eastAsia="黑体" w:cs="黑体"/>
          <w:color w:val="000000"/>
          <w:sz w:val="32"/>
          <w:szCs w:val="32"/>
          <w:highlight w:val="none"/>
          <w:lang w:val="en-US" w:eastAsia="zh-CN"/>
        </w:rPr>
        <w:t>为新能源客车</w:t>
      </w:r>
    </w:p>
    <w:p w14:paraId="142EAF10">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报废国四及以下排放标准老旧</w:t>
      </w:r>
      <w:r>
        <w:rPr>
          <w:rFonts w:hint="eastAsia" w:ascii="仿宋_GB2312" w:eastAsia="仿宋_GB2312"/>
          <w:color w:val="000000"/>
          <w:sz w:val="32"/>
          <w:szCs w:val="32"/>
          <w:highlight w:val="none"/>
          <w:lang w:eastAsia="zh-CN"/>
        </w:rPr>
        <w:t>大中</w:t>
      </w:r>
      <w:r>
        <w:rPr>
          <w:rFonts w:hint="eastAsia" w:ascii="仿宋_GB2312" w:eastAsia="仿宋_GB2312"/>
          <w:color w:val="000000"/>
          <w:sz w:val="32"/>
          <w:szCs w:val="32"/>
          <w:highlight w:val="none"/>
        </w:rPr>
        <w:t>客车并更新新能源车辆方可领取</w:t>
      </w:r>
      <w:r>
        <w:rPr>
          <w:rFonts w:hint="eastAsia" w:ascii="仿宋_GB2312" w:eastAsia="仿宋_GB2312"/>
          <w:color w:val="000000"/>
          <w:sz w:val="32"/>
          <w:szCs w:val="32"/>
          <w:highlight w:val="none"/>
          <w:lang w:eastAsia="zh-CN"/>
        </w:rPr>
        <w:t>补贴</w:t>
      </w:r>
      <w:r>
        <w:rPr>
          <w:rFonts w:hint="eastAsia" w:ascii="仿宋_GB2312" w:eastAsia="仿宋_GB2312"/>
          <w:color w:val="000000"/>
          <w:sz w:val="32"/>
          <w:szCs w:val="32"/>
          <w:highlight w:val="none"/>
        </w:rPr>
        <w:t>。</w:t>
      </w:r>
    </w:p>
    <w:p w14:paraId="0B804E64">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报废国四及以下排放老旧</w:t>
      </w:r>
      <w:r>
        <w:rPr>
          <w:rFonts w:hint="eastAsia" w:ascii="仿宋_GB2312" w:eastAsia="仿宋_GB2312"/>
          <w:color w:val="000000"/>
          <w:sz w:val="32"/>
          <w:szCs w:val="32"/>
          <w:highlight w:val="none"/>
          <w:lang w:eastAsia="zh-CN"/>
        </w:rPr>
        <w:t>大中</w:t>
      </w:r>
      <w:r>
        <w:rPr>
          <w:rFonts w:hint="eastAsia" w:ascii="仿宋_GB2312" w:eastAsia="仿宋_GB2312"/>
          <w:color w:val="000000"/>
          <w:sz w:val="32"/>
          <w:szCs w:val="32"/>
          <w:highlight w:val="none"/>
        </w:rPr>
        <w:t>客车并更新新能源客车补贴=报废国四及以下排放老旧客车补贴+更新新能源客车补贴</w:t>
      </w:r>
    </w:p>
    <w:p w14:paraId="21D0DC90">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其中，报废国四及以下排放老旧</w:t>
      </w:r>
      <w:r>
        <w:rPr>
          <w:rFonts w:hint="eastAsia" w:ascii="仿宋_GB2312" w:eastAsia="仿宋_GB2312"/>
          <w:color w:val="000000"/>
          <w:sz w:val="32"/>
          <w:szCs w:val="32"/>
          <w:highlight w:val="none"/>
          <w:lang w:eastAsia="zh-CN"/>
        </w:rPr>
        <w:t>大中</w:t>
      </w:r>
      <w:r>
        <w:rPr>
          <w:rFonts w:hint="eastAsia" w:ascii="仿宋_GB2312" w:eastAsia="仿宋_GB2312"/>
          <w:color w:val="000000"/>
          <w:sz w:val="32"/>
          <w:szCs w:val="32"/>
          <w:highlight w:val="none"/>
        </w:rPr>
        <w:t>客车补贴标准见表3，更新新能源客车补贴标准见表4。</w:t>
      </w:r>
    </w:p>
    <w:p w14:paraId="6E773E9E">
      <w:pPr>
        <w:spacing w:before="156" w:beforeLines="50"/>
        <w:jc w:val="center"/>
        <w:rPr>
          <w:rFonts w:ascii="Times New Roman" w:hAnsi="Times New Roman" w:eastAsia="黑体"/>
          <w:sz w:val="28"/>
          <w:szCs w:val="28"/>
          <w:highlight w:val="none"/>
        </w:rPr>
      </w:pPr>
      <w:r>
        <w:rPr>
          <w:rFonts w:ascii="Times New Roman" w:hAnsi="Times New Roman" w:eastAsia="黑体"/>
          <w:sz w:val="28"/>
          <w:szCs w:val="28"/>
          <w:highlight w:val="none"/>
        </w:rPr>
        <w:t>表</w:t>
      </w:r>
      <w:r>
        <w:rPr>
          <w:rFonts w:hint="eastAsia" w:ascii="Times New Roman" w:hAnsi="Times New Roman" w:eastAsia="黑体"/>
          <w:sz w:val="28"/>
          <w:szCs w:val="28"/>
          <w:highlight w:val="none"/>
        </w:rPr>
        <w:t>3 报废国四及以下排放老旧</w:t>
      </w:r>
      <w:r>
        <w:rPr>
          <w:rFonts w:hint="eastAsia" w:ascii="Times New Roman" w:hAnsi="Times New Roman" w:eastAsia="黑体" w:cs="Times New Roman"/>
          <w:sz w:val="28"/>
          <w:szCs w:val="28"/>
          <w:highlight w:val="none"/>
          <w:lang w:eastAsia="zh-CN"/>
        </w:rPr>
        <w:t>大中</w:t>
      </w:r>
      <w:r>
        <w:rPr>
          <w:rFonts w:hint="eastAsia" w:ascii="Times New Roman" w:hAnsi="Times New Roman" w:eastAsia="黑体"/>
          <w:sz w:val="28"/>
          <w:szCs w:val="28"/>
          <w:highlight w:val="none"/>
        </w:rPr>
        <w:t>客车补贴标准</w:t>
      </w:r>
    </w:p>
    <w:tbl>
      <w:tblPr>
        <w:tblStyle w:val="3"/>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6162"/>
      </w:tblGrid>
      <w:tr w14:paraId="5E32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55F4CA02">
            <w:pPr>
              <w:jc w:val="center"/>
              <w:rPr>
                <w:rFonts w:ascii="Times New Roman" w:hAnsi="Times New Roman" w:eastAsia="黑体"/>
                <w:sz w:val="28"/>
                <w:szCs w:val="28"/>
                <w:highlight w:val="none"/>
              </w:rPr>
            </w:pPr>
            <w:r>
              <w:rPr>
                <w:rFonts w:hint="eastAsia" w:ascii="仿宋_GB2312" w:hAnsi="仿宋_GB2312" w:eastAsia="仿宋_GB2312" w:cs="仿宋_GB2312"/>
                <w:color w:val="000000"/>
                <w:kern w:val="0"/>
                <w:sz w:val="28"/>
                <w:szCs w:val="28"/>
                <w:highlight w:val="none"/>
              </w:rPr>
              <w:t>车辆类型</w:t>
            </w:r>
          </w:p>
        </w:tc>
        <w:tc>
          <w:tcPr>
            <w:tcW w:w="3600" w:type="pct"/>
            <w:noWrap w:val="0"/>
            <w:vAlign w:val="top"/>
          </w:tcPr>
          <w:p w14:paraId="781B39B9">
            <w:pPr>
              <w:jc w:val="center"/>
              <w:rPr>
                <w:rFonts w:ascii="Times New Roman" w:hAnsi="Times New Roman" w:eastAsia="黑体"/>
                <w:sz w:val="28"/>
                <w:szCs w:val="28"/>
                <w:highlight w:val="none"/>
              </w:rPr>
            </w:pPr>
            <w:r>
              <w:rPr>
                <w:rFonts w:hint="eastAsia" w:ascii="仿宋_GB2312" w:hAnsi="仿宋_GB2312" w:eastAsia="仿宋_GB2312" w:cs="仿宋_GB2312"/>
                <w:color w:val="000000"/>
                <w:kern w:val="0"/>
                <w:sz w:val="28"/>
                <w:szCs w:val="28"/>
                <w:highlight w:val="none"/>
              </w:rPr>
              <w:t>补贴标准（万元/辆）</w:t>
            </w:r>
          </w:p>
        </w:tc>
      </w:tr>
      <w:tr w14:paraId="5056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6BED27C6">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中型</w:t>
            </w:r>
          </w:p>
        </w:tc>
        <w:tc>
          <w:tcPr>
            <w:tcW w:w="3600" w:type="pct"/>
            <w:noWrap w:val="0"/>
            <w:vAlign w:val="top"/>
          </w:tcPr>
          <w:p w14:paraId="56AC2E07">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2.0</w:t>
            </w:r>
          </w:p>
        </w:tc>
      </w:tr>
      <w:tr w14:paraId="399E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9" w:type="pct"/>
            <w:noWrap w:val="0"/>
            <w:vAlign w:val="top"/>
          </w:tcPr>
          <w:p w14:paraId="2D80BF00">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大型</w:t>
            </w:r>
          </w:p>
        </w:tc>
        <w:tc>
          <w:tcPr>
            <w:tcW w:w="3600" w:type="pct"/>
            <w:noWrap w:val="0"/>
            <w:vAlign w:val="top"/>
          </w:tcPr>
          <w:p w14:paraId="5A614E6D">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3.0</w:t>
            </w:r>
          </w:p>
        </w:tc>
      </w:tr>
    </w:tbl>
    <w:p w14:paraId="377F403F">
      <w:pPr>
        <w:spacing w:before="156" w:beforeLines="50"/>
        <w:jc w:val="center"/>
        <w:rPr>
          <w:rFonts w:ascii="Times New Roman" w:hAnsi="Times New Roman" w:eastAsia="黑体"/>
          <w:sz w:val="28"/>
          <w:szCs w:val="28"/>
          <w:highlight w:val="none"/>
        </w:rPr>
      </w:pPr>
      <w:r>
        <w:rPr>
          <w:rFonts w:ascii="Times New Roman" w:hAnsi="Times New Roman" w:eastAsia="黑体"/>
          <w:sz w:val="28"/>
          <w:szCs w:val="28"/>
          <w:highlight w:val="none"/>
        </w:rPr>
        <w:t>表</w:t>
      </w:r>
      <w:r>
        <w:rPr>
          <w:rFonts w:hint="eastAsia" w:ascii="Times New Roman" w:hAnsi="Times New Roman" w:eastAsia="黑体"/>
          <w:sz w:val="28"/>
          <w:szCs w:val="28"/>
          <w:highlight w:val="none"/>
        </w:rPr>
        <w:t xml:space="preserve">4 </w:t>
      </w:r>
      <w:r>
        <w:rPr>
          <w:rFonts w:hint="eastAsia" w:ascii="Times New Roman" w:hAnsi="Times New Roman" w:eastAsia="黑体"/>
          <w:sz w:val="28"/>
          <w:szCs w:val="28"/>
          <w:highlight w:val="none"/>
          <w:lang w:val="en-US" w:eastAsia="zh-CN"/>
        </w:rPr>
        <w:t>更新</w:t>
      </w:r>
      <w:r>
        <w:rPr>
          <w:rFonts w:hint="eastAsia" w:ascii="Times New Roman" w:hAnsi="Times New Roman" w:eastAsia="黑体"/>
          <w:sz w:val="28"/>
          <w:szCs w:val="28"/>
          <w:highlight w:val="none"/>
        </w:rPr>
        <w:t>新能源</w:t>
      </w:r>
      <w:r>
        <w:rPr>
          <w:rFonts w:hint="eastAsia" w:ascii="Times New Roman" w:hAnsi="Times New Roman" w:eastAsia="黑体" w:cs="Times New Roman"/>
          <w:sz w:val="28"/>
          <w:szCs w:val="28"/>
          <w:highlight w:val="none"/>
          <w:lang w:eastAsia="zh-CN"/>
        </w:rPr>
        <w:t>大中客</w:t>
      </w:r>
      <w:r>
        <w:rPr>
          <w:rFonts w:hint="eastAsia" w:ascii="Times New Roman" w:hAnsi="Times New Roman" w:eastAsia="黑体"/>
          <w:sz w:val="28"/>
          <w:szCs w:val="28"/>
          <w:highlight w:val="none"/>
        </w:rPr>
        <w:t>车补贴标准</w:t>
      </w:r>
    </w:p>
    <w:tbl>
      <w:tblPr>
        <w:tblStyle w:val="3"/>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6162"/>
      </w:tblGrid>
      <w:tr w14:paraId="5E1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8" w:type="pct"/>
            <w:noWrap w:val="0"/>
            <w:vAlign w:val="top"/>
          </w:tcPr>
          <w:p w14:paraId="5730C3A8">
            <w:pPr>
              <w:jc w:val="center"/>
              <w:rPr>
                <w:rFonts w:ascii="Times New Roman" w:hAnsi="Times New Roman" w:eastAsia="黑体"/>
                <w:sz w:val="28"/>
                <w:szCs w:val="28"/>
                <w:highlight w:val="none"/>
              </w:rPr>
            </w:pPr>
            <w:r>
              <w:rPr>
                <w:rFonts w:hint="eastAsia" w:ascii="仿宋_GB2312" w:hAnsi="仿宋_GB2312" w:eastAsia="仿宋_GB2312" w:cs="仿宋_GB2312"/>
                <w:color w:val="000000"/>
                <w:kern w:val="0"/>
                <w:sz w:val="28"/>
                <w:szCs w:val="28"/>
                <w:highlight w:val="none"/>
              </w:rPr>
              <w:t>车辆类型</w:t>
            </w:r>
          </w:p>
        </w:tc>
        <w:tc>
          <w:tcPr>
            <w:tcW w:w="3601" w:type="pct"/>
            <w:noWrap w:val="0"/>
            <w:vAlign w:val="top"/>
          </w:tcPr>
          <w:p w14:paraId="1ED276D8">
            <w:pPr>
              <w:jc w:val="center"/>
              <w:rPr>
                <w:rFonts w:ascii="Times New Roman" w:hAnsi="Times New Roman" w:eastAsia="黑体"/>
                <w:sz w:val="28"/>
                <w:szCs w:val="28"/>
                <w:highlight w:val="none"/>
              </w:rPr>
            </w:pPr>
            <w:r>
              <w:rPr>
                <w:rFonts w:hint="eastAsia" w:ascii="仿宋_GB2312" w:hAnsi="仿宋_GB2312" w:eastAsia="仿宋_GB2312" w:cs="仿宋_GB2312"/>
                <w:color w:val="000000"/>
                <w:kern w:val="0"/>
                <w:sz w:val="28"/>
                <w:szCs w:val="28"/>
                <w:highlight w:val="none"/>
              </w:rPr>
              <w:t>补贴标准（万元/辆）</w:t>
            </w:r>
          </w:p>
        </w:tc>
      </w:tr>
      <w:tr w14:paraId="056E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8" w:type="pct"/>
            <w:noWrap w:val="0"/>
            <w:vAlign w:val="top"/>
          </w:tcPr>
          <w:p w14:paraId="64D10DB5">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中型</w:t>
            </w:r>
          </w:p>
        </w:tc>
        <w:tc>
          <w:tcPr>
            <w:tcW w:w="3601" w:type="pct"/>
            <w:noWrap w:val="0"/>
            <w:vAlign w:val="top"/>
          </w:tcPr>
          <w:p w14:paraId="10DD724A">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6.0</w:t>
            </w:r>
          </w:p>
        </w:tc>
      </w:tr>
      <w:tr w14:paraId="7CC9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98" w:type="pct"/>
            <w:noWrap w:val="0"/>
            <w:vAlign w:val="top"/>
          </w:tcPr>
          <w:p w14:paraId="43ABACFE">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大型</w:t>
            </w:r>
          </w:p>
        </w:tc>
        <w:tc>
          <w:tcPr>
            <w:tcW w:w="3601" w:type="pct"/>
            <w:noWrap w:val="0"/>
            <w:vAlign w:val="top"/>
          </w:tcPr>
          <w:p w14:paraId="551182B0">
            <w:pPr>
              <w:widowControl/>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14.0</w:t>
            </w:r>
          </w:p>
        </w:tc>
      </w:tr>
    </w:tbl>
    <w:p w14:paraId="01F0E95E">
      <w:pPr>
        <w:rPr>
          <w:highlight w:val="none"/>
        </w:rPr>
      </w:pPr>
    </w:p>
    <w:p w14:paraId="62D5BE87">
      <w:pPr>
        <w:spacing w:line="560" w:lineRule="exact"/>
        <w:ind w:firstLine="640" w:firstLineChars="200"/>
        <w:outlineLvl w:val="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三、仅新购置新能源冷链货车</w:t>
      </w:r>
    </w:p>
    <w:p w14:paraId="14F032DD">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仅新购置新能源冷链货车</w:t>
      </w:r>
      <w:r>
        <w:rPr>
          <w:rFonts w:hint="eastAsia" w:ascii="仿宋_GB2312" w:eastAsia="仿宋_GB2312"/>
          <w:color w:val="000000"/>
          <w:sz w:val="32"/>
          <w:szCs w:val="32"/>
          <w:highlight w:val="none"/>
          <w:lang w:eastAsia="zh-CN"/>
        </w:rPr>
        <w:t>补贴</w:t>
      </w:r>
      <w:r>
        <w:rPr>
          <w:rFonts w:hint="eastAsia" w:ascii="仿宋_GB2312" w:eastAsia="仿宋_GB2312"/>
          <w:color w:val="000000"/>
          <w:sz w:val="32"/>
          <w:szCs w:val="32"/>
          <w:highlight w:val="none"/>
        </w:rPr>
        <w:t>标准为3.5万元/辆。</w:t>
      </w:r>
    </w:p>
    <w:p w14:paraId="1F8BA81A">
      <w:pPr>
        <w:numPr>
          <w:ilvl w:val="0"/>
          <w:numId w:val="1"/>
        </w:numPr>
        <w:spacing w:line="560" w:lineRule="exact"/>
        <w:ind w:firstLine="640" w:firstLineChars="200"/>
        <w:outlineLvl w:val="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仅报废国四排放标准老旧重型营运货车</w:t>
      </w:r>
    </w:p>
    <w:p w14:paraId="16BDB301">
      <w:pPr>
        <w:numPr>
          <w:ilvl w:val="0"/>
          <w:numId w:val="0"/>
        </w:numPr>
        <w:spacing w:line="560" w:lineRule="exact"/>
        <w:ind w:firstLine="640" w:firstLineChars="200"/>
        <w:outlineLvl w:val="9"/>
        <w:rPr>
          <w:rFonts w:hint="eastAsia" w:ascii="仿宋_GB2312" w:hAnsi="Calibri"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仅</w:t>
      </w:r>
      <w:r>
        <w:rPr>
          <w:rFonts w:hint="eastAsia" w:ascii="仿宋_GB2312" w:eastAsia="仿宋_GB2312"/>
          <w:color w:val="000000"/>
          <w:sz w:val="32"/>
          <w:szCs w:val="32"/>
          <w:highlight w:val="none"/>
        </w:rPr>
        <w:t>报废国四排放</w:t>
      </w:r>
      <w:r>
        <w:rPr>
          <w:rFonts w:hint="eastAsia" w:ascii="仿宋_GB2312" w:eastAsia="仿宋_GB2312"/>
          <w:color w:val="000000"/>
          <w:sz w:val="32"/>
          <w:szCs w:val="32"/>
          <w:highlight w:val="none"/>
          <w:lang w:val="en-US" w:eastAsia="zh-CN"/>
        </w:rPr>
        <w:t>标准</w:t>
      </w:r>
      <w:r>
        <w:rPr>
          <w:rFonts w:hint="eastAsia" w:ascii="仿宋_GB2312" w:eastAsia="仿宋_GB2312"/>
          <w:color w:val="000000"/>
          <w:sz w:val="32"/>
          <w:szCs w:val="32"/>
          <w:highlight w:val="none"/>
        </w:rPr>
        <w:t>老旧</w:t>
      </w:r>
      <w:r>
        <w:rPr>
          <w:rFonts w:hint="eastAsia" w:ascii="仿宋_GB2312" w:eastAsia="仿宋_GB2312"/>
          <w:color w:val="000000"/>
          <w:sz w:val="32"/>
          <w:szCs w:val="32"/>
          <w:highlight w:val="none"/>
          <w:lang w:val="en-US" w:eastAsia="zh-CN"/>
        </w:rPr>
        <w:t>重型营运</w:t>
      </w:r>
      <w:r>
        <w:rPr>
          <w:rFonts w:hint="eastAsia" w:ascii="仿宋_GB2312" w:eastAsia="仿宋_GB2312"/>
          <w:color w:val="000000"/>
          <w:sz w:val="32"/>
          <w:szCs w:val="32"/>
          <w:highlight w:val="none"/>
        </w:rPr>
        <w:t>货车补贴标准</w:t>
      </w:r>
      <w:r>
        <w:rPr>
          <w:rFonts w:hint="eastAsia" w:ascii="仿宋_GB2312" w:eastAsia="仿宋_GB2312"/>
          <w:color w:val="000000"/>
          <w:sz w:val="32"/>
          <w:szCs w:val="32"/>
          <w:highlight w:val="none"/>
          <w:lang w:val="en-US" w:eastAsia="zh-CN"/>
        </w:rPr>
        <w:t>为4.5</w:t>
      </w:r>
      <w:r>
        <w:rPr>
          <w:rFonts w:hint="eastAsia" w:ascii="仿宋_GB2312" w:eastAsia="仿宋_GB2312"/>
          <w:color w:val="000000"/>
          <w:sz w:val="32"/>
          <w:szCs w:val="32"/>
          <w:highlight w:val="none"/>
        </w:rPr>
        <w:t>万元/辆。</w:t>
      </w:r>
    </w:p>
    <w:p w14:paraId="2FC9ABCC">
      <w:pPr>
        <w:numPr>
          <w:ilvl w:val="0"/>
          <w:numId w:val="1"/>
        </w:numPr>
        <w:spacing w:line="560" w:lineRule="exact"/>
        <w:ind w:firstLine="640" w:firstLineChars="200"/>
        <w:outlineLvl w:val="0"/>
        <w:rPr>
          <w:rFonts w:hint="default" w:ascii="黑体" w:hAnsi="黑体" w:eastAsia="黑体"/>
          <w:color w:val="000000"/>
          <w:sz w:val="32"/>
          <w:szCs w:val="32"/>
          <w:highlight w:val="none"/>
          <w:lang w:val="en-US" w:eastAsia="zh-CN"/>
        </w:rPr>
      </w:pPr>
      <w:r>
        <w:rPr>
          <w:rFonts w:hint="eastAsia" w:ascii="黑体" w:hAnsi="黑体" w:eastAsia="黑体"/>
          <w:color w:val="000000"/>
          <w:sz w:val="32"/>
          <w:szCs w:val="32"/>
          <w:highlight w:val="none"/>
        </w:rPr>
        <w:t>国四排放标准老旧重型营运货车报废并更新为国六排放标准重型营运货车</w:t>
      </w:r>
    </w:p>
    <w:p w14:paraId="09CF2AB9">
      <w:pPr>
        <w:numPr>
          <w:ilvl w:val="0"/>
          <w:numId w:val="0"/>
        </w:numPr>
        <w:spacing w:line="560" w:lineRule="exact"/>
        <w:ind w:firstLine="640" w:firstLineChars="200"/>
        <w:jc w:val="left"/>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报废</w:t>
      </w:r>
      <w:r>
        <w:rPr>
          <w:rFonts w:hint="eastAsia" w:ascii="仿宋_GB2312" w:eastAsia="仿宋_GB2312"/>
          <w:color w:val="000000"/>
          <w:sz w:val="32"/>
          <w:szCs w:val="32"/>
          <w:highlight w:val="none"/>
        </w:rPr>
        <w:t>国四排放标准老旧</w:t>
      </w:r>
      <w:r>
        <w:rPr>
          <w:rFonts w:hint="eastAsia" w:ascii="仿宋_GB2312" w:eastAsia="仿宋_GB2312"/>
          <w:color w:val="000000"/>
          <w:sz w:val="32"/>
          <w:szCs w:val="32"/>
          <w:highlight w:val="none"/>
          <w:lang w:val="en-US" w:eastAsia="zh-CN"/>
        </w:rPr>
        <w:t>重型</w:t>
      </w:r>
      <w:r>
        <w:rPr>
          <w:rFonts w:hint="eastAsia" w:ascii="仿宋_GB2312" w:eastAsia="仿宋_GB2312"/>
          <w:color w:val="000000"/>
          <w:sz w:val="32"/>
          <w:szCs w:val="32"/>
          <w:highlight w:val="none"/>
        </w:rPr>
        <w:t>营运货车并更新为</w:t>
      </w:r>
      <w:r>
        <w:rPr>
          <w:rFonts w:hint="eastAsia" w:ascii="仿宋_GB2312" w:eastAsia="仿宋_GB2312"/>
          <w:color w:val="000000"/>
          <w:sz w:val="32"/>
          <w:szCs w:val="32"/>
          <w:highlight w:val="none"/>
          <w:lang w:eastAsia="zh-CN"/>
        </w:rPr>
        <w:t>国六</w:t>
      </w:r>
      <w:r>
        <w:rPr>
          <w:rFonts w:hint="eastAsia" w:ascii="仿宋_GB2312" w:eastAsia="仿宋_GB2312"/>
          <w:color w:val="000000"/>
          <w:sz w:val="32"/>
          <w:szCs w:val="32"/>
          <w:highlight w:val="none"/>
          <w:lang w:val="en-US" w:eastAsia="zh-CN"/>
        </w:rPr>
        <w:t>排放标准</w:t>
      </w:r>
      <w:r>
        <w:rPr>
          <w:rFonts w:hint="eastAsia" w:ascii="仿宋_GB2312" w:eastAsia="仿宋_GB2312"/>
          <w:color w:val="000000"/>
          <w:sz w:val="32"/>
          <w:szCs w:val="32"/>
          <w:highlight w:val="none"/>
          <w:lang w:eastAsia="zh-CN"/>
        </w:rPr>
        <w:t>重型营运货车</w:t>
      </w:r>
      <w:r>
        <w:rPr>
          <w:rFonts w:hint="eastAsia" w:ascii="仿宋_GB2312" w:eastAsia="仿宋_GB2312"/>
          <w:color w:val="000000"/>
          <w:sz w:val="32"/>
          <w:szCs w:val="32"/>
          <w:highlight w:val="none"/>
        </w:rPr>
        <w:t>补贴标准</w:t>
      </w:r>
      <w:r>
        <w:rPr>
          <w:rFonts w:hint="eastAsia" w:ascii="仿宋_GB2312" w:eastAsia="仿宋_GB2312"/>
          <w:color w:val="000000"/>
          <w:sz w:val="32"/>
          <w:szCs w:val="32"/>
          <w:highlight w:val="none"/>
          <w:lang w:val="en-US" w:eastAsia="zh-CN"/>
        </w:rPr>
        <w:t>为8.5万元</w:t>
      </w:r>
      <w:r>
        <w:rPr>
          <w:rFonts w:hint="eastAsia" w:ascii="仿宋_GB2312" w:eastAsia="仿宋_GB2312"/>
          <w:color w:val="000000"/>
          <w:sz w:val="32"/>
          <w:szCs w:val="32"/>
          <w:highlight w:val="none"/>
        </w:rPr>
        <w:t>/辆。</w:t>
      </w:r>
    </w:p>
    <w:p w14:paraId="216BE6E2">
      <w:pPr>
        <w:spacing w:line="560" w:lineRule="exact"/>
        <w:ind w:firstLine="640" w:firstLineChars="200"/>
        <w:outlineLvl w:val="0"/>
        <w:rPr>
          <w:rFonts w:ascii="黑体" w:hAnsi="黑体" w:eastAsia="黑体"/>
          <w:color w:val="000000"/>
          <w:highlight w:val="none"/>
        </w:rPr>
      </w:pPr>
      <w:r>
        <w:rPr>
          <w:rFonts w:hint="eastAsia" w:ascii="黑体" w:hAnsi="黑体" w:eastAsia="黑体"/>
          <w:color w:val="000000"/>
          <w:sz w:val="32"/>
          <w:szCs w:val="32"/>
          <w:highlight w:val="none"/>
          <w:lang w:val="en-US" w:eastAsia="zh-CN"/>
        </w:rPr>
        <w:t>六</w:t>
      </w:r>
      <w:r>
        <w:rPr>
          <w:rFonts w:hint="eastAsia" w:ascii="黑体" w:hAnsi="黑体" w:eastAsia="黑体"/>
          <w:color w:val="000000"/>
          <w:sz w:val="32"/>
          <w:szCs w:val="32"/>
          <w:highlight w:val="none"/>
        </w:rPr>
        <w:t>、注意事项</w:t>
      </w:r>
    </w:p>
    <w:p w14:paraId="34C39C57">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针对</w:t>
      </w:r>
      <w:r>
        <w:rPr>
          <w:rFonts w:hint="eastAsia" w:ascii="仿宋_GB2312" w:eastAsia="仿宋_GB2312"/>
          <w:color w:val="000000"/>
          <w:sz w:val="32"/>
          <w:szCs w:val="32"/>
          <w:highlight w:val="none"/>
        </w:rPr>
        <w:t>报废更新为新能源</w:t>
      </w:r>
      <w:r>
        <w:rPr>
          <w:rFonts w:hint="eastAsia" w:ascii="仿宋_GB2312" w:eastAsia="仿宋_GB2312"/>
          <w:color w:val="000000"/>
          <w:sz w:val="32"/>
          <w:szCs w:val="32"/>
          <w:highlight w:val="none"/>
          <w:lang w:val="en-US" w:eastAsia="zh-CN"/>
        </w:rPr>
        <w:t>和报废更新为国六重型营运的，</w:t>
      </w:r>
      <w:r>
        <w:rPr>
          <w:rFonts w:hint="eastAsia" w:ascii="仿宋_GB2312" w:eastAsia="仿宋_GB2312"/>
          <w:color w:val="000000"/>
          <w:sz w:val="32"/>
          <w:szCs w:val="32"/>
          <w:highlight w:val="none"/>
        </w:rPr>
        <w:t>可报废或更新多辆车，对于报废车辆数和更新车辆数不一致的情况，以报废或更新的车辆数量下限为准。</w:t>
      </w:r>
      <w:r>
        <w:rPr>
          <w:rFonts w:hint="eastAsia" w:ascii="仿宋_GB2312" w:eastAsia="仿宋_GB2312"/>
          <w:color w:val="000000"/>
          <w:sz w:val="32"/>
          <w:szCs w:val="32"/>
          <w:highlight w:val="none"/>
          <w:lang w:eastAsia="zh-CN"/>
        </w:rPr>
        <w:t>即</w:t>
      </w:r>
      <w:r>
        <w:rPr>
          <w:rFonts w:hint="eastAsia" w:ascii="仿宋_GB2312" w:eastAsia="仿宋_GB2312"/>
          <w:color w:val="000000"/>
          <w:sz w:val="32"/>
          <w:szCs w:val="32"/>
          <w:highlight w:val="none"/>
        </w:rPr>
        <w:t>报废</w:t>
      </w:r>
      <w:r>
        <w:rPr>
          <w:rFonts w:hint="eastAsia" w:ascii="仿宋_GB2312" w:eastAsia="仿宋_GB2312"/>
          <w:color w:val="000000"/>
          <w:sz w:val="32"/>
          <w:szCs w:val="32"/>
          <w:highlight w:val="none"/>
          <w:lang w:eastAsia="zh-CN"/>
        </w:rPr>
        <w:t>数量大于</w:t>
      </w:r>
      <w:r>
        <w:rPr>
          <w:rFonts w:hint="eastAsia" w:ascii="仿宋_GB2312" w:eastAsia="仿宋_GB2312"/>
          <w:color w:val="000000"/>
          <w:sz w:val="32"/>
          <w:szCs w:val="32"/>
          <w:highlight w:val="none"/>
        </w:rPr>
        <w:t>更新</w:t>
      </w:r>
      <w:r>
        <w:rPr>
          <w:rFonts w:hint="eastAsia" w:ascii="仿宋_GB2312" w:eastAsia="仿宋_GB2312"/>
          <w:color w:val="000000"/>
          <w:sz w:val="32"/>
          <w:szCs w:val="32"/>
          <w:highlight w:val="none"/>
          <w:lang w:eastAsia="zh-CN"/>
        </w:rPr>
        <w:t>数量</w:t>
      </w:r>
      <w:r>
        <w:rPr>
          <w:rFonts w:hint="eastAsia" w:ascii="仿宋_GB2312" w:eastAsia="仿宋_GB2312"/>
          <w:color w:val="000000"/>
          <w:sz w:val="32"/>
          <w:szCs w:val="32"/>
          <w:highlight w:val="none"/>
        </w:rPr>
        <w:t>的，以更新车辆数为准给予补贴；报废</w:t>
      </w:r>
      <w:r>
        <w:rPr>
          <w:rFonts w:hint="eastAsia" w:ascii="仿宋_GB2312" w:eastAsia="仿宋_GB2312"/>
          <w:color w:val="000000"/>
          <w:sz w:val="32"/>
          <w:szCs w:val="32"/>
          <w:highlight w:val="none"/>
          <w:lang w:eastAsia="zh-CN"/>
        </w:rPr>
        <w:t>数量小于</w:t>
      </w:r>
      <w:r>
        <w:rPr>
          <w:rFonts w:hint="eastAsia" w:ascii="仿宋_GB2312" w:eastAsia="仿宋_GB2312"/>
          <w:color w:val="000000"/>
          <w:sz w:val="32"/>
          <w:szCs w:val="32"/>
          <w:highlight w:val="none"/>
        </w:rPr>
        <w:t>更新</w:t>
      </w:r>
      <w:r>
        <w:rPr>
          <w:rFonts w:hint="eastAsia" w:ascii="仿宋_GB2312" w:eastAsia="仿宋_GB2312"/>
          <w:color w:val="000000"/>
          <w:sz w:val="32"/>
          <w:szCs w:val="32"/>
          <w:highlight w:val="none"/>
          <w:lang w:eastAsia="zh-CN"/>
        </w:rPr>
        <w:t>数量的</w:t>
      </w:r>
      <w:r>
        <w:rPr>
          <w:rFonts w:hint="eastAsia" w:ascii="仿宋_GB2312" w:eastAsia="仿宋_GB2312"/>
          <w:color w:val="000000"/>
          <w:sz w:val="32"/>
          <w:szCs w:val="32"/>
          <w:highlight w:val="none"/>
        </w:rPr>
        <w:t>，以报废车辆数为准给予补贴。</w:t>
      </w:r>
    </w:p>
    <w:p w14:paraId="77CA88A1">
      <w:r>
        <w:rPr>
          <w:rFonts w:hint="eastAsia" w:ascii="仿宋_GB2312" w:eastAsia="仿宋_GB2312"/>
          <w:color w:val="000000"/>
          <w:sz w:val="32"/>
          <w:szCs w:val="32"/>
          <w:highlight w:val="none"/>
          <w:lang w:val="en-US" w:eastAsia="zh-CN"/>
        </w:rPr>
        <w:t>2.针对</w:t>
      </w:r>
      <w:r>
        <w:rPr>
          <w:rFonts w:hint="eastAsia" w:ascii="仿宋_GB2312" w:eastAsia="仿宋_GB2312"/>
          <w:color w:val="000000"/>
          <w:sz w:val="32"/>
          <w:szCs w:val="32"/>
          <w:highlight w:val="none"/>
        </w:rPr>
        <w:t>仅新购置新能源冷链货车</w:t>
      </w:r>
      <w:r>
        <w:rPr>
          <w:rFonts w:hint="eastAsia" w:ascii="仿宋_GB2312" w:eastAsia="仿宋_GB2312"/>
          <w:color w:val="000000"/>
          <w:sz w:val="32"/>
          <w:szCs w:val="32"/>
          <w:highlight w:val="none"/>
          <w:lang w:val="en-US" w:eastAsia="zh-CN"/>
        </w:rPr>
        <w:t>和</w:t>
      </w:r>
      <w:r>
        <w:rPr>
          <w:rFonts w:hint="eastAsia" w:ascii="仿宋_GB2312" w:eastAsia="仿宋_GB2312"/>
          <w:color w:val="000000"/>
          <w:sz w:val="32"/>
          <w:szCs w:val="32"/>
          <w:highlight w:val="none"/>
          <w:lang w:eastAsia="zh-CN"/>
        </w:rPr>
        <w:t>仅报废国四重型营运</w:t>
      </w:r>
      <w:r>
        <w:rPr>
          <w:rFonts w:hint="eastAsia" w:ascii="仿宋_GB2312" w:eastAsia="仿宋_GB2312"/>
          <w:color w:val="000000"/>
          <w:sz w:val="32"/>
          <w:szCs w:val="32"/>
          <w:highlight w:val="none"/>
          <w:lang w:val="en-US" w:eastAsia="zh-CN"/>
        </w:rPr>
        <w:t>的，以实际购买或报废的车辆数为准给予补贴。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24F5C"/>
    <w:multiLevelType w:val="singleLevel"/>
    <w:tmpl w:val="2B724F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mM3ZGU0MzFkYTQzMTExZDdhYTk5MDczNzcxNmUifQ=="/>
  </w:docVars>
  <w:rsids>
    <w:rsidRoot w:val="13587843"/>
    <w:rsid w:val="1358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line="560" w:lineRule="exact"/>
      <w:ind w:firstLine="640" w:firstLineChars="200"/>
    </w:pPr>
    <w:rPr>
      <w:rFonts w:ascii="仿宋_GB2312" w:eastAsia="仿宋_GB2312"/>
      <w:color w:val="FF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2024-09-25T06:36:00Z</dcterms:created>
  <dc:creator>赵旭</dc:creator>
  <cp:lastModifiedBy>赵旭</cp:lastModifiedBy>
  <dcterms:modified xsi:type="dcterms:W3CDTF">2024-09-25T06:36:21Z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7D11F5A365B74690A19FD79ACE89E4BD_11</vt:lpwstr>
  </property>
</Properties>
</file>