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B4A" w:rsidRDefault="00A660B8">
      <w:pPr>
        <w:spacing w:after="0" w:line="560" w:lineRule="exact"/>
        <w:ind w:firstLine="0"/>
        <w:rPr>
          <w:color w:val="auto"/>
        </w:rPr>
      </w:pPr>
      <w:r>
        <w:rPr>
          <w:rFonts w:ascii="黑体" w:eastAsia="黑体" w:hAnsi="黑体" w:cs="黑体"/>
          <w:color w:val="auto"/>
        </w:rPr>
        <w:t>附</w:t>
      </w:r>
      <w:r>
        <w:rPr>
          <w:rFonts w:ascii="黑体" w:eastAsia="黑体" w:hAnsi="黑体" w:cs="黑体" w:hint="eastAsia"/>
          <w:color w:val="auto"/>
        </w:rPr>
        <w:t>件</w:t>
      </w:r>
      <w:r>
        <w:rPr>
          <w:rFonts w:ascii="黑体" w:eastAsia="黑体" w:hAnsi="黑体" w:cs="黑体" w:hint="eastAsia"/>
          <w:color w:val="auto"/>
        </w:rPr>
        <w:t>2</w:t>
      </w:r>
    </w:p>
    <w:p w:rsidR="00DE2B4A" w:rsidRDefault="00A660B8" w:rsidP="00315EE7">
      <w:pPr>
        <w:spacing w:afterLines="50" w:after="120" w:line="500" w:lineRule="exact"/>
        <w:ind w:firstLine="0"/>
        <w:jc w:val="center"/>
        <w:rPr>
          <w:rFonts w:ascii="方正小标宋简体" w:eastAsia="方正小标宋简体" w:hAnsi="方正小标宋简体" w:cs="方正小标宋简体"/>
          <w:color w:val="auto"/>
          <w:sz w:val="44"/>
          <w:szCs w:val="44"/>
        </w:rPr>
      </w:pPr>
      <w:bookmarkStart w:id="0" w:name="_Hlk103689422"/>
      <w:bookmarkStart w:id="1" w:name="_Hlk89762348"/>
      <w:bookmarkStart w:id="2" w:name="_Hlk89412895"/>
      <w:bookmarkStart w:id="3" w:name="_GoBack"/>
      <w:r>
        <w:rPr>
          <w:rFonts w:ascii="方正小标宋简体" w:eastAsia="方正小标宋简体" w:hAnsi="方正小标宋简体" w:cs="方正小标宋简体" w:hint="eastAsia"/>
          <w:color w:val="auto"/>
          <w:sz w:val="44"/>
          <w:szCs w:val="44"/>
        </w:rPr>
        <w:t>公园类别评定条件对照表</w:t>
      </w:r>
      <w:bookmarkEnd w:id="0"/>
      <w:bookmarkEnd w:id="3"/>
    </w:p>
    <w:tbl>
      <w:tblPr>
        <w:tblStyle w:val="10"/>
        <w:tblW w:w="14941" w:type="dxa"/>
        <w:jc w:val="center"/>
        <w:tblLook w:val="04A0" w:firstRow="1" w:lastRow="0" w:firstColumn="1" w:lastColumn="0" w:noHBand="0" w:noVBand="1"/>
      </w:tblPr>
      <w:tblGrid>
        <w:gridCol w:w="846"/>
        <w:gridCol w:w="1901"/>
        <w:gridCol w:w="3098"/>
        <w:gridCol w:w="4285"/>
        <w:gridCol w:w="1963"/>
        <w:gridCol w:w="1595"/>
        <w:gridCol w:w="1253"/>
      </w:tblGrid>
      <w:tr w:rsidR="00DE2B4A">
        <w:trPr>
          <w:trHeight w:val="395"/>
          <w:tblHeader/>
          <w:jc w:val="center"/>
        </w:trPr>
        <w:tc>
          <w:tcPr>
            <w:tcW w:w="2747" w:type="dxa"/>
            <w:gridSpan w:val="2"/>
            <w:vAlign w:val="center"/>
          </w:tcPr>
          <w:p w:rsidR="00DE2B4A" w:rsidRDefault="00A660B8">
            <w:pPr>
              <w:widowControl w:val="0"/>
              <w:spacing w:after="0" w:line="260" w:lineRule="exact"/>
              <w:ind w:firstLine="0"/>
              <w:jc w:val="center"/>
              <w:rPr>
                <w:rFonts w:ascii="黑体" w:eastAsia="黑体" w:hAnsi="黑体" w:cs="黑体"/>
                <w:color w:val="auto"/>
                <w:sz w:val="22"/>
              </w:rPr>
            </w:pPr>
            <w:r>
              <w:rPr>
                <w:rFonts w:ascii="黑体" w:eastAsia="黑体" w:hAnsi="黑体" w:cs="黑体" w:hint="eastAsia"/>
                <w:color w:val="auto"/>
                <w:sz w:val="22"/>
              </w:rPr>
              <w:t>公园类别</w:t>
            </w:r>
            <w:r>
              <w:rPr>
                <w:rFonts w:ascii="黑体" w:eastAsia="黑体" w:hAnsi="黑体" w:cs="黑体" w:hint="eastAsia"/>
                <w:color w:val="auto"/>
                <w:sz w:val="22"/>
              </w:rPr>
              <w:t>/</w:t>
            </w:r>
            <w:r>
              <w:rPr>
                <w:rFonts w:ascii="黑体" w:eastAsia="黑体" w:hAnsi="黑体" w:cs="黑体" w:hint="eastAsia"/>
                <w:color w:val="auto"/>
                <w:sz w:val="22"/>
              </w:rPr>
              <w:t>小类</w:t>
            </w:r>
          </w:p>
        </w:tc>
        <w:tc>
          <w:tcPr>
            <w:tcW w:w="3098" w:type="dxa"/>
            <w:vAlign w:val="center"/>
          </w:tcPr>
          <w:p w:rsidR="00DE2B4A" w:rsidRDefault="00A660B8">
            <w:pPr>
              <w:widowControl w:val="0"/>
              <w:spacing w:after="0" w:line="260" w:lineRule="exact"/>
              <w:ind w:firstLine="0"/>
              <w:jc w:val="center"/>
              <w:rPr>
                <w:rFonts w:ascii="黑体" w:eastAsia="黑体" w:hAnsi="黑体" w:cs="黑体"/>
                <w:color w:val="auto"/>
                <w:sz w:val="22"/>
              </w:rPr>
            </w:pPr>
            <w:r>
              <w:rPr>
                <w:rFonts w:ascii="黑体" w:eastAsia="黑体" w:hAnsi="黑体" w:cs="黑体" w:hint="eastAsia"/>
                <w:color w:val="auto"/>
                <w:sz w:val="22"/>
              </w:rPr>
              <w:t>功能定位</w:t>
            </w:r>
          </w:p>
        </w:tc>
        <w:tc>
          <w:tcPr>
            <w:tcW w:w="4285" w:type="dxa"/>
            <w:vAlign w:val="center"/>
          </w:tcPr>
          <w:p w:rsidR="00DE2B4A" w:rsidRDefault="00A660B8">
            <w:pPr>
              <w:widowControl w:val="0"/>
              <w:spacing w:after="0" w:line="260" w:lineRule="exact"/>
              <w:ind w:firstLine="0"/>
              <w:jc w:val="center"/>
              <w:rPr>
                <w:rFonts w:ascii="黑体" w:eastAsia="黑体" w:hAnsi="黑体" w:cs="黑体"/>
                <w:color w:val="auto"/>
                <w:sz w:val="22"/>
              </w:rPr>
            </w:pPr>
            <w:r>
              <w:rPr>
                <w:rFonts w:ascii="黑体" w:eastAsia="黑体" w:hAnsi="黑体" w:cs="黑体" w:hint="eastAsia"/>
                <w:color w:val="auto"/>
                <w:sz w:val="22"/>
              </w:rPr>
              <w:t>主要属性及特征</w:t>
            </w:r>
          </w:p>
        </w:tc>
        <w:tc>
          <w:tcPr>
            <w:tcW w:w="1963" w:type="dxa"/>
            <w:vAlign w:val="center"/>
          </w:tcPr>
          <w:p w:rsidR="00DE2B4A" w:rsidRDefault="00A660B8">
            <w:pPr>
              <w:widowControl w:val="0"/>
              <w:spacing w:after="0" w:line="260" w:lineRule="exact"/>
              <w:ind w:firstLine="0"/>
              <w:jc w:val="center"/>
              <w:rPr>
                <w:rFonts w:ascii="黑体" w:eastAsia="黑体" w:hAnsi="黑体" w:cs="黑体"/>
                <w:color w:val="auto"/>
                <w:sz w:val="22"/>
              </w:rPr>
            </w:pPr>
            <w:r>
              <w:rPr>
                <w:rFonts w:ascii="黑体" w:eastAsia="黑体" w:hAnsi="黑体" w:cs="黑体" w:hint="eastAsia"/>
                <w:color w:val="auto"/>
                <w:sz w:val="22"/>
              </w:rPr>
              <w:t>用地性质</w:t>
            </w:r>
          </w:p>
        </w:tc>
        <w:tc>
          <w:tcPr>
            <w:tcW w:w="1595" w:type="dxa"/>
            <w:vAlign w:val="center"/>
          </w:tcPr>
          <w:p w:rsidR="00DE2B4A" w:rsidRDefault="00A660B8">
            <w:pPr>
              <w:widowControl w:val="0"/>
              <w:spacing w:after="0" w:line="260" w:lineRule="exact"/>
              <w:ind w:firstLine="0"/>
              <w:jc w:val="center"/>
              <w:rPr>
                <w:rFonts w:ascii="黑体" w:eastAsia="黑体" w:hAnsi="黑体" w:cs="黑体"/>
                <w:color w:val="auto"/>
                <w:sz w:val="22"/>
              </w:rPr>
            </w:pPr>
            <w:r>
              <w:rPr>
                <w:rFonts w:ascii="黑体" w:eastAsia="黑体" w:hAnsi="黑体" w:cs="黑体" w:hint="eastAsia"/>
                <w:color w:val="auto"/>
                <w:sz w:val="22"/>
              </w:rPr>
              <w:t>主要服务对象</w:t>
            </w:r>
          </w:p>
        </w:tc>
        <w:tc>
          <w:tcPr>
            <w:tcW w:w="1253" w:type="dxa"/>
            <w:vAlign w:val="center"/>
          </w:tcPr>
          <w:p w:rsidR="00DE2B4A" w:rsidRDefault="00A660B8">
            <w:pPr>
              <w:widowControl w:val="0"/>
              <w:spacing w:after="0" w:line="260" w:lineRule="exact"/>
              <w:ind w:firstLine="0"/>
              <w:jc w:val="center"/>
              <w:rPr>
                <w:rFonts w:ascii="黑体" w:eastAsia="黑体" w:hAnsi="黑体" w:cs="黑体"/>
                <w:color w:val="auto"/>
                <w:sz w:val="22"/>
              </w:rPr>
            </w:pPr>
            <w:r>
              <w:rPr>
                <w:rFonts w:ascii="黑体" w:eastAsia="黑体" w:hAnsi="黑体" w:cs="黑体" w:hint="eastAsia"/>
                <w:color w:val="auto"/>
                <w:sz w:val="22"/>
              </w:rPr>
              <w:t>备注</w:t>
            </w:r>
          </w:p>
        </w:tc>
      </w:tr>
      <w:tr w:rsidR="00DE2B4A">
        <w:trPr>
          <w:trHeight w:val="823"/>
          <w:jc w:val="center"/>
        </w:trPr>
        <w:tc>
          <w:tcPr>
            <w:tcW w:w="2747" w:type="dxa"/>
            <w:gridSpan w:val="2"/>
            <w:vAlign w:val="center"/>
          </w:tcPr>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综合公园</w:t>
            </w:r>
          </w:p>
        </w:tc>
        <w:tc>
          <w:tcPr>
            <w:tcW w:w="3098"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功能完善，设施齐全，内容丰富，适合开展游览、休憩、科普、文化、健身、儿童游戏等多种活动。</w:t>
            </w:r>
          </w:p>
        </w:tc>
        <w:tc>
          <w:tcPr>
            <w:tcW w:w="4285"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适合不同人群开展户外活动。一道绿化隔离地区及北京城市副中心环城游憩环上功能完善的大型公园可按综合公园确定。规模宜≥</w:t>
            </w:r>
            <w:r>
              <w:rPr>
                <w:rFonts w:ascii="仿宋_GB2312" w:eastAsia="仿宋_GB2312" w:hAnsi="仿宋_GB2312" w:cs="仿宋_GB2312" w:hint="eastAsia"/>
                <w:color w:val="auto"/>
                <w:sz w:val="21"/>
                <w:szCs w:val="21"/>
              </w:rPr>
              <w:t>10hm</w:t>
            </w:r>
            <w:r>
              <w:rPr>
                <w:rFonts w:ascii="仿宋_GB2312" w:eastAsia="仿宋_GB2312" w:hAnsi="仿宋_GB2312" w:cs="仿宋_GB2312" w:hint="eastAsia"/>
                <w:color w:val="auto"/>
                <w:sz w:val="21"/>
                <w:szCs w:val="21"/>
                <w:vertAlign w:val="superscript"/>
              </w:rPr>
              <w:t>2</w:t>
            </w:r>
            <w:r>
              <w:rPr>
                <w:rFonts w:ascii="仿宋_GB2312" w:eastAsia="仿宋_GB2312" w:hAnsi="仿宋_GB2312" w:cs="仿宋_GB2312" w:hint="eastAsia"/>
                <w:color w:val="auto"/>
                <w:sz w:val="21"/>
                <w:szCs w:val="21"/>
              </w:rPr>
              <w:t>，最低≥</w:t>
            </w:r>
            <w:r>
              <w:rPr>
                <w:rFonts w:ascii="仿宋_GB2312" w:eastAsia="仿宋_GB2312" w:hAnsi="仿宋_GB2312" w:cs="仿宋_GB2312" w:hint="eastAsia"/>
                <w:color w:val="auto"/>
                <w:sz w:val="21"/>
                <w:szCs w:val="21"/>
              </w:rPr>
              <w:t>5hm</w:t>
            </w:r>
            <w:r>
              <w:rPr>
                <w:rFonts w:ascii="仿宋_GB2312" w:eastAsia="仿宋_GB2312" w:hAnsi="仿宋_GB2312" w:cs="仿宋_GB2312" w:hint="eastAsia"/>
                <w:color w:val="auto"/>
                <w:sz w:val="21"/>
                <w:szCs w:val="21"/>
                <w:vertAlign w:val="superscript"/>
              </w:rPr>
              <w:t>2</w:t>
            </w:r>
            <w:r>
              <w:rPr>
                <w:rFonts w:ascii="仿宋_GB2312" w:eastAsia="仿宋_GB2312" w:hAnsi="仿宋_GB2312" w:cs="仿宋_GB2312" w:hint="eastAsia"/>
                <w:color w:val="auto"/>
                <w:sz w:val="21"/>
                <w:szCs w:val="21"/>
              </w:rPr>
              <w:t>。</w:t>
            </w:r>
          </w:p>
        </w:tc>
        <w:tc>
          <w:tcPr>
            <w:tcW w:w="1963"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城镇建设用地</w:t>
            </w:r>
          </w:p>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邻近城市集中建设区的非建设用地</w:t>
            </w:r>
          </w:p>
        </w:tc>
        <w:tc>
          <w:tcPr>
            <w:tcW w:w="1595"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市区居民</w:t>
            </w:r>
          </w:p>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周边社区居民</w:t>
            </w:r>
          </w:p>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外来游客</w:t>
            </w:r>
          </w:p>
        </w:tc>
        <w:tc>
          <w:tcPr>
            <w:tcW w:w="1253"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考核万人拥有综合公园指数。</w:t>
            </w:r>
          </w:p>
        </w:tc>
      </w:tr>
      <w:tr w:rsidR="00DE2B4A">
        <w:trPr>
          <w:trHeight w:val="551"/>
          <w:jc w:val="center"/>
        </w:trPr>
        <w:tc>
          <w:tcPr>
            <w:tcW w:w="2747" w:type="dxa"/>
            <w:gridSpan w:val="2"/>
            <w:vAlign w:val="center"/>
          </w:tcPr>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社区公园</w:t>
            </w:r>
          </w:p>
        </w:tc>
        <w:tc>
          <w:tcPr>
            <w:tcW w:w="3098"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为一定居住用地范围内的居民就近开展日常休闲活动服务，侧重开展儿童游乐、老人休憩健身活动。</w:t>
            </w:r>
          </w:p>
        </w:tc>
        <w:tc>
          <w:tcPr>
            <w:tcW w:w="4285"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毗邻居住组团，满足周边社区居民日常休闲游憩及健身需求</w:t>
            </w: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活动场地和配套设施较为完善。规模宜≥</w:t>
            </w:r>
            <w:r>
              <w:rPr>
                <w:rFonts w:ascii="仿宋_GB2312" w:eastAsia="仿宋_GB2312" w:hAnsi="仿宋_GB2312" w:cs="仿宋_GB2312" w:hint="eastAsia"/>
                <w:color w:val="auto"/>
                <w:sz w:val="21"/>
                <w:szCs w:val="21"/>
              </w:rPr>
              <w:t>1hm</w:t>
            </w:r>
            <w:r>
              <w:rPr>
                <w:rFonts w:ascii="仿宋_GB2312" w:eastAsia="仿宋_GB2312" w:hAnsi="仿宋_GB2312" w:cs="仿宋_GB2312" w:hint="eastAsia"/>
                <w:color w:val="auto"/>
                <w:sz w:val="21"/>
                <w:szCs w:val="21"/>
                <w:vertAlign w:val="superscript"/>
              </w:rPr>
              <w:t>2</w:t>
            </w:r>
            <w:r>
              <w:rPr>
                <w:rFonts w:ascii="仿宋_GB2312" w:eastAsia="仿宋_GB2312" w:hAnsi="仿宋_GB2312" w:cs="仿宋_GB2312" w:hint="eastAsia"/>
                <w:color w:val="auto"/>
                <w:sz w:val="21"/>
                <w:szCs w:val="21"/>
              </w:rPr>
              <w:t>，最低≥</w:t>
            </w:r>
            <w:r>
              <w:rPr>
                <w:rFonts w:ascii="仿宋_GB2312" w:eastAsia="仿宋_GB2312" w:hAnsi="仿宋_GB2312" w:cs="仿宋_GB2312" w:hint="eastAsia"/>
                <w:color w:val="auto"/>
                <w:sz w:val="21"/>
                <w:szCs w:val="21"/>
              </w:rPr>
              <w:t>0.</w:t>
            </w:r>
            <w:r>
              <w:rPr>
                <w:rFonts w:ascii="仿宋_GB2312" w:eastAsia="仿宋_GB2312" w:hAnsi="仿宋_GB2312" w:cs="仿宋_GB2312" w:hint="eastAsia"/>
                <w:color w:val="auto"/>
                <w:sz w:val="21"/>
                <w:szCs w:val="21"/>
              </w:rPr>
              <w:t>5hm</w:t>
            </w:r>
            <w:r>
              <w:rPr>
                <w:rFonts w:ascii="仿宋_GB2312" w:eastAsia="仿宋_GB2312" w:hAnsi="仿宋_GB2312" w:cs="仿宋_GB2312" w:hint="eastAsia"/>
                <w:color w:val="auto"/>
                <w:sz w:val="21"/>
                <w:szCs w:val="21"/>
                <w:vertAlign w:val="superscript"/>
              </w:rPr>
              <w:t>2</w:t>
            </w:r>
            <w:r>
              <w:rPr>
                <w:rFonts w:ascii="仿宋_GB2312" w:eastAsia="仿宋_GB2312" w:hAnsi="仿宋_GB2312" w:cs="仿宋_GB2312" w:hint="eastAsia"/>
                <w:color w:val="auto"/>
                <w:sz w:val="21"/>
                <w:szCs w:val="21"/>
              </w:rPr>
              <w:t>。</w:t>
            </w:r>
          </w:p>
        </w:tc>
        <w:tc>
          <w:tcPr>
            <w:tcW w:w="1963"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城镇建设用地</w:t>
            </w:r>
          </w:p>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邻近城市集中建设区的非建设用地</w:t>
            </w:r>
          </w:p>
        </w:tc>
        <w:tc>
          <w:tcPr>
            <w:tcW w:w="1595"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周边社区居民</w:t>
            </w:r>
          </w:p>
        </w:tc>
        <w:tc>
          <w:tcPr>
            <w:tcW w:w="1253" w:type="dxa"/>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r>
      <w:tr w:rsidR="00DE2B4A">
        <w:trPr>
          <w:trHeight w:val="410"/>
          <w:jc w:val="center"/>
        </w:trPr>
        <w:tc>
          <w:tcPr>
            <w:tcW w:w="2747" w:type="dxa"/>
            <w:gridSpan w:val="2"/>
            <w:vAlign w:val="center"/>
          </w:tcPr>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历史名园</w:t>
            </w:r>
          </w:p>
        </w:tc>
        <w:tc>
          <w:tcPr>
            <w:tcW w:w="3098"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以保护园林格局、文化资源及自然资源为主导功能，通过多种手段加以展示、传播、利用，兼顾休闲游憩等功能。</w:t>
            </w:r>
          </w:p>
        </w:tc>
        <w:tc>
          <w:tcPr>
            <w:tcW w:w="4285"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首都历史文化名城重要遗产，历史、文化、生态及科学价值突出。</w:t>
            </w:r>
          </w:p>
        </w:tc>
        <w:tc>
          <w:tcPr>
            <w:tcW w:w="1963"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城镇建设用地</w:t>
            </w:r>
          </w:p>
        </w:tc>
        <w:tc>
          <w:tcPr>
            <w:tcW w:w="1595"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市区居民</w:t>
            </w:r>
          </w:p>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周边社区居民</w:t>
            </w:r>
          </w:p>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外来游客</w:t>
            </w:r>
          </w:p>
        </w:tc>
        <w:tc>
          <w:tcPr>
            <w:tcW w:w="1253"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纳入万人拥有专类公园指数。</w:t>
            </w:r>
          </w:p>
        </w:tc>
      </w:tr>
      <w:tr w:rsidR="00DE2B4A">
        <w:trPr>
          <w:trHeight w:val="354"/>
          <w:jc w:val="center"/>
        </w:trPr>
        <w:tc>
          <w:tcPr>
            <w:tcW w:w="846" w:type="dxa"/>
            <w:vMerge w:val="restart"/>
            <w:vAlign w:val="center"/>
          </w:tcPr>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专类</w:t>
            </w:r>
          </w:p>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公园</w:t>
            </w:r>
          </w:p>
        </w:tc>
        <w:tc>
          <w:tcPr>
            <w:tcW w:w="1901" w:type="dxa"/>
            <w:vAlign w:val="center"/>
          </w:tcPr>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动物园</w:t>
            </w:r>
          </w:p>
        </w:tc>
        <w:tc>
          <w:tcPr>
            <w:tcW w:w="3098" w:type="dxa"/>
            <w:vMerge w:val="restart"/>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以特色主题为核心内容或具有突出的历史文化价值，具有相应的游憩和服务设施，侧重满足特色主题塑造和特定服务内容，兼具其他功能。</w:t>
            </w:r>
          </w:p>
        </w:tc>
        <w:tc>
          <w:tcPr>
            <w:tcW w:w="4285" w:type="dxa"/>
            <w:vAlign w:val="center"/>
          </w:tcPr>
          <w:p w:rsidR="00DE2B4A" w:rsidRDefault="00A660B8">
            <w:pPr>
              <w:widowControl w:val="0"/>
              <w:spacing w:after="0" w:line="260" w:lineRule="exact"/>
              <w:ind w:rightChars="-50" w:right="-160"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w w:val="95"/>
                <w:sz w:val="21"/>
                <w:szCs w:val="21"/>
              </w:rPr>
              <w:t>野生动物人工饲养、</w:t>
            </w:r>
            <w:r>
              <w:rPr>
                <w:rFonts w:ascii="仿宋_GB2312" w:eastAsia="仿宋_GB2312" w:hAnsi="仿宋_GB2312" w:cs="仿宋_GB2312" w:hint="eastAsia"/>
                <w:color w:val="auto"/>
                <w:w w:val="95"/>
                <w:sz w:val="21"/>
                <w:szCs w:val="21"/>
              </w:rPr>
              <w:t>异地</w:t>
            </w:r>
            <w:r>
              <w:rPr>
                <w:rFonts w:ascii="仿宋_GB2312" w:eastAsia="仿宋_GB2312" w:hAnsi="仿宋_GB2312" w:cs="仿宋_GB2312" w:hint="eastAsia"/>
                <w:color w:val="auto"/>
                <w:w w:val="95"/>
                <w:sz w:val="21"/>
                <w:szCs w:val="21"/>
              </w:rPr>
              <w:t>保护、繁殖、展示。</w:t>
            </w:r>
          </w:p>
        </w:tc>
        <w:tc>
          <w:tcPr>
            <w:tcW w:w="1963" w:type="dxa"/>
            <w:vMerge w:val="restart"/>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城镇建设用地</w:t>
            </w:r>
          </w:p>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非建设用地</w:t>
            </w:r>
          </w:p>
        </w:tc>
        <w:tc>
          <w:tcPr>
            <w:tcW w:w="1595" w:type="dxa"/>
            <w:vMerge w:val="restart"/>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市区居民</w:t>
            </w:r>
          </w:p>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周边社区居民</w:t>
            </w:r>
          </w:p>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外来游客</w:t>
            </w:r>
          </w:p>
        </w:tc>
        <w:tc>
          <w:tcPr>
            <w:tcW w:w="1253" w:type="dxa"/>
            <w:vMerge w:val="restart"/>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考核万人拥有专类公园指数。</w:t>
            </w:r>
          </w:p>
        </w:tc>
      </w:tr>
      <w:tr w:rsidR="00DE2B4A">
        <w:trPr>
          <w:trHeight w:val="331"/>
          <w:jc w:val="center"/>
        </w:trPr>
        <w:tc>
          <w:tcPr>
            <w:tcW w:w="846" w:type="dxa"/>
            <w:vMerge/>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c>
          <w:tcPr>
            <w:tcW w:w="1901" w:type="dxa"/>
            <w:vAlign w:val="center"/>
          </w:tcPr>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植物园</w:t>
            </w:r>
          </w:p>
        </w:tc>
        <w:tc>
          <w:tcPr>
            <w:tcW w:w="3098"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4285"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植物科学研究、引种驯化、展览展示。</w:t>
            </w:r>
          </w:p>
        </w:tc>
        <w:tc>
          <w:tcPr>
            <w:tcW w:w="1963"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1595"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1253"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r>
      <w:tr w:rsidR="00DE2B4A">
        <w:trPr>
          <w:trHeight w:val="90"/>
          <w:jc w:val="center"/>
        </w:trPr>
        <w:tc>
          <w:tcPr>
            <w:tcW w:w="846" w:type="dxa"/>
            <w:vMerge/>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c>
          <w:tcPr>
            <w:tcW w:w="1901" w:type="dxa"/>
            <w:vAlign w:val="center"/>
          </w:tcPr>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w w:val="80"/>
                <w:sz w:val="21"/>
                <w:szCs w:val="21"/>
              </w:rPr>
              <w:t>遗址公园与纪念性公园</w:t>
            </w:r>
          </w:p>
        </w:tc>
        <w:tc>
          <w:tcPr>
            <w:tcW w:w="3098"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4285"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依托重要历史遗迹，纪念主题突出。</w:t>
            </w:r>
          </w:p>
        </w:tc>
        <w:tc>
          <w:tcPr>
            <w:tcW w:w="1963"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1595"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1253"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r>
      <w:tr w:rsidR="00DE2B4A">
        <w:trPr>
          <w:trHeight w:val="587"/>
          <w:jc w:val="center"/>
        </w:trPr>
        <w:tc>
          <w:tcPr>
            <w:tcW w:w="846" w:type="dxa"/>
            <w:vMerge/>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c>
          <w:tcPr>
            <w:tcW w:w="1901" w:type="dxa"/>
            <w:vAlign w:val="center"/>
          </w:tcPr>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其他</w:t>
            </w:r>
            <w:r>
              <w:rPr>
                <w:rFonts w:ascii="仿宋_GB2312" w:eastAsia="仿宋_GB2312" w:hAnsi="仿宋_GB2312" w:cs="仿宋_GB2312" w:hint="eastAsia"/>
                <w:color w:val="auto"/>
                <w:spacing w:val="-20"/>
                <w:w w:val="90"/>
                <w:sz w:val="21"/>
                <w:szCs w:val="21"/>
              </w:rPr>
              <w:t>（雕塑、儿童、健身、文化等）</w:t>
            </w:r>
          </w:p>
        </w:tc>
        <w:tc>
          <w:tcPr>
            <w:tcW w:w="3098"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4285"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具有雕塑展示、儿童娱乐、体育健身、文化保护宣传等特定主题。</w:t>
            </w:r>
          </w:p>
        </w:tc>
        <w:tc>
          <w:tcPr>
            <w:tcW w:w="1963"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1595"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1253"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r>
      <w:tr w:rsidR="00DE2B4A">
        <w:trPr>
          <w:trHeight w:val="240"/>
          <w:jc w:val="center"/>
        </w:trPr>
        <w:tc>
          <w:tcPr>
            <w:tcW w:w="846" w:type="dxa"/>
            <w:vMerge/>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c>
          <w:tcPr>
            <w:tcW w:w="1901" w:type="dxa"/>
            <w:vAlign w:val="center"/>
          </w:tcPr>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游乐公园</w:t>
            </w:r>
          </w:p>
        </w:tc>
        <w:tc>
          <w:tcPr>
            <w:tcW w:w="3098"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4285"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具有大型游乐设施的主题公园。</w:t>
            </w:r>
          </w:p>
        </w:tc>
        <w:tc>
          <w:tcPr>
            <w:tcW w:w="1963"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1595"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1253"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r>
      <w:tr w:rsidR="00DE2B4A">
        <w:trPr>
          <w:trHeight w:val="444"/>
          <w:jc w:val="center"/>
        </w:trPr>
        <w:tc>
          <w:tcPr>
            <w:tcW w:w="846" w:type="dxa"/>
            <w:vMerge/>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c>
          <w:tcPr>
            <w:tcW w:w="1901" w:type="dxa"/>
            <w:vAlign w:val="center"/>
          </w:tcPr>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城市湿地</w:t>
            </w:r>
            <w:r>
              <w:rPr>
                <w:rFonts w:ascii="仿宋_GB2312" w:eastAsia="仿宋_GB2312" w:hAnsi="仿宋_GB2312" w:cs="仿宋_GB2312" w:hint="eastAsia"/>
                <w:color w:val="auto"/>
                <w:sz w:val="21"/>
                <w:szCs w:val="21"/>
              </w:rPr>
              <w:t>公园</w:t>
            </w:r>
          </w:p>
        </w:tc>
        <w:tc>
          <w:tcPr>
            <w:tcW w:w="3098"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4285"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以保护城市湿地资源为目的，兼具科普教育、科学研究、休闲游览等功能</w:t>
            </w:r>
            <w:r>
              <w:rPr>
                <w:rFonts w:ascii="仿宋_GB2312" w:eastAsia="仿宋_GB2312" w:hAnsi="仿宋_GB2312" w:cs="仿宋_GB2312" w:hint="eastAsia"/>
                <w:color w:val="auto"/>
                <w:sz w:val="21"/>
                <w:szCs w:val="21"/>
              </w:rPr>
              <w:t>。</w:t>
            </w:r>
          </w:p>
        </w:tc>
        <w:tc>
          <w:tcPr>
            <w:tcW w:w="1963"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1595"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1253"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r>
      <w:tr w:rsidR="00DE2B4A">
        <w:trPr>
          <w:trHeight w:val="566"/>
          <w:jc w:val="center"/>
        </w:trPr>
        <w:tc>
          <w:tcPr>
            <w:tcW w:w="846" w:type="dxa"/>
            <w:vMerge/>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c>
          <w:tcPr>
            <w:tcW w:w="1901" w:type="dxa"/>
            <w:vAlign w:val="center"/>
          </w:tcPr>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近郊型郊野公园</w:t>
            </w:r>
          </w:p>
        </w:tc>
        <w:tc>
          <w:tcPr>
            <w:tcW w:w="3098"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4285"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位于一道绿化隔离地区或北京城市副中心环城游憩环，突出植物景观特色，兼具日常游憩健身功能和生态服务功能。</w:t>
            </w:r>
          </w:p>
        </w:tc>
        <w:tc>
          <w:tcPr>
            <w:tcW w:w="1963"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1595"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c>
          <w:tcPr>
            <w:tcW w:w="1253" w:type="dxa"/>
            <w:vMerge/>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r>
      <w:tr w:rsidR="00DE2B4A">
        <w:trPr>
          <w:trHeight w:val="995"/>
          <w:jc w:val="center"/>
        </w:trPr>
        <w:tc>
          <w:tcPr>
            <w:tcW w:w="2747" w:type="dxa"/>
            <w:gridSpan w:val="2"/>
            <w:vAlign w:val="center"/>
          </w:tcPr>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游园</w:t>
            </w:r>
          </w:p>
        </w:tc>
        <w:tc>
          <w:tcPr>
            <w:tcW w:w="3098"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方便周边居民和工作人群就近使用，兼具塑造城市景观风貌。</w:t>
            </w:r>
          </w:p>
        </w:tc>
        <w:tc>
          <w:tcPr>
            <w:tcW w:w="4285"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用地独立，规模较小，开放式管理，具有休闲游憩功能和简单游憩服务设施，</w:t>
            </w:r>
          </w:p>
        </w:tc>
        <w:tc>
          <w:tcPr>
            <w:tcW w:w="1963"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城镇建设用地</w:t>
            </w:r>
          </w:p>
        </w:tc>
        <w:tc>
          <w:tcPr>
            <w:tcW w:w="1595" w:type="dxa"/>
            <w:vAlign w:val="center"/>
          </w:tcPr>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周边社区居民</w:t>
            </w:r>
          </w:p>
          <w:p w:rsidR="00DE2B4A" w:rsidRDefault="00A660B8">
            <w:pPr>
              <w:widowControl w:val="0"/>
              <w:spacing w:after="0" w:line="26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周边工作人群</w:t>
            </w:r>
          </w:p>
        </w:tc>
        <w:tc>
          <w:tcPr>
            <w:tcW w:w="1253" w:type="dxa"/>
            <w:vAlign w:val="center"/>
          </w:tcPr>
          <w:p w:rsidR="00DE2B4A" w:rsidRDefault="00DE2B4A">
            <w:pPr>
              <w:widowControl w:val="0"/>
              <w:spacing w:after="0" w:line="260" w:lineRule="exact"/>
              <w:ind w:firstLine="0"/>
              <w:rPr>
                <w:rFonts w:ascii="仿宋_GB2312" w:eastAsia="仿宋_GB2312" w:hAnsi="仿宋_GB2312" w:cs="仿宋_GB2312"/>
                <w:color w:val="auto"/>
                <w:sz w:val="21"/>
                <w:szCs w:val="21"/>
              </w:rPr>
            </w:pPr>
          </w:p>
        </w:tc>
      </w:tr>
      <w:tr w:rsidR="00DE2B4A">
        <w:trPr>
          <w:trHeight w:val="90"/>
          <w:jc w:val="center"/>
        </w:trPr>
        <w:tc>
          <w:tcPr>
            <w:tcW w:w="846" w:type="dxa"/>
            <w:vMerge w:val="restart"/>
            <w:vAlign w:val="center"/>
          </w:tcPr>
          <w:p w:rsidR="00DE2B4A" w:rsidRDefault="00A660B8">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lastRenderedPageBreak/>
              <w:t>生态</w:t>
            </w:r>
          </w:p>
          <w:p w:rsidR="00DE2B4A" w:rsidRDefault="00A660B8">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公园</w:t>
            </w:r>
          </w:p>
        </w:tc>
        <w:tc>
          <w:tcPr>
            <w:tcW w:w="1901" w:type="dxa"/>
            <w:vAlign w:val="center"/>
          </w:tcPr>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郊野公园</w:t>
            </w:r>
          </w:p>
        </w:tc>
        <w:tc>
          <w:tcPr>
            <w:tcW w:w="3098"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以原生态或低人为干扰的自然环境为特色，自然、古朴、野趣，侧重满足市民自然体验和郊野休闲游憩，兼具其他功能。</w:t>
            </w:r>
          </w:p>
        </w:tc>
        <w:tc>
          <w:tcPr>
            <w:tcW w:w="4285"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主要位于第二道绿化隔离地区，景观野趣自然，满足市民自然体验与郊野休闲。</w:t>
            </w:r>
          </w:p>
        </w:tc>
        <w:tc>
          <w:tcPr>
            <w:tcW w:w="1963"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非建设用地</w:t>
            </w:r>
          </w:p>
        </w:tc>
        <w:tc>
          <w:tcPr>
            <w:tcW w:w="1595"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市区居民</w:t>
            </w:r>
          </w:p>
        </w:tc>
        <w:tc>
          <w:tcPr>
            <w:tcW w:w="1253" w:type="dxa"/>
            <w:vMerge w:val="restart"/>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r>
      <w:tr w:rsidR="00DE2B4A">
        <w:trPr>
          <w:trHeight w:val="982"/>
          <w:jc w:val="center"/>
        </w:trPr>
        <w:tc>
          <w:tcPr>
            <w:tcW w:w="846" w:type="dxa"/>
            <w:vMerge/>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c>
          <w:tcPr>
            <w:tcW w:w="1901" w:type="dxa"/>
            <w:vAlign w:val="center"/>
          </w:tcPr>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滨河森林公园</w:t>
            </w:r>
          </w:p>
        </w:tc>
        <w:tc>
          <w:tcPr>
            <w:tcW w:w="3098"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大型滨水带状生态公园，森林景观及生态环境良好，兼具日常休闲游憩及郊野休闲服务功能。</w:t>
            </w:r>
          </w:p>
        </w:tc>
        <w:tc>
          <w:tcPr>
            <w:tcW w:w="4285"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位于河流两侧，森林景观特色，具有滨水步道系统和相应的配套服务设施及活动场地。</w:t>
            </w:r>
          </w:p>
        </w:tc>
        <w:tc>
          <w:tcPr>
            <w:tcW w:w="1963"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非建设用地</w:t>
            </w:r>
          </w:p>
        </w:tc>
        <w:tc>
          <w:tcPr>
            <w:tcW w:w="1595"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市区居民</w:t>
            </w:r>
          </w:p>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周边社区居民</w:t>
            </w:r>
          </w:p>
        </w:tc>
        <w:tc>
          <w:tcPr>
            <w:tcW w:w="1253" w:type="dxa"/>
            <w:vMerge/>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r>
      <w:tr w:rsidR="00DE2B4A">
        <w:trPr>
          <w:jc w:val="center"/>
        </w:trPr>
        <w:tc>
          <w:tcPr>
            <w:tcW w:w="846" w:type="dxa"/>
            <w:vMerge/>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c>
          <w:tcPr>
            <w:tcW w:w="1901" w:type="dxa"/>
            <w:vAlign w:val="center"/>
          </w:tcPr>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乡村公园</w:t>
            </w:r>
          </w:p>
        </w:tc>
        <w:tc>
          <w:tcPr>
            <w:tcW w:w="3098"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位于乡村，独立占地，满足农村居民就近开展日常休闲游憩和健身活动。</w:t>
            </w:r>
          </w:p>
        </w:tc>
        <w:tc>
          <w:tcPr>
            <w:tcW w:w="4285"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乡村公共绿地，具有一定规模和相应的游憩服务设施及活动场地。</w:t>
            </w:r>
          </w:p>
        </w:tc>
        <w:tc>
          <w:tcPr>
            <w:tcW w:w="1963"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非建设用地</w:t>
            </w:r>
          </w:p>
        </w:tc>
        <w:tc>
          <w:tcPr>
            <w:tcW w:w="1595"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周边村镇居民</w:t>
            </w:r>
          </w:p>
        </w:tc>
        <w:tc>
          <w:tcPr>
            <w:tcW w:w="1253" w:type="dxa"/>
            <w:vMerge/>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r>
      <w:tr w:rsidR="00DE2B4A">
        <w:trPr>
          <w:trHeight w:val="1242"/>
          <w:jc w:val="center"/>
        </w:trPr>
        <w:tc>
          <w:tcPr>
            <w:tcW w:w="846" w:type="dxa"/>
            <w:vMerge w:val="restart"/>
            <w:vAlign w:val="center"/>
          </w:tcPr>
          <w:p w:rsidR="00DE2B4A" w:rsidRDefault="00A660B8">
            <w:pPr>
              <w:widowControl w:val="0"/>
              <w:spacing w:after="0" w:line="260" w:lineRule="exact"/>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自然（类）公园</w:t>
            </w:r>
          </w:p>
        </w:tc>
        <w:tc>
          <w:tcPr>
            <w:tcW w:w="1901" w:type="dxa"/>
            <w:vAlign w:val="center"/>
          </w:tcPr>
          <w:p w:rsidR="00DE2B4A" w:rsidRDefault="00A660B8">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森林公园</w:t>
            </w:r>
          </w:p>
        </w:tc>
        <w:tc>
          <w:tcPr>
            <w:tcW w:w="3098"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以森林和野生动植物资源及其外部物质环境为依托，以生态保护为目的大尺度公园。</w:t>
            </w:r>
          </w:p>
        </w:tc>
        <w:tc>
          <w:tcPr>
            <w:tcW w:w="4285"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以自然风景优美的森林自然景观为特色，从属于自然保护地体系，经相关部门批准设立，服务范围仅限于对游客开放区域，以生态功能为主，兼具景观、游憩、科普、康养、自然体验等功能。</w:t>
            </w:r>
          </w:p>
        </w:tc>
        <w:tc>
          <w:tcPr>
            <w:tcW w:w="1963"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非建设用地</w:t>
            </w:r>
          </w:p>
        </w:tc>
        <w:tc>
          <w:tcPr>
            <w:tcW w:w="1595"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市区居民</w:t>
            </w:r>
          </w:p>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外来游客</w:t>
            </w:r>
          </w:p>
        </w:tc>
        <w:tc>
          <w:tcPr>
            <w:tcW w:w="1253" w:type="dxa"/>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r>
      <w:tr w:rsidR="00DE2B4A">
        <w:trPr>
          <w:trHeight w:val="90"/>
          <w:jc w:val="center"/>
        </w:trPr>
        <w:tc>
          <w:tcPr>
            <w:tcW w:w="846" w:type="dxa"/>
            <w:vMerge/>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c>
          <w:tcPr>
            <w:tcW w:w="1901" w:type="dxa"/>
            <w:vAlign w:val="center"/>
          </w:tcPr>
          <w:p w:rsidR="00DE2B4A" w:rsidRDefault="00A660B8">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地质公园</w:t>
            </w:r>
          </w:p>
        </w:tc>
        <w:tc>
          <w:tcPr>
            <w:tcW w:w="3098"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以具有特殊地质科学意义的地质资源为依托，以保护地质遗迹、普及地学知识为主要目的，兼具有生态、景观、休闲游憩等其他功能的自然区域。</w:t>
            </w:r>
          </w:p>
        </w:tc>
        <w:tc>
          <w:tcPr>
            <w:tcW w:w="4285"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以具有珍稀、独特的地质遗迹景观为特色，从属于自然保护地体系，经相关部门批准设立，服务范围仅限于对游客开放区域，融合地质研究与普及、生态、观光、景观、游憩等功能。</w:t>
            </w:r>
          </w:p>
        </w:tc>
        <w:tc>
          <w:tcPr>
            <w:tcW w:w="1963"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非建设用地</w:t>
            </w:r>
          </w:p>
        </w:tc>
        <w:tc>
          <w:tcPr>
            <w:tcW w:w="1595"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市区居民</w:t>
            </w:r>
          </w:p>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外来游客</w:t>
            </w:r>
          </w:p>
        </w:tc>
        <w:tc>
          <w:tcPr>
            <w:tcW w:w="1253" w:type="dxa"/>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r>
      <w:tr w:rsidR="00DE2B4A">
        <w:trPr>
          <w:trHeight w:val="1660"/>
          <w:jc w:val="center"/>
        </w:trPr>
        <w:tc>
          <w:tcPr>
            <w:tcW w:w="846" w:type="dxa"/>
            <w:vMerge/>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c>
          <w:tcPr>
            <w:tcW w:w="1901" w:type="dxa"/>
            <w:vAlign w:val="center"/>
          </w:tcPr>
          <w:p w:rsidR="00DE2B4A" w:rsidRDefault="00A660B8">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湿地公园</w:t>
            </w:r>
          </w:p>
        </w:tc>
        <w:tc>
          <w:tcPr>
            <w:tcW w:w="3098"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以保护湿地生态系统、合理利用湿地资源、湿地宣传教育和科学研究为目的，经国家或地方人民政府林业部门批准设立，按照有关规定开展生态旅游并予以保护和管理的特定区域。</w:t>
            </w:r>
          </w:p>
        </w:tc>
        <w:tc>
          <w:tcPr>
            <w:tcW w:w="4285"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以天然的湿地景观为主体，河、湖、滩涂景观及湿地特有动植物特征鲜明，配置相应的服务设施。从属于自然保护地体系，经相关部门批准设立，服务范围仅限于对游客开放区域，具有湿地生态系统和生物多样性保护、景观、文化科普、休闲游览多种功能。</w:t>
            </w:r>
          </w:p>
        </w:tc>
        <w:tc>
          <w:tcPr>
            <w:tcW w:w="1963"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非建设用地</w:t>
            </w:r>
          </w:p>
        </w:tc>
        <w:tc>
          <w:tcPr>
            <w:tcW w:w="1595"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市区居民</w:t>
            </w:r>
          </w:p>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外来游客</w:t>
            </w:r>
          </w:p>
        </w:tc>
        <w:tc>
          <w:tcPr>
            <w:tcW w:w="1253" w:type="dxa"/>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r>
      <w:tr w:rsidR="00DE2B4A">
        <w:trPr>
          <w:trHeight w:val="1251"/>
          <w:jc w:val="center"/>
        </w:trPr>
        <w:tc>
          <w:tcPr>
            <w:tcW w:w="846" w:type="dxa"/>
            <w:vMerge/>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c>
          <w:tcPr>
            <w:tcW w:w="1901" w:type="dxa"/>
            <w:vAlign w:val="center"/>
          </w:tcPr>
          <w:p w:rsidR="00DE2B4A" w:rsidRDefault="00A660B8">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风景名胜区</w:t>
            </w:r>
          </w:p>
        </w:tc>
        <w:tc>
          <w:tcPr>
            <w:tcW w:w="3098"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具有观赏、文化或者科学价值，自然景观、人文景观比较集中，环境优美，可供人们游览或者进行科学、文化活动的区域。</w:t>
            </w:r>
          </w:p>
        </w:tc>
        <w:tc>
          <w:tcPr>
            <w:tcW w:w="4285"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风景名胜资源集中、自然环境优美、具有一定规模和游览条件，经省级以上人民政府审定命名、划定范围。从属于自然保护地体系，服务范围仅限于对游客开放区域，具有生态、文化科普、景观、观光等功能。</w:t>
            </w:r>
          </w:p>
        </w:tc>
        <w:tc>
          <w:tcPr>
            <w:tcW w:w="1963"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非建设用地</w:t>
            </w:r>
          </w:p>
        </w:tc>
        <w:tc>
          <w:tcPr>
            <w:tcW w:w="1595" w:type="dxa"/>
            <w:vAlign w:val="center"/>
          </w:tcPr>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市区居民</w:t>
            </w:r>
          </w:p>
          <w:p w:rsidR="00DE2B4A" w:rsidRDefault="00A660B8">
            <w:pPr>
              <w:widowControl w:val="0"/>
              <w:spacing w:after="0" w:line="240" w:lineRule="exact"/>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外来游客</w:t>
            </w:r>
          </w:p>
        </w:tc>
        <w:tc>
          <w:tcPr>
            <w:tcW w:w="1253" w:type="dxa"/>
            <w:vAlign w:val="center"/>
          </w:tcPr>
          <w:p w:rsidR="00DE2B4A" w:rsidRDefault="00DE2B4A">
            <w:pPr>
              <w:widowControl w:val="0"/>
              <w:spacing w:after="0" w:line="260" w:lineRule="exact"/>
              <w:ind w:firstLine="0"/>
              <w:jc w:val="center"/>
              <w:rPr>
                <w:rFonts w:ascii="仿宋_GB2312" w:eastAsia="仿宋_GB2312" w:hAnsi="仿宋_GB2312" w:cs="仿宋_GB2312"/>
                <w:color w:val="auto"/>
                <w:sz w:val="21"/>
                <w:szCs w:val="21"/>
              </w:rPr>
            </w:pPr>
          </w:p>
        </w:tc>
      </w:tr>
      <w:bookmarkEnd w:id="1"/>
      <w:bookmarkEnd w:id="2"/>
    </w:tbl>
    <w:p w:rsidR="00DE2B4A" w:rsidRDefault="00DE2B4A">
      <w:pPr>
        <w:ind w:firstLine="0"/>
        <w:rPr>
          <w:color w:val="auto"/>
        </w:rPr>
        <w:sectPr w:rsidR="00DE2B4A">
          <w:headerReference w:type="default" r:id="rId9"/>
          <w:footerReference w:type="default" r:id="rId10"/>
          <w:pgSz w:w="16838" w:h="11906" w:orient="landscape"/>
          <w:pgMar w:top="1134" w:right="1417" w:bottom="1134" w:left="1417" w:header="720" w:footer="720" w:gutter="0"/>
          <w:cols w:space="0"/>
          <w:docGrid w:linePitch="435"/>
        </w:sectPr>
      </w:pPr>
    </w:p>
    <w:p w:rsidR="00DE2B4A" w:rsidRDefault="00DE2B4A" w:rsidP="00315EE7">
      <w:pPr>
        <w:spacing w:after="0" w:line="560" w:lineRule="exact"/>
        <w:ind w:firstLine="0"/>
        <w:rPr>
          <w:color w:val="auto"/>
        </w:rPr>
      </w:pPr>
    </w:p>
    <w:sectPr w:rsidR="00DE2B4A">
      <w:footerReference w:type="even" r:id="rId11"/>
      <w:footerReference w:type="default" r:id="rId12"/>
      <w:footerReference w:type="first" r:id="rId13"/>
      <w:pgSz w:w="16838" w:h="11906" w:orient="landscape"/>
      <w:pgMar w:top="1304" w:right="1417" w:bottom="1304" w:left="1417" w:header="720" w:footer="1259" w:gutter="0"/>
      <w:cols w:space="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0B8" w:rsidRDefault="00A660B8">
      <w:pPr>
        <w:spacing w:line="240" w:lineRule="auto"/>
      </w:pPr>
      <w:r>
        <w:separator/>
      </w:r>
    </w:p>
  </w:endnote>
  <w:endnote w:type="continuationSeparator" w:id="0">
    <w:p w:rsidR="00A660B8" w:rsidRDefault="00A66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embedRegular r:id="rId1" w:subsetted="1" w:fontKey="{E7345471-40BE-4692-8833-F11719D9B41B}"/>
  </w:font>
  <w:font w:name="微软雅黑">
    <w:altName w:val="黑体"/>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2" w:subsetted="1" w:fontKey="{4F7B9F63-9EF9-424C-BA9E-548CB5AF5781}"/>
  </w:font>
  <w:font w:name="方正小标宋简体">
    <w:panose1 w:val="02010601030101010101"/>
    <w:charset w:val="86"/>
    <w:family w:val="auto"/>
    <w:pitch w:val="variable"/>
    <w:sig w:usb0="00000001" w:usb1="080E0000" w:usb2="00000010" w:usb3="00000000" w:csb0="00040000" w:csb1="00000000"/>
    <w:embedRegular r:id="rId3" w:subsetted="1" w:fontKey="{1635DC13-F27B-4174-BFE6-0FC2E5CAA69F}"/>
  </w:font>
  <w:font w:name="仿宋_GB2312">
    <w:panose1 w:val="02010609030101010101"/>
    <w:charset w:val="86"/>
    <w:family w:val="modern"/>
    <w:pitch w:val="fixed"/>
    <w:sig w:usb0="00000001" w:usb1="080E0000" w:usb2="00000010" w:usb3="00000000" w:csb0="00040000" w:csb1="00000000"/>
    <w:embedRegular r:id="rId4" w:subsetted="1" w:fontKey="{DFE9D29A-4685-40B2-8DFC-51CF7A9A8151}"/>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174064"/>
    </w:sdtPr>
    <w:sdtEndPr/>
    <w:sdtContent>
      <w:p w:rsidR="00DE2B4A" w:rsidRDefault="00A660B8">
        <w:pPr>
          <w:pStyle w:val="a3"/>
          <w:jc w:val="center"/>
        </w:pPr>
        <w:r>
          <w:fldChar w:fldCharType="begin"/>
        </w:r>
        <w:r>
          <w:instrText>PAGE   \* MERGEFORMAT</w:instrText>
        </w:r>
        <w:r>
          <w:fldChar w:fldCharType="separate"/>
        </w:r>
        <w:r w:rsidR="00315EE7" w:rsidRPr="00315EE7">
          <w:rPr>
            <w:noProof/>
            <w:lang w:val="zh-CN"/>
          </w:rPr>
          <w:t>1</w:t>
        </w:r>
        <w:r>
          <w:fldChar w:fldCharType="end"/>
        </w:r>
      </w:p>
    </w:sdtContent>
  </w:sdt>
  <w:p w:rsidR="00DE2B4A" w:rsidRDefault="00DE2B4A">
    <w:pPr>
      <w:spacing w:after="160" w:line="259" w:lineRule="auto"/>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4A" w:rsidRDefault="00A660B8">
    <w:pPr>
      <w:spacing w:after="0" w:line="259" w:lineRule="auto"/>
      <w:ind w:right="114" w:firstLine="0"/>
      <w:jc w:val="center"/>
    </w:pPr>
    <w:r>
      <w:fldChar w:fldCharType="begin"/>
    </w:r>
    <w:r>
      <w:instrText xml:space="preserve"> PAGE   \* MERGEFORMAT </w:instrText>
    </w:r>
    <w:r>
      <w:fldChar w:fldCharType="separate"/>
    </w:r>
    <w:r>
      <w:rPr>
        <w:rFonts w:ascii="等线" w:eastAsia="等线" w:hAnsi="等线" w:cs="等线"/>
        <w:sz w:val="18"/>
      </w:rPr>
      <w:t>9</w:t>
    </w:r>
    <w:r>
      <w:rPr>
        <w:rFonts w:ascii="等线" w:eastAsia="等线" w:hAnsi="等线" w:cs="等线"/>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4A" w:rsidRDefault="00A660B8">
    <w:pPr>
      <w:spacing w:after="0" w:line="259" w:lineRule="auto"/>
      <w:ind w:right="114" w:firstLine="0"/>
      <w:jc w:val="center"/>
    </w:pPr>
    <w:r>
      <w:fldChar w:fldCharType="begin"/>
    </w:r>
    <w:r>
      <w:instrText xml:space="preserve"> PAGE   \* MERGEFORMAT </w:instrText>
    </w:r>
    <w:r>
      <w:fldChar w:fldCharType="separate"/>
    </w:r>
    <w:r w:rsidR="00315EE7" w:rsidRPr="00315EE7">
      <w:rPr>
        <w:rFonts w:ascii="等线" w:eastAsia="等线" w:hAnsi="等线" w:cs="等线"/>
        <w:noProof/>
        <w:sz w:val="18"/>
      </w:rPr>
      <w:t>3</w:t>
    </w:r>
    <w:r>
      <w:rPr>
        <w:rFonts w:ascii="等线" w:eastAsia="等线" w:hAnsi="等线" w:cs="等线"/>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4A" w:rsidRDefault="00A660B8">
    <w:pPr>
      <w:spacing w:after="0" w:line="259" w:lineRule="auto"/>
      <w:ind w:right="114" w:firstLine="0"/>
      <w:jc w:val="center"/>
    </w:pPr>
    <w:r>
      <w:fldChar w:fldCharType="begin"/>
    </w:r>
    <w:r>
      <w:instrText xml:space="preserve"> PAGE   \* MERGEFORMAT </w:instrText>
    </w:r>
    <w:r>
      <w:fldChar w:fldCharType="separate"/>
    </w:r>
    <w:r>
      <w:rPr>
        <w:rFonts w:ascii="等线" w:eastAsia="等线" w:hAnsi="等线" w:cs="等线"/>
        <w:sz w:val="18"/>
      </w:rPr>
      <w:t>9</w:t>
    </w:r>
    <w:r>
      <w:rPr>
        <w:rFonts w:ascii="等线" w:eastAsia="等线" w:hAnsi="等线" w:cs="等线"/>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0B8" w:rsidRDefault="00A660B8">
      <w:pPr>
        <w:spacing w:line="240" w:lineRule="auto"/>
      </w:pPr>
      <w:r>
        <w:separator/>
      </w:r>
    </w:p>
  </w:footnote>
  <w:footnote w:type="continuationSeparator" w:id="0">
    <w:p w:rsidR="00A660B8" w:rsidRDefault="00A660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4A" w:rsidRDefault="00DE2B4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01A8"/>
    <w:multiLevelType w:val="multilevel"/>
    <w:tmpl w:val="194701A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defaultTabStop w:val="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N2UzMzU0MWNhMTYwYmNiMTljZmViMmFmM2RmYTkifQ=="/>
  </w:docVars>
  <w:rsids>
    <w:rsidRoot w:val="00F53A69"/>
    <w:rsid w:val="9BCBEACD"/>
    <w:rsid w:val="9F6F48AC"/>
    <w:rsid w:val="A1D73DE6"/>
    <w:rsid w:val="ADDF0154"/>
    <w:rsid w:val="AFFF4561"/>
    <w:rsid w:val="B74FA815"/>
    <w:rsid w:val="B8A75085"/>
    <w:rsid w:val="BBA7EDE6"/>
    <w:rsid w:val="BEDE4594"/>
    <w:rsid w:val="BF7D729D"/>
    <w:rsid w:val="C5D7FCCC"/>
    <w:rsid w:val="C5F355EA"/>
    <w:rsid w:val="C77EAF3A"/>
    <w:rsid w:val="CFDFC47F"/>
    <w:rsid w:val="DB7EBE5C"/>
    <w:rsid w:val="DB7F70E7"/>
    <w:rsid w:val="EBFFD74A"/>
    <w:rsid w:val="F6EEA1B9"/>
    <w:rsid w:val="F7AA898D"/>
    <w:rsid w:val="F7D5D59C"/>
    <w:rsid w:val="F9FF18E5"/>
    <w:rsid w:val="FCFF5774"/>
    <w:rsid w:val="FE78FC61"/>
    <w:rsid w:val="FEF239C4"/>
    <w:rsid w:val="00022E1A"/>
    <w:rsid w:val="00025259"/>
    <w:rsid w:val="00031085"/>
    <w:rsid w:val="00040230"/>
    <w:rsid w:val="00056BC0"/>
    <w:rsid w:val="000628FF"/>
    <w:rsid w:val="0006450D"/>
    <w:rsid w:val="000706D6"/>
    <w:rsid w:val="0007329E"/>
    <w:rsid w:val="0008255F"/>
    <w:rsid w:val="00087728"/>
    <w:rsid w:val="00087BF4"/>
    <w:rsid w:val="00095384"/>
    <w:rsid w:val="000A0A92"/>
    <w:rsid w:val="000A4B06"/>
    <w:rsid w:val="000D266B"/>
    <w:rsid w:val="000D51B8"/>
    <w:rsid w:val="000D71A0"/>
    <w:rsid w:val="000F3E30"/>
    <w:rsid w:val="000F6547"/>
    <w:rsid w:val="00100175"/>
    <w:rsid w:val="00115570"/>
    <w:rsid w:val="00124DC4"/>
    <w:rsid w:val="00125080"/>
    <w:rsid w:val="00134C4E"/>
    <w:rsid w:val="0014046D"/>
    <w:rsid w:val="00144B63"/>
    <w:rsid w:val="00146ED0"/>
    <w:rsid w:val="00152F01"/>
    <w:rsid w:val="00163A37"/>
    <w:rsid w:val="0017119F"/>
    <w:rsid w:val="00176D61"/>
    <w:rsid w:val="00177005"/>
    <w:rsid w:val="0018327A"/>
    <w:rsid w:val="0019062E"/>
    <w:rsid w:val="00193F21"/>
    <w:rsid w:val="001B2C28"/>
    <w:rsid w:val="001B6DC5"/>
    <w:rsid w:val="001C732D"/>
    <w:rsid w:val="001D1088"/>
    <w:rsid w:val="001D7D6D"/>
    <w:rsid w:val="001E64A2"/>
    <w:rsid w:val="00205885"/>
    <w:rsid w:val="002135FD"/>
    <w:rsid w:val="002174FA"/>
    <w:rsid w:val="00242921"/>
    <w:rsid w:val="0024370F"/>
    <w:rsid w:val="0024467E"/>
    <w:rsid w:val="0025057E"/>
    <w:rsid w:val="00250853"/>
    <w:rsid w:val="00250F9D"/>
    <w:rsid w:val="002618E5"/>
    <w:rsid w:val="002621A4"/>
    <w:rsid w:val="00266CAC"/>
    <w:rsid w:val="00272618"/>
    <w:rsid w:val="00276342"/>
    <w:rsid w:val="0028584F"/>
    <w:rsid w:val="002900B8"/>
    <w:rsid w:val="002B3D58"/>
    <w:rsid w:val="002B7DB9"/>
    <w:rsid w:val="002C20E8"/>
    <w:rsid w:val="002C7180"/>
    <w:rsid w:val="002D08E6"/>
    <w:rsid w:val="002E33F1"/>
    <w:rsid w:val="002E585F"/>
    <w:rsid w:val="002F5F39"/>
    <w:rsid w:val="003071EB"/>
    <w:rsid w:val="00307505"/>
    <w:rsid w:val="00312188"/>
    <w:rsid w:val="00313C52"/>
    <w:rsid w:val="00315EE7"/>
    <w:rsid w:val="0033169E"/>
    <w:rsid w:val="0033170C"/>
    <w:rsid w:val="003355E5"/>
    <w:rsid w:val="003362AE"/>
    <w:rsid w:val="00336BA9"/>
    <w:rsid w:val="003452EC"/>
    <w:rsid w:val="00345D21"/>
    <w:rsid w:val="00345E2B"/>
    <w:rsid w:val="00345FD9"/>
    <w:rsid w:val="0034631D"/>
    <w:rsid w:val="00360C4D"/>
    <w:rsid w:val="00361982"/>
    <w:rsid w:val="00364DB1"/>
    <w:rsid w:val="0037183C"/>
    <w:rsid w:val="00376C9C"/>
    <w:rsid w:val="00385FA3"/>
    <w:rsid w:val="003946F8"/>
    <w:rsid w:val="003A46F6"/>
    <w:rsid w:val="003C2BD3"/>
    <w:rsid w:val="003D0703"/>
    <w:rsid w:val="003D2825"/>
    <w:rsid w:val="003E70F3"/>
    <w:rsid w:val="003F715C"/>
    <w:rsid w:val="00401A05"/>
    <w:rsid w:val="0042314D"/>
    <w:rsid w:val="00434E4D"/>
    <w:rsid w:val="00453190"/>
    <w:rsid w:val="0046676A"/>
    <w:rsid w:val="00482C25"/>
    <w:rsid w:val="00486CF4"/>
    <w:rsid w:val="00491420"/>
    <w:rsid w:val="004B2550"/>
    <w:rsid w:val="004B261E"/>
    <w:rsid w:val="004B3B8E"/>
    <w:rsid w:val="004C43D9"/>
    <w:rsid w:val="004C470B"/>
    <w:rsid w:val="004E584D"/>
    <w:rsid w:val="004F6C70"/>
    <w:rsid w:val="005076D8"/>
    <w:rsid w:val="0051027B"/>
    <w:rsid w:val="00512C41"/>
    <w:rsid w:val="00521D68"/>
    <w:rsid w:val="00530A96"/>
    <w:rsid w:val="00553DED"/>
    <w:rsid w:val="00564048"/>
    <w:rsid w:val="00566E39"/>
    <w:rsid w:val="005673C0"/>
    <w:rsid w:val="00581AC3"/>
    <w:rsid w:val="005827C6"/>
    <w:rsid w:val="00587CAD"/>
    <w:rsid w:val="0059299D"/>
    <w:rsid w:val="005A060D"/>
    <w:rsid w:val="005A44D1"/>
    <w:rsid w:val="005A6237"/>
    <w:rsid w:val="005B0966"/>
    <w:rsid w:val="005C40B8"/>
    <w:rsid w:val="005C529A"/>
    <w:rsid w:val="005D6B85"/>
    <w:rsid w:val="005E2D0E"/>
    <w:rsid w:val="005F0FAE"/>
    <w:rsid w:val="005F1DF8"/>
    <w:rsid w:val="00606E98"/>
    <w:rsid w:val="00613083"/>
    <w:rsid w:val="006140C2"/>
    <w:rsid w:val="00622F3C"/>
    <w:rsid w:val="00626DB8"/>
    <w:rsid w:val="006300DF"/>
    <w:rsid w:val="00631C7B"/>
    <w:rsid w:val="0063290F"/>
    <w:rsid w:val="00642F04"/>
    <w:rsid w:val="006453B2"/>
    <w:rsid w:val="00651E13"/>
    <w:rsid w:val="00666AD7"/>
    <w:rsid w:val="00672872"/>
    <w:rsid w:val="00674D0A"/>
    <w:rsid w:val="0067573A"/>
    <w:rsid w:val="00683833"/>
    <w:rsid w:val="00684BB9"/>
    <w:rsid w:val="00684BC7"/>
    <w:rsid w:val="0068568D"/>
    <w:rsid w:val="00693B37"/>
    <w:rsid w:val="00693F76"/>
    <w:rsid w:val="006952C6"/>
    <w:rsid w:val="006A4494"/>
    <w:rsid w:val="006A6BF8"/>
    <w:rsid w:val="006B0296"/>
    <w:rsid w:val="006B04BE"/>
    <w:rsid w:val="006B490D"/>
    <w:rsid w:val="006B5170"/>
    <w:rsid w:val="006C79F1"/>
    <w:rsid w:val="006D5489"/>
    <w:rsid w:val="006E603D"/>
    <w:rsid w:val="006F5CD7"/>
    <w:rsid w:val="00704B25"/>
    <w:rsid w:val="00711BCE"/>
    <w:rsid w:val="0071231E"/>
    <w:rsid w:val="0072686A"/>
    <w:rsid w:val="007345FA"/>
    <w:rsid w:val="00754E5A"/>
    <w:rsid w:val="00773465"/>
    <w:rsid w:val="00785D37"/>
    <w:rsid w:val="00787F5E"/>
    <w:rsid w:val="00795878"/>
    <w:rsid w:val="007A5F2C"/>
    <w:rsid w:val="007C331C"/>
    <w:rsid w:val="007C6E5F"/>
    <w:rsid w:val="007E001E"/>
    <w:rsid w:val="007F5F81"/>
    <w:rsid w:val="00803BD3"/>
    <w:rsid w:val="00806CBC"/>
    <w:rsid w:val="00821AB1"/>
    <w:rsid w:val="00821B20"/>
    <w:rsid w:val="00822D2E"/>
    <w:rsid w:val="008243A4"/>
    <w:rsid w:val="008305EF"/>
    <w:rsid w:val="00836C71"/>
    <w:rsid w:val="00841012"/>
    <w:rsid w:val="00843C79"/>
    <w:rsid w:val="00845BC8"/>
    <w:rsid w:val="00845E04"/>
    <w:rsid w:val="00864AF8"/>
    <w:rsid w:val="008660C6"/>
    <w:rsid w:val="00871A4A"/>
    <w:rsid w:val="00876038"/>
    <w:rsid w:val="00880B7A"/>
    <w:rsid w:val="00887DCB"/>
    <w:rsid w:val="008A0567"/>
    <w:rsid w:val="008A2C8B"/>
    <w:rsid w:val="008A4830"/>
    <w:rsid w:val="008C0447"/>
    <w:rsid w:val="008C0A3F"/>
    <w:rsid w:val="008C3800"/>
    <w:rsid w:val="008D3F7F"/>
    <w:rsid w:val="008E2893"/>
    <w:rsid w:val="008E558D"/>
    <w:rsid w:val="00906047"/>
    <w:rsid w:val="00906B5A"/>
    <w:rsid w:val="00907E3E"/>
    <w:rsid w:val="00910274"/>
    <w:rsid w:val="00912F23"/>
    <w:rsid w:val="009173AE"/>
    <w:rsid w:val="00921D65"/>
    <w:rsid w:val="00922BAE"/>
    <w:rsid w:val="009423C0"/>
    <w:rsid w:val="00962422"/>
    <w:rsid w:val="009711CD"/>
    <w:rsid w:val="009A5AC2"/>
    <w:rsid w:val="009A6816"/>
    <w:rsid w:val="009B0072"/>
    <w:rsid w:val="009B01C7"/>
    <w:rsid w:val="009B33A1"/>
    <w:rsid w:val="009B6151"/>
    <w:rsid w:val="009C4227"/>
    <w:rsid w:val="009C709A"/>
    <w:rsid w:val="009D2C4D"/>
    <w:rsid w:val="009E139C"/>
    <w:rsid w:val="009E34F2"/>
    <w:rsid w:val="009F19E5"/>
    <w:rsid w:val="009F642C"/>
    <w:rsid w:val="009F6A44"/>
    <w:rsid w:val="00A078BD"/>
    <w:rsid w:val="00A17795"/>
    <w:rsid w:val="00A23971"/>
    <w:rsid w:val="00A24E59"/>
    <w:rsid w:val="00A33500"/>
    <w:rsid w:val="00A349ED"/>
    <w:rsid w:val="00A35B04"/>
    <w:rsid w:val="00A35E2B"/>
    <w:rsid w:val="00A40EFA"/>
    <w:rsid w:val="00A45944"/>
    <w:rsid w:val="00A60587"/>
    <w:rsid w:val="00A619BE"/>
    <w:rsid w:val="00A6294F"/>
    <w:rsid w:val="00A65A88"/>
    <w:rsid w:val="00A660B8"/>
    <w:rsid w:val="00A81399"/>
    <w:rsid w:val="00A81B39"/>
    <w:rsid w:val="00A96655"/>
    <w:rsid w:val="00AA07CE"/>
    <w:rsid w:val="00AC544A"/>
    <w:rsid w:val="00AC5AF6"/>
    <w:rsid w:val="00AD695E"/>
    <w:rsid w:val="00AE091F"/>
    <w:rsid w:val="00AE69E0"/>
    <w:rsid w:val="00AF350D"/>
    <w:rsid w:val="00AF473C"/>
    <w:rsid w:val="00AF76F6"/>
    <w:rsid w:val="00B07BD4"/>
    <w:rsid w:val="00B11911"/>
    <w:rsid w:val="00B13966"/>
    <w:rsid w:val="00B20DFF"/>
    <w:rsid w:val="00B348E6"/>
    <w:rsid w:val="00B37BFA"/>
    <w:rsid w:val="00B544FB"/>
    <w:rsid w:val="00B57423"/>
    <w:rsid w:val="00B57E34"/>
    <w:rsid w:val="00B63145"/>
    <w:rsid w:val="00B66FAC"/>
    <w:rsid w:val="00B74035"/>
    <w:rsid w:val="00B93A5C"/>
    <w:rsid w:val="00BA2E55"/>
    <w:rsid w:val="00BA69AC"/>
    <w:rsid w:val="00BB07DC"/>
    <w:rsid w:val="00BC732F"/>
    <w:rsid w:val="00BE3B02"/>
    <w:rsid w:val="00BE3E1E"/>
    <w:rsid w:val="00BE410D"/>
    <w:rsid w:val="00BF03D4"/>
    <w:rsid w:val="00BF4779"/>
    <w:rsid w:val="00C01102"/>
    <w:rsid w:val="00C2685F"/>
    <w:rsid w:val="00C326D9"/>
    <w:rsid w:val="00C33716"/>
    <w:rsid w:val="00C33979"/>
    <w:rsid w:val="00C43929"/>
    <w:rsid w:val="00C452C0"/>
    <w:rsid w:val="00C512B8"/>
    <w:rsid w:val="00C55027"/>
    <w:rsid w:val="00C621F7"/>
    <w:rsid w:val="00C7077F"/>
    <w:rsid w:val="00C74405"/>
    <w:rsid w:val="00C7777C"/>
    <w:rsid w:val="00C966F3"/>
    <w:rsid w:val="00CB5718"/>
    <w:rsid w:val="00CB655F"/>
    <w:rsid w:val="00CC3530"/>
    <w:rsid w:val="00CD09B5"/>
    <w:rsid w:val="00CD1D4F"/>
    <w:rsid w:val="00CE0554"/>
    <w:rsid w:val="00CE226D"/>
    <w:rsid w:val="00CE65FA"/>
    <w:rsid w:val="00CF7378"/>
    <w:rsid w:val="00D0626D"/>
    <w:rsid w:val="00D07E37"/>
    <w:rsid w:val="00D114FE"/>
    <w:rsid w:val="00D12FA7"/>
    <w:rsid w:val="00D62C78"/>
    <w:rsid w:val="00D659EC"/>
    <w:rsid w:val="00D72B9F"/>
    <w:rsid w:val="00D75B0F"/>
    <w:rsid w:val="00D81C83"/>
    <w:rsid w:val="00D85C12"/>
    <w:rsid w:val="00D87210"/>
    <w:rsid w:val="00D95B6F"/>
    <w:rsid w:val="00D97F0C"/>
    <w:rsid w:val="00DA53FC"/>
    <w:rsid w:val="00DA5BCE"/>
    <w:rsid w:val="00DB0928"/>
    <w:rsid w:val="00DB4F4F"/>
    <w:rsid w:val="00DD5006"/>
    <w:rsid w:val="00DD58A7"/>
    <w:rsid w:val="00DE2B4A"/>
    <w:rsid w:val="00DE47E5"/>
    <w:rsid w:val="00DF01B9"/>
    <w:rsid w:val="00DF2CC2"/>
    <w:rsid w:val="00DF36C7"/>
    <w:rsid w:val="00DF460C"/>
    <w:rsid w:val="00E01C54"/>
    <w:rsid w:val="00E03886"/>
    <w:rsid w:val="00E05550"/>
    <w:rsid w:val="00E05C78"/>
    <w:rsid w:val="00E12F34"/>
    <w:rsid w:val="00E15556"/>
    <w:rsid w:val="00E15652"/>
    <w:rsid w:val="00E24D25"/>
    <w:rsid w:val="00E32D0D"/>
    <w:rsid w:val="00E4402C"/>
    <w:rsid w:val="00E50A90"/>
    <w:rsid w:val="00E542C6"/>
    <w:rsid w:val="00E62B5D"/>
    <w:rsid w:val="00E738A2"/>
    <w:rsid w:val="00E7629D"/>
    <w:rsid w:val="00E861AB"/>
    <w:rsid w:val="00E91499"/>
    <w:rsid w:val="00EA3E58"/>
    <w:rsid w:val="00EB45DC"/>
    <w:rsid w:val="00ED4916"/>
    <w:rsid w:val="00ED60ED"/>
    <w:rsid w:val="00ED660F"/>
    <w:rsid w:val="00ED6F62"/>
    <w:rsid w:val="00EE1F9A"/>
    <w:rsid w:val="00EF65BF"/>
    <w:rsid w:val="00F0222A"/>
    <w:rsid w:val="00F202EE"/>
    <w:rsid w:val="00F32168"/>
    <w:rsid w:val="00F443B7"/>
    <w:rsid w:val="00F53A69"/>
    <w:rsid w:val="00F578EF"/>
    <w:rsid w:val="00F60C82"/>
    <w:rsid w:val="00F73099"/>
    <w:rsid w:val="00F763AC"/>
    <w:rsid w:val="00F84A7C"/>
    <w:rsid w:val="00F854C9"/>
    <w:rsid w:val="00F918DF"/>
    <w:rsid w:val="00F93085"/>
    <w:rsid w:val="00F97739"/>
    <w:rsid w:val="00FA0146"/>
    <w:rsid w:val="00FA215D"/>
    <w:rsid w:val="00FA3949"/>
    <w:rsid w:val="00FA5769"/>
    <w:rsid w:val="00FA6C8F"/>
    <w:rsid w:val="00FA732C"/>
    <w:rsid w:val="00FB4F71"/>
    <w:rsid w:val="00FB6B21"/>
    <w:rsid w:val="00FC3D54"/>
    <w:rsid w:val="00FC6270"/>
    <w:rsid w:val="00FD22AD"/>
    <w:rsid w:val="00FD2E54"/>
    <w:rsid w:val="00FE1850"/>
    <w:rsid w:val="00FE4AB2"/>
    <w:rsid w:val="00FF5587"/>
    <w:rsid w:val="00FF5B0A"/>
    <w:rsid w:val="01BC0C1A"/>
    <w:rsid w:val="050C147B"/>
    <w:rsid w:val="055F31D3"/>
    <w:rsid w:val="064E336B"/>
    <w:rsid w:val="06A50BF6"/>
    <w:rsid w:val="0EE0240B"/>
    <w:rsid w:val="12A871B3"/>
    <w:rsid w:val="18C17ACF"/>
    <w:rsid w:val="1B4937CB"/>
    <w:rsid w:val="22B10CA6"/>
    <w:rsid w:val="252F5045"/>
    <w:rsid w:val="26572104"/>
    <w:rsid w:val="267F67D1"/>
    <w:rsid w:val="2A094D30"/>
    <w:rsid w:val="2F7B0792"/>
    <w:rsid w:val="2FF8FB68"/>
    <w:rsid w:val="32294D0B"/>
    <w:rsid w:val="3399322C"/>
    <w:rsid w:val="35BABCFE"/>
    <w:rsid w:val="367A269F"/>
    <w:rsid w:val="37DF52B4"/>
    <w:rsid w:val="39F03E91"/>
    <w:rsid w:val="3A237EE9"/>
    <w:rsid w:val="3BA40F08"/>
    <w:rsid w:val="3BAFF170"/>
    <w:rsid w:val="3BEF604D"/>
    <w:rsid w:val="3FDC1E13"/>
    <w:rsid w:val="3FFFBD1B"/>
    <w:rsid w:val="41BF2602"/>
    <w:rsid w:val="45DA01B3"/>
    <w:rsid w:val="45EBEFEC"/>
    <w:rsid w:val="47DB1E93"/>
    <w:rsid w:val="48A5479A"/>
    <w:rsid w:val="4E861D84"/>
    <w:rsid w:val="54A2071D"/>
    <w:rsid w:val="5B9B6085"/>
    <w:rsid w:val="5CDD759E"/>
    <w:rsid w:val="5E7EF98C"/>
    <w:rsid w:val="5EFBC28B"/>
    <w:rsid w:val="5FBADEC0"/>
    <w:rsid w:val="5FE91A64"/>
    <w:rsid w:val="6057789C"/>
    <w:rsid w:val="65F313B3"/>
    <w:rsid w:val="6BEB1843"/>
    <w:rsid w:val="6EF90376"/>
    <w:rsid w:val="6F5F6DB9"/>
    <w:rsid w:val="6FFD5F81"/>
    <w:rsid w:val="6FFF9AB1"/>
    <w:rsid w:val="7133451D"/>
    <w:rsid w:val="733815EC"/>
    <w:rsid w:val="74694DAC"/>
    <w:rsid w:val="753F08FB"/>
    <w:rsid w:val="759B0190"/>
    <w:rsid w:val="76F90EEF"/>
    <w:rsid w:val="7A8F67EF"/>
    <w:rsid w:val="7D77E235"/>
    <w:rsid w:val="7F9E8DE8"/>
    <w:rsid w:val="7FD2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333" w:lineRule="auto"/>
      <w:ind w:firstLine="631"/>
    </w:pPr>
    <w:rPr>
      <w:rFonts w:ascii="仿宋" w:eastAsia="仿宋" w:hAnsi="仿宋" w:cs="仿宋"/>
      <w:color w:val="000000"/>
      <w:kern w:val="2"/>
      <w:sz w:val="32"/>
      <w:szCs w:val="22"/>
    </w:rPr>
  </w:style>
  <w:style w:type="paragraph" w:styleId="1">
    <w:name w:val="heading 1"/>
    <w:next w:val="a"/>
    <w:link w:val="1Char"/>
    <w:uiPriority w:val="9"/>
    <w:qFormat/>
    <w:pPr>
      <w:keepNext/>
      <w:keepLines/>
      <w:spacing w:line="259" w:lineRule="auto"/>
      <w:ind w:left="804" w:hanging="10"/>
      <w:outlineLvl w:val="0"/>
    </w:pPr>
    <w:rPr>
      <w:rFonts w:ascii="微软雅黑" w:eastAsia="微软雅黑" w:hAnsi="微软雅黑" w:cs="微软雅黑"/>
      <w:color w:val="000000"/>
      <w:kern w:val="2"/>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spacing w:after="0" w:line="240" w:lineRule="auto"/>
      <w:ind w:firstLine="0"/>
    </w:pPr>
    <w:rPr>
      <w:rFonts w:asciiTheme="minorHAnsi" w:eastAsiaTheme="minorEastAsia" w:hAnsiTheme="minorHAnsi" w:cs="Times New Roman"/>
      <w:color w:val="auto"/>
      <w:kern w:val="0"/>
      <w:sz w:val="22"/>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微软雅黑" w:eastAsia="微软雅黑" w:hAnsi="微软雅黑" w:cs="微软雅黑"/>
      <w:color w:val="000000"/>
      <w:sz w:val="44"/>
    </w:rPr>
  </w:style>
  <w:style w:type="table" w:customStyle="1" w:styleId="TableGrid">
    <w:name w:val="TableGrid"/>
    <w:qFormat/>
    <w:tblPr>
      <w:tblCellMar>
        <w:top w:w="0" w:type="dxa"/>
        <w:left w:w="0" w:type="dxa"/>
        <w:bottom w:w="0" w:type="dxa"/>
        <w:right w:w="0" w:type="dxa"/>
      </w:tblCellMar>
    </w:tblPr>
  </w:style>
  <w:style w:type="character" w:customStyle="1" w:styleId="Char0">
    <w:name w:val="页眉 Char"/>
    <w:basedOn w:val="a0"/>
    <w:link w:val="a4"/>
    <w:uiPriority w:val="99"/>
    <w:qFormat/>
    <w:rPr>
      <w:rFonts w:ascii="仿宋" w:eastAsia="仿宋" w:hAnsi="仿宋" w:cs="仿宋"/>
      <w:color w:val="000000"/>
      <w:sz w:val="18"/>
      <w:szCs w:val="18"/>
    </w:rPr>
  </w:style>
  <w:style w:type="table" w:customStyle="1" w:styleId="10">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修订1"/>
    <w:hidden/>
    <w:uiPriority w:val="99"/>
    <w:semiHidden/>
    <w:qFormat/>
    <w:rPr>
      <w:rFonts w:ascii="仿宋" w:eastAsia="仿宋" w:hAnsi="仿宋" w:cs="仿宋"/>
      <w:color w:val="000000"/>
      <w:kern w:val="2"/>
      <w:sz w:val="32"/>
      <w:szCs w:val="22"/>
    </w:rPr>
  </w:style>
  <w:style w:type="paragraph" w:styleId="a6">
    <w:name w:val="List Paragraph"/>
    <w:basedOn w:val="a"/>
    <w:uiPriority w:val="34"/>
    <w:qFormat/>
    <w:pPr>
      <w:ind w:firstLineChars="200" w:firstLine="420"/>
    </w:pPr>
  </w:style>
  <w:style w:type="character" w:customStyle="1" w:styleId="Char">
    <w:name w:val="页脚 Char"/>
    <w:basedOn w:val="a0"/>
    <w:link w:val="a3"/>
    <w:uiPriority w:val="99"/>
    <w:qFormat/>
    <w:rPr>
      <w:rFonts w:cs="Times New Roman"/>
      <w:kern w:val="0"/>
      <w:sz w:val="22"/>
    </w:rPr>
  </w:style>
  <w:style w:type="character" w:customStyle="1" w:styleId="Char1">
    <w:name w:val="段 Char"/>
    <w:link w:val="a7"/>
    <w:qFormat/>
    <w:rPr>
      <w:rFonts w:ascii="宋体"/>
    </w:rPr>
  </w:style>
  <w:style w:type="paragraph" w:customStyle="1" w:styleId="a7">
    <w:name w:val="段"/>
    <w:link w:val="Char1"/>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333" w:lineRule="auto"/>
      <w:ind w:firstLine="631"/>
    </w:pPr>
    <w:rPr>
      <w:rFonts w:ascii="仿宋" w:eastAsia="仿宋" w:hAnsi="仿宋" w:cs="仿宋"/>
      <w:color w:val="000000"/>
      <w:kern w:val="2"/>
      <w:sz w:val="32"/>
      <w:szCs w:val="22"/>
    </w:rPr>
  </w:style>
  <w:style w:type="paragraph" w:styleId="1">
    <w:name w:val="heading 1"/>
    <w:next w:val="a"/>
    <w:link w:val="1Char"/>
    <w:uiPriority w:val="9"/>
    <w:qFormat/>
    <w:pPr>
      <w:keepNext/>
      <w:keepLines/>
      <w:spacing w:line="259" w:lineRule="auto"/>
      <w:ind w:left="804" w:hanging="10"/>
      <w:outlineLvl w:val="0"/>
    </w:pPr>
    <w:rPr>
      <w:rFonts w:ascii="微软雅黑" w:eastAsia="微软雅黑" w:hAnsi="微软雅黑" w:cs="微软雅黑"/>
      <w:color w:val="000000"/>
      <w:kern w:val="2"/>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spacing w:after="0" w:line="240" w:lineRule="auto"/>
      <w:ind w:firstLine="0"/>
    </w:pPr>
    <w:rPr>
      <w:rFonts w:asciiTheme="minorHAnsi" w:eastAsiaTheme="minorEastAsia" w:hAnsiTheme="minorHAnsi" w:cs="Times New Roman"/>
      <w:color w:val="auto"/>
      <w:kern w:val="0"/>
      <w:sz w:val="22"/>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微软雅黑" w:eastAsia="微软雅黑" w:hAnsi="微软雅黑" w:cs="微软雅黑"/>
      <w:color w:val="000000"/>
      <w:sz w:val="44"/>
    </w:rPr>
  </w:style>
  <w:style w:type="table" w:customStyle="1" w:styleId="TableGrid">
    <w:name w:val="TableGrid"/>
    <w:qFormat/>
    <w:tblPr>
      <w:tblCellMar>
        <w:top w:w="0" w:type="dxa"/>
        <w:left w:w="0" w:type="dxa"/>
        <w:bottom w:w="0" w:type="dxa"/>
        <w:right w:w="0" w:type="dxa"/>
      </w:tblCellMar>
    </w:tblPr>
  </w:style>
  <w:style w:type="character" w:customStyle="1" w:styleId="Char0">
    <w:name w:val="页眉 Char"/>
    <w:basedOn w:val="a0"/>
    <w:link w:val="a4"/>
    <w:uiPriority w:val="99"/>
    <w:qFormat/>
    <w:rPr>
      <w:rFonts w:ascii="仿宋" w:eastAsia="仿宋" w:hAnsi="仿宋" w:cs="仿宋"/>
      <w:color w:val="000000"/>
      <w:sz w:val="18"/>
      <w:szCs w:val="18"/>
    </w:rPr>
  </w:style>
  <w:style w:type="table" w:customStyle="1" w:styleId="10">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修订1"/>
    <w:hidden/>
    <w:uiPriority w:val="99"/>
    <w:semiHidden/>
    <w:qFormat/>
    <w:rPr>
      <w:rFonts w:ascii="仿宋" w:eastAsia="仿宋" w:hAnsi="仿宋" w:cs="仿宋"/>
      <w:color w:val="000000"/>
      <w:kern w:val="2"/>
      <w:sz w:val="32"/>
      <w:szCs w:val="22"/>
    </w:rPr>
  </w:style>
  <w:style w:type="paragraph" w:styleId="a6">
    <w:name w:val="List Paragraph"/>
    <w:basedOn w:val="a"/>
    <w:uiPriority w:val="34"/>
    <w:qFormat/>
    <w:pPr>
      <w:ind w:firstLineChars="200" w:firstLine="420"/>
    </w:pPr>
  </w:style>
  <w:style w:type="character" w:customStyle="1" w:styleId="Char">
    <w:name w:val="页脚 Char"/>
    <w:basedOn w:val="a0"/>
    <w:link w:val="a3"/>
    <w:uiPriority w:val="99"/>
    <w:qFormat/>
    <w:rPr>
      <w:rFonts w:cs="Times New Roman"/>
      <w:kern w:val="0"/>
      <w:sz w:val="22"/>
    </w:rPr>
  </w:style>
  <w:style w:type="character" w:customStyle="1" w:styleId="Char1">
    <w:name w:val="段 Char"/>
    <w:link w:val="a7"/>
    <w:qFormat/>
    <w:rPr>
      <w:rFonts w:ascii="宋体"/>
    </w:rPr>
  </w:style>
  <w:style w:type="paragraph" w:customStyle="1" w:styleId="a7">
    <w:name w:val="段"/>
    <w:link w:val="Char1"/>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ge_66@163.com</dc:creator>
  <cp:lastModifiedBy>刘静</cp:lastModifiedBy>
  <cp:revision>2</cp:revision>
  <cp:lastPrinted>2022-05-28T16:40:00Z</cp:lastPrinted>
  <dcterms:created xsi:type="dcterms:W3CDTF">2022-06-17T08:19:00Z</dcterms:created>
  <dcterms:modified xsi:type="dcterms:W3CDTF">2022-06-17T08:19:00Z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A3FFF813BEAD43BBB722992F9C81FA69</vt:lpwstr>
  </property>
</Properties>
</file>