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r>
        <w:rPr>
          <w:rFonts w:hint="eastAsia" w:ascii="黑体" w:hAnsi="黑体" w:eastAsia="黑体" w:cs="仿宋_GB2312"/>
          <w:sz w:val="32"/>
          <w:szCs w:val="32"/>
        </w:rPr>
        <w:t>附件6</w:t>
      </w:r>
    </w:p>
    <w:p>
      <w:pPr>
        <w:spacing w:line="560" w:lineRule="exact"/>
        <w:jc w:val="center"/>
        <w:rPr>
          <w:rFonts w:hint="eastAsia" w:ascii="方正小标宋简体" w:hAnsi="黑体" w:eastAsia="方正小标宋简体"/>
          <w:spacing w:val="-20"/>
          <w:sz w:val="44"/>
          <w:szCs w:val="44"/>
        </w:rPr>
      </w:pPr>
      <w:bookmarkStart w:id="0" w:name="_GoBack"/>
      <w:r>
        <w:rPr>
          <w:rFonts w:hint="eastAsia" w:ascii="方正小标宋简体" w:hAnsi="黑体" w:eastAsia="方正小标宋简体"/>
          <w:spacing w:val="-20"/>
          <w:sz w:val="44"/>
          <w:szCs w:val="44"/>
        </w:rPr>
        <w:t>职业技能提升行动线上培训平台要求</w:t>
      </w:r>
    </w:p>
    <w:bookmarkEnd w:id="0"/>
    <w:tbl>
      <w:tblPr>
        <w:tblStyle w:val="4"/>
        <w:tblW w:w="9657" w:type="dxa"/>
        <w:tblInd w:w="-45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9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657" w:type="dxa"/>
            <w:gridSpan w:val="2"/>
            <w:vAlign w:val="top"/>
          </w:tcPr>
          <w:p>
            <w:pPr>
              <w:pStyle w:val="2"/>
              <w:spacing w:before="0" w:after="0" w:line="420" w:lineRule="exact"/>
              <w:jc w:val="center"/>
              <w:rPr>
                <w:sz w:val="28"/>
                <w:szCs w:val="22"/>
              </w:rPr>
            </w:pPr>
            <w:r>
              <w:rPr>
                <w:rFonts w:hint="eastAsia"/>
                <w:sz w:val="28"/>
                <w:szCs w:val="22"/>
              </w:rPr>
              <w:t>共性要求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657" w:type="dxa"/>
            <w:gridSpan w:val="2"/>
            <w:vAlign w:val="top"/>
          </w:tcPr>
          <w:p>
            <w:pPr>
              <w:spacing w:line="420" w:lineRule="exact"/>
              <w:rPr>
                <w:rFonts w:ascii="仿宋" w:hAnsi="仿宋" w:eastAsia="仿宋"/>
                <w:sz w:val="24"/>
              </w:rPr>
            </w:pPr>
            <w:r>
              <w:rPr>
                <w:rFonts w:hint="eastAsia" w:ascii="仿宋" w:hAnsi="仿宋" w:eastAsia="仿宋"/>
                <w:sz w:val="24"/>
              </w:rPr>
              <w:t>1.培训平台建设和运营主体需为在中国境内依法登记，社会信用良好，无违法、违纪、失信等不良行为记录，具有规范的财务制度和管理制度的法人主体，且申报的培训平台为其具有自主知识产权的平台。</w:t>
            </w:r>
          </w:p>
          <w:p>
            <w:pPr>
              <w:spacing w:line="420" w:lineRule="exact"/>
              <w:rPr>
                <w:rFonts w:ascii="仿宋" w:hAnsi="仿宋" w:eastAsia="仿宋"/>
                <w:sz w:val="24"/>
              </w:rPr>
            </w:pPr>
            <w:r>
              <w:rPr>
                <w:rFonts w:hint="eastAsia" w:ascii="仿宋" w:hAnsi="仿宋" w:eastAsia="仿宋"/>
                <w:sz w:val="24"/>
              </w:rPr>
              <w:t>2.申报的培训平台应具备直播录播功能或具备视频类课程在线点播学习功能，其中点播平台应配有相应的课程资源。</w:t>
            </w:r>
          </w:p>
          <w:p>
            <w:pPr>
              <w:spacing w:line="420" w:lineRule="exact"/>
              <w:rPr>
                <w:rFonts w:ascii="仿宋" w:hAnsi="仿宋" w:eastAsia="仿宋"/>
                <w:sz w:val="24"/>
              </w:rPr>
            </w:pPr>
            <w:r>
              <w:rPr>
                <w:rFonts w:hint="eastAsia" w:ascii="仿宋" w:hAnsi="仿宋" w:eastAsia="仿宋"/>
                <w:sz w:val="24"/>
              </w:rPr>
              <w:t>3.培训平台需正式上线运营满一年（含）以上（截至2020年4月30日）。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657" w:type="dxa"/>
            <w:gridSpan w:val="2"/>
            <w:vAlign w:val="top"/>
          </w:tcPr>
          <w:p>
            <w:pPr>
              <w:pStyle w:val="2"/>
              <w:spacing w:before="0" w:after="0" w:line="420" w:lineRule="exact"/>
              <w:jc w:val="center"/>
              <w:rPr>
                <w:sz w:val="28"/>
                <w:szCs w:val="22"/>
              </w:rPr>
            </w:pPr>
            <w:r>
              <w:rPr>
                <w:rFonts w:hint="eastAsia"/>
                <w:sz w:val="28"/>
                <w:szCs w:val="22"/>
              </w:rPr>
              <w:t>分项要求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657" w:type="dxa"/>
            <w:gridSpan w:val="2"/>
            <w:vAlign w:val="top"/>
          </w:tcPr>
          <w:p>
            <w:pPr>
              <w:spacing w:line="420" w:lineRule="exact"/>
              <w:jc w:val="center"/>
              <w:rPr>
                <w:rFonts w:ascii="仿宋" w:hAnsi="仿宋" w:eastAsia="仿宋"/>
                <w:sz w:val="32"/>
                <w:szCs w:val="32"/>
              </w:rPr>
            </w:pPr>
            <w:r>
              <w:rPr>
                <w:rFonts w:hint="eastAsia" w:ascii="仿宋" w:hAnsi="仿宋" w:eastAsia="仿宋"/>
                <w:b/>
                <w:bCs/>
                <w:sz w:val="28"/>
                <w:szCs w:val="28"/>
              </w:rPr>
              <w:t>直播平台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平台构架</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C/S模式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并发性</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支持大用户量访问（支持</w:t>
            </w:r>
            <w:r>
              <w:rPr>
                <w:rFonts w:ascii="仿宋" w:hAnsi="仿宋" w:eastAsia="仿宋"/>
                <w:sz w:val="24"/>
              </w:rPr>
              <w:t>10</w:t>
            </w:r>
            <w:r>
              <w:rPr>
                <w:rFonts w:hint="eastAsia" w:ascii="仿宋" w:hAnsi="仿宋" w:eastAsia="仿宋"/>
                <w:sz w:val="24"/>
              </w:rPr>
              <w:t>万用户以上同时在线）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终端支持</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客户端支持PC端和移动端使用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平台兼容性</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支持大多数主流浏览器，对浏览器版本兼容性好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视频要求</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画面清晰语音流畅（至少480P或640*480分辨率）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Merge w:val="restart"/>
            <w:vAlign w:val="center"/>
          </w:tcPr>
          <w:p>
            <w:pPr>
              <w:spacing w:line="420" w:lineRule="exact"/>
              <w:jc w:val="center"/>
              <w:rPr>
                <w:rFonts w:ascii="仿宋" w:hAnsi="仿宋" w:eastAsia="仿宋"/>
                <w:sz w:val="24"/>
              </w:rPr>
            </w:pPr>
            <w:r>
              <w:rPr>
                <w:rFonts w:hint="eastAsia" w:ascii="仿宋" w:hAnsi="仿宋" w:eastAsia="仿宋"/>
                <w:sz w:val="24"/>
              </w:rPr>
              <w:t>接口要求</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自动建群：在管理平台创建班级并导入激活学员后在直播平台创建群组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Merge w:val="continue"/>
            <w:vAlign w:val="center"/>
          </w:tcPr>
          <w:p>
            <w:pPr>
              <w:spacing w:line="420" w:lineRule="exact"/>
              <w:jc w:val="center"/>
              <w:rPr>
                <w:rFonts w:ascii="仿宋" w:hAnsi="仿宋" w:eastAsia="仿宋"/>
                <w:sz w:val="24"/>
              </w:rPr>
            </w:pP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日程同步：在管理平台设定的培训日程自动同步直播群的日程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Merge w:val="continue"/>
            <w:vAlign w:val="center"/>
          </w:tcPr>
          <w:p>
            <w:pPr>
              <w:spacing w:line="420" w:lineRule="exact"/>
              <w:rPr>
                <w:rFonts w:ascii="仿宋" w:hAnsi="仿宋" w:eastAsia="仿宋"/>
                <w:sz w:val="24"/>
              </w:rPr>
            </w:pP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数据同步：直播观看数据自动同步到管理平台，由管理平台进行触发，可以多次同步，并将直播视频URL地址同步到管理平台，可点击查看该视频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Merge w:val="continue"/>
            <w:vAlign w:val="center"/>
          </w:tcPr>
          <w:p>
            <w:pPr>
              <w:spacing w:line="420" w:lineRule="exact"/>
              <w:rPr>
                <w:rFonts w:ascii="仿宋" w:hAnsi="仿宋" w:eastAsia="仿宋"/>
                <w:sz w:val="24"/>
              </w:rPr>
            </w:pP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数据存储：直播视频存储空间不限量，视频保存12个月（含）以上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657" w:type="dxa"/>
            <w:gridSpan w:val="2"/>
            <w:vAlign w:val="center"/>
          </w:tcPr>
          <w:p>
            <w:pPr>
              <w:spacing w:line="420" w:lineRule="exact"/>
              <w:jc w:val="center"/>
              <w:rPr>
                <w:rFonts w:ascii="仿宋" w:hAnsi="仿宋" w:eastAsia="仿宋"/>
                <w:b/>
                <w:bCs/>
                <w:sz w:val="28"/>
                <w:szCs w:val="28"/>
              </w:rPr>
            </w:pPr>
            <w:r>
              <w:rPr>
                <w:rFonts w:hint="eastAsia" w:ascii="仿宋" w:hAnsi="仿宋" w:eastAsia="仿宋"/>
                <w:b/>
                <w:bCs/>
                <w:sz w:val="28"/>
                <w:szCs w:val="28"/>
              </w:rPr>
              <w:t>点播平台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平台构架</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B/S模式（云平台构架）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平台</w:t>
            </w:r>
            <w:r>
              <w:rPr>
                <w:rFonts w:ascii="仿宋" w:hAnsi="仿宋" w:eastAsia="仿宋"/>
                <w:sz w:val="24"/>
              </w:rPr>
              <w:t>用户</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累计注册</w:t>
            </w:r>
            <w:r>
              <w:rPr>
                <w:rFonts w:ascii="仿宋" w:hAnsi="仿宋" w:eastAsia="仿宋"/>
                <w:sz w:val="24"/>
              </w:rPr>
              <w:t>用户数不</w:t>
            </w:r>
            <w:r>
              <w:rPr>
                <w:rFonts w:hint="eastAsia" w:ascii="仿宋" w:hAnsi="仿宋" w:eastAsia="仿宋"/>
                <w:sz w:val="24"/>
              </w:rPr>
              <w:t>少于100万人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并发性</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支持大用户量访问（支持10万以上用户同时在线）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top"/>
          </w:tcPr>
          <w:p>
            <w:pPr>
              <w:spacing w:line="420" w:lineRule="exact"/>
              <w:jc w:val="center"/>
              <w:rPr>
                <w:rFonts w:ascii="仿宋" w:hAnsi="仿宋" w:eastAsia="仿宋"/>
                <w:sz w:val="24"/>
              </w:rPr>
            </w:pPr>
            <w:r>
              <w:rPr>
                <w:rFonts w:hint="eastAsia" w:ascii="仿宋" w:hAnsi="仿宋" w:eastAsia="仿宋"/>
                <w:sz w:val="24"/>
              </w:rPr>
              <w:t>平台兼容性</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支持大多数主流浏览器，对浏览器版本兼容性好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Merge w:val="restart"/>
            <w:vAlign w:val="center"/>
          </w:tcPr>
          <w:p>
            <w:pPr>
              <w:spacing w:line="420" w:lineRule="exact"/>
              <w:jc w:val="center"/>
              <w:rPr>
                <w:rFonts w:ascii="仿宋" w:hAnsi="仿宋" w:eastAsia="仿宋"/>
                <w:sz w:val="24"/>
              </w:rPr>
            </w:pPr>
            <w:r>
              <w:rPr>
                <w:rFonts w:hint="eastAsia" w:ascii="仿宋" w:hAnsi="仿宋" w:eastAsia="仿宋"/>
                <w:sz w:val="24"/>
              </w:rPr>
              <w:t>开发要求</w:t>
            </w: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门户要求：开辟“职业技能提升行动北京专区”，直接链接到管理平台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Merge w:val="continue"/>
            <w:vAlign w:val="top"/>
          </w:tcPr>
          <w:p>
            <w:pPr>
              <w:spacing w:line="420" w:lineRule="exact"/>
              <w:jc w:val="center"/>
              <w:rPr>
                <w:rFonts w:ascii="仿宋" w:hAnsi="仿宋" w:eastAsia="仿宋"/>
                <w:sz w:val="24"/>
              </w:rPr>
            </w:pPr>
          </w:p>
        </w:tc>
        <w:tc>
          <w:tcPr>
            <w:tcW w:w="7953" w:type="dxa"/>
            <w:vAlign w:val="top"/>
          </w:tcPr>
          <w:p>
            <w:pPr>
              <w:spacing w:line="420" w:lineRule="exact"/>
              <w:jc w:val="left"/>
              <w:rPr>
                <w:rFonts w:ascii="仿宋" w:hAnsi="仿宋" w:eastAsia="仿宋"/>
                <w:sz w:val="24"/>
              </w:rPr>
            </w:pPr>
            <w:r>
              <w:rPr>
                <w:rFonts w:hint="eastAsia" w:ascii="仿宋" w:hAnsi="仿宋" w:eastAsia="仿宋"/>
                <w:sz w:val="24"/>
              </w:rPr>
              <w:t>接口要求：按管理平台提供的API标准接口做好课程资源接口开发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9657" w:type="dxa"/>
            <w:gridSpan w:val="2"/>
            <w:vAlign w:val="top"/>
          </w:tcPr>
          <w:p>
            <w:pPr>
              <w:spacing w:line="560" w:lineRule="exact"/>
              <w:jc w:val="center"/>
              <w:rPr>
                <w:rFonts w:ascii="仿宋" w:hAnsi="仿宋" w:eastAsia="仿宋"/>
                <w:b/>
                <w:bCs/>
                <w:sz w:val="28"/>
                <w:szCs w:val="28"/>
              </w:rPr>
            </w:pPr>
            <w:r>
              <w:rPr>
                <w:rFonts w:hint="eastAsia" w:ascii="仿宋" w:hAnsi="仿宋" w:eastAsia="仿宋"/>
                <w:b/>
                <w:bCs/>
                <w:sz w:val="28"/>
                <w:szCs w:val="28"/>
              </w:rPr>
              <w:t>课程资源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center"/>
          </w:tcPr>
          <w:p>
            <w:pPr>
              <w:spacing w:line="560" w:lineRule="exact"/>
              <w:jc w:val="center"/>
              <w:rPr>
                <w:rFonts w:ascii="仿宋" w:hAnsi="仿宋" w:eastAsia="仿宋"/>
                <w:sz w:val="24"/>
              </w:rPr>
            </w:pPr>
            <w:r>
              <w:rPr>
                <w:rFonts w:hint="eastAsia" w:ascii="仿宋" w:hAnsi="仿宋" w:eastAsia="仿宋"/>
                <w:sz w:val="24"/>
              </w:rPr>
              <w:t>内容要求</w:t>
            </w:r>
          </w:p>
        </w:tc>
        <w:tc>
          <w:tcPr>
            <w:tcW w:w="7953" w:type="dxa"/>
            <w:vAlign w:val="top"/>
          </w:tcPr>
          <w:p>
            <w:pPr>
              <w:spacing w:line="400" w:lineRule="exact"/>
              <w:jc w:val="left"/>
              <w:rPr>
                <w:rFonts w:ascii="仿宋" w:hAnsi="仿宋" w:eastAsia="仿宋"/>
                <w:sz w:val="24"/>
              </w:rPr>
            </w:pPr>
            <w:r>
              <w:rPr>
                <w:rFonts w:hint="eastAsia" w:ascii="仿宋" w:hAnsi="仿宋" w:eastAsia="仿宋"/>
                <w:sz w:val="24"/>
              </w:rPr>
              <w:t>课程内容积极、健康，符合职业技能培训教学规律，可实现职业技能、通用职业素质和求职能力的培养提升，可包括岗位技能提升、技能竞赛培训、健康防疫、通用职业素质、职业指导、工伤预防、安全生产等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center"/>
          </w:tcPr>
          <w:p>
            <w:pPr>
              <w:spacing w:line="560" w:lineRule="exact"/>
              <w:jc w:val="center"/>
              <w:rPr>
                <w:rFonts w:ascii="仿宋" w:hAnsi="仿宋" w:eastAsia="仿宋"/>
                <w:sz w:val="24"/>
              </w:rPr>
            </w:pPr>
            <w:r>
              <w:rPr>
                <w:rFonts w:hint="eastAsia" w:ascii="仿宋" w:hAnsi="仿宋" w:eastAsia="仿宋"/>
                <w:sz w:val="24"/>
              </w:rPr>
              <w:t>声音要求</w:t>
            </w:r>
          </w:p>
        </w:tc>
        <w:tc>
          <w:tcPr>
            <w:tcW w:w="7953" w:type="dxa"/>
            <w:vAlign w:val="top"/>
          </w:tcPr>
          <w:p>
            <w:pPr>
              <w:spacing w:line="400" w:lineRule="exact"/>
              <w:jc w:val="left"/>
              <w:rPr>
                <w:rFonts w:ascii="仿宋" w:hAnsi="仿宋" w:eastAsia="仿宋"/>
                <w:sz w:val="24"/>
              </w:rPr>
            </w:pPr>
            <w:r>
              <w:rPr>
                <w:rFonts w:hint="eastAsia" w:ascii="仿宋" w:hAnsi="仿宋" w:eastAsia="仿宋"/>
                <w:sz w:val="24"/>
              </w:rPr>
              <w:t>1.声音和画面应同步，无交流声或其他杂音等缺陷</w:t>
            </w:r>
          </w:p>
          <w:p>
            <w:pPr>
              <w:spacing w:line="400" w:lineRule="exact"/>
              <w:jc w:val="left"/>
              <w:rPr>
                <w:rFonts w:ascii="仿宋" w:hAnsi="仿宋" w:eastAsia="仿宋"/>
                <w:sz w:val="24"/>
              </w:rPr>
            </w:pPr>
            <w:r>
              <w:rPr>
                <w:rFonts w:hint="eastAsia" w:ascii="仿宋" w:hAnsi="仿宋" w:eastAsia="仿宋"/>
                <w:sz w:val="24"/>
              </w:rPr>
              <w:t>2.伴音清晰、饱满、圆润，无失真、噪声杂音干扰、音量忽大忽小等现象</w:t>
            </w:r>
          </w:p>
          <w:p>
            <w:pPr>
              <w:spacing w:line="400" w:lineRule="exact"/>
              <w:jc w:val="left"/>
              <w:rPr>
                <w:rFonts w:ascii="仿宋" w:hAnsi="仿宋" w:eastAsia="仿宋"/>
                <w:sz w:val="24"/>
              </w:rPr>
            </w:pPr>
            <w:r>
              <w:rPr>
                <w:rFonts w:hint="eastAsia" w:ascii="仿宋" w:hAnsi="仿宋" w:eastAsia="仿宋"/>
                <w:sz w:val="24"/>
              </w:rPr>
              <w:t>3.解说声与现场声无明显比例失调</w:t>
            </w:r>
          </w:p>
          <w:p>
            <w:pPr>
              <w:spacing w:line="400" w:lineRule="exact"/>
              <w:jc w:val="left"/>
              <w:rPr>
                <w:rFonts w:ascii="仿宋" w:hAnsi="仿宋" w:eastAsia="仿宋"/>
                <w:sz w:val="24"/>
              </w:rPr>
            </w:pPr>
            <w:r>
              <w:rPr>
                <w:rFonts w:hint="eastAsia" w:ascii="仿宋" w:hAnsi="仿宋" w:eastAsia="仿宋"/>
                <w:sz w:val="24"/>
              </w:rPr>
              <w:t>4.解说声与背景音乐无明显比例失调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center"/>
          </w:tcPr>
          <w:p>
            <w:pPr>
              <w:spacing w:line="560" w:lineRule="exact"/>
              <w:jc w:val="center"/>
              <w:rPr>
                <w:rFonts w:ascii="仿宋" w:hAnsi="仿宋" w:eastAsia="仿宋"/>
                <w:sz w:val="24"/>
              </w:rPr>
            </w:pPr>
            <w:r>
              <w:rPr>
                <w:rFonts w:hint="eastAsia" w:ascii="仿宋" w:hAnsi="仿宋" w:eastAsia="仿宋"/>
                <w:sz w:val="24"/>
              </w:rPr>
              <w:t>画面要求</w:t>
            </w:r>
          </w:p>
        </w:tc>
        <w:tc>
          <w:tcPr>
            <w:tcW w:w="7953" w:type="dxa"/>
            <w:vAlign w:val="top"/>
          </w:tcPr>
          <w:p>
            <w:pPr>
              <w:spacing w:line="400" w:lineRule="exact"/>
              <w:jc w:val="left"/>
              <w:rPr>
                <w:rFonts w:ascii="仿宋" w:hAnsi="仿宋" w:eastAsia="仿宋"/>
                <w:sz w:val="24"/>
              </w:rPr>
            </w:pPr>
            <w:r>
              <w:rPr>
                <w:rFonts w:hint="eastAsia" w:ascii="仿宋" w:hAnsi="仿宋" w:eastAsia="仿宋"/>
                <w:sz w:val="24"/>
              </w:rPr>
              <w:t>1.全片图像同步性能稳定，无失步现象，图像无抖动跳跃，色彩无突变，编辑点处图像稳定</w:t>
            </w:r>
          </w:p>
          <w:p>
            <w:pPr>
              <w:spacing w:line="400" w:lineRule="exact"/>
              <w:jc w:val="left"/>
              <w:rPr>
                <w:rFonts w:ascii="仿宋" w:hAnsi="仿宋" w:eastAsia="仿宋"/>
                <w:sz w:val="24"/>
              </w:rPr>
            </w:pPr>
            <w:r>
              <w:rPr>
                <w:rFonts w:hint="eastAsia" w:ascii="仿宋" w:hAnsi="仿宋" w:eastAsia="仿宋"/>
                <w:sz w:val="24"/>
              </w:rPr>
              <w:t>2.白平衡正确，无明显偏色，多机拍摄的镜头衔接处无明显色差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704" w:type="dxa"/>
            <w:vAlign w:val="center"/>
          </w:tcPr>
          <w:p>
            <w:pPr>
              <w:spacing w:line="560" w:lineRule="exact"/>
              <w:jc w:val="center"/>
              <w:rPr>
                <w:rFonts w:ascii="仿宋" w:hAnsi="仿宋" w:eastAsia="仿宋"/>
                <w:sz w:val="24"/>
              </w:rPr>
            </w:pPr>
            <w:r>
              <w:rPr>
                <w:rFonts w:hint="eastAsia" w:ascii="仿宋" w:hAnsi="仿宋" w:eastAsia="仿宋"/>
                <w:sz w:val="24"/>
              </w:rPr>
              <w:t>格式要求</w:t>
            </w:r>
          </w:p>
        </w:tc>
        <w:tc>
          <w:tcPr>
            <w:tcW w:w="7953" w:type="dxa"/>
            <w:vAlign w:val="top"/>
          </w:tcPr>
          <w:p>
            <w:pPr>
              <w:spacing w:line="400" w:lineRule="exact"/>
              <w:jc w:val="left"/>
              <w:rPr>
                <w:rFonts w:ascii="仿宋" w:hAnsi="仿宋" w:eastAsia="仿宋"/>
                <w:sz w:val="24"/>
              </w:rPr>
            </w:pPr>
            <w:r>
              <w:rPr>
                <w:rFonts w:hint="eastAsia" w:ascii="仿宋" w:hAnsi="仿宋" w:eastAsia="仿宋"/>
                <w:sz w:val="24"/>
              </w:rPr>
              <w:t>1.视频格式及技术参数</w:t>
            </w:r>
          </w:p>
          <w:p>
            <w:pPr>
              <w:spacing w:line="400" w:lineRule="exact"/>
              <w:jc w:val="left"/>
              <w:rPr>
                <w:rFonts w:ascii="仿宋" w:hAnsi="仿宋" w:eastAsia="仿宋"/>
                <w:sz w:val="24"/>
              </w:rPr>
            </w:pPr>
            <w:r>
              <w:rPr>
                <w:rFonts w:hint="eastAsia" w:ascii="仿宋" w:hAnsi="仿宋" w:eastAsia="仿宋"/>
                <w:sz w:val="24"/>
              </w:rPr>
              <w:t>（1）视频压缩采用H.264 格式编码</w:t>
            </w:r>
          </w:p>
          <w:p>
            <w:pPr>
              <w:spacing w:line="400" w:lineRule="exact"/>
              <w:jc w:val="left"/>
              <w:rPr>
                <w:rFonts w:ascii="仿宋" w:hAnsi="仿宋" w:eastAsia="仿宋"/>
                <w:sz w:val="24"/>
              </w:rPr>
            </w:pPr>
            <w:r>
              <w:rPr>
                <w:rFonts w:hint="eastAsia" w:ascii="仿宋" w:hAnsi="仿宋" w:eastAsia="仿宋"/>
                <w:sz w:val="24"/>
              </w:rPr>
              <w:t>（2）视频码流率：动态码流的最高码率不高于2000Kbps，最低码率不得低于1024Kbps</w:t>
            </w:r>
          </w:p>
          <w:p>
            <w:pPr>
              <w:spacing w:line="400" w:lineRule="exact"/>
              <w:jc w:val="left"/>
              <w:rPr>
                <w:rFonts w:ascii="仿宋" w:hAnsi="仿宋" w:eastAsia="仿宋"/>
                <w:sz w:val="24"/>
              </w:rPr>
            </w:pPr>
            <w:r>
              <w:rPr>
                <w:rFonts w:hint="eastAsia" w:ascii="仿宋" w:hAnsi="仿宋" w:eastAsia="仿宋"/>
                <w:sz w:val="24"/>
              </w:rPr>
              <w:t>（3）视频分辨率：应尽量采用高清视频设置（如分辨率 1920×1080）进行输出。在同一课程中，各节视频的视频分辨率应统一，不得标清和高清混用</w:t>
            </w:r>
          </w:p>
          <w:p>
            <w:pPr>
              <w:spacing w:line="400" w:lineRule="exact"/>
              <w:jc w:val="left"/>
              <w:rPr>
                <w:rFonts w:ascii="仿宋" w:hAnsi="仿宋" w:eastAsia="仿宋"/>
                <w:sz w:val="24"/>
              </w:rPr>
            </w:pPr>
            <w:r>
              <w:rPr>
                <w:rFonts w:hint="eastAsia" w:ascii="仿宋" w:hAnsi="仿宋" w:eastAsia="仿宋"/>
                <w:sz w:val="24"/>
              </w:rPr>
              <w:t>（4）视频画幅宽高比：在同一课程中，各讲次应统一画幅的宽高比，不得混用</w:t>
            </w:r>
          </w:p>
          <w:p>
            <w:pPr>
              <w:spacing w:line="400" w:lineRule="exact"/>
              <w:jc w:val="left"/>
              <w:rPr>
                <w:rFonts w:ascii="仿宋" w:hAnsi="仿宋" w:eastAsia="仿宋"/>
                <w:sz w:val="24"/>
              </w:rPr>
            </w:pPr>
            <w:r>
              <w:rPr>
                <w:rFonts w:hint="eastAsia" w:ascii="仿宋" w:hAnsi="仿宋" w:eastAsia="仿宋"/>
                <w:sz w:val="24"/>
              </w:rPr>
              <w:t>（5）视频帧率为 25 帧/秒</w:t>
            </w:r>
          </w:p>
          <w:p>
            <w:pPr>
              <w:spacing w:line="400" w:lineRule="exact"/>
              <w:jc w:val="left"/>
              <w:rPr>
                <w:rFonts w:ascii="仿宋" w:hAnsi="仿宋" w:eastAsia="仿宋"/>
                <w:sz w:val="24"/>
              </w:rPr>
            </w:pPr>
            <w:r>
              <w:rPr>
                <w:rFonts w:hint="eastAsia" w:ascii="仿宋" w:hAnsi="仿宋" w:eastAsia="仿宋"/>
                <w:sz w:val="24"/>
              </w:rPr>
              <w:t>（6）扫描方式采用逐行扫描</w:t>
            </w:r>
          </w:p>
          <w:p>
            <w:pPr>
              <w:spacing w:line="400" w:lineRule="exact"/>
              <w:jc w:val="left"/>
              <w:rPr>
                <w:rFonts w:ascii="仿宋" w:hAnsi="仿宋" w:eastAsia="仿宋"/>
                <w:sz w:val="24"/>
              </w:rPr>
            </w:pPr>
            <w:r>
              <w:rPr>
                <w:rFonts w:hint="eastAsia" w:ascii="仿宋" w:hAnsi="仿宋" w:eastAsia="仿宋"/>
                <w:sz w:val="24"/>
              </w:rPr>
              <w:t>2.音频格式及技术参数</w:t>
            </w:r>
          </w:p>
          <w:p>
            <w:pPr>
              <w:spacing w:line="400" w:lineRule="exact"/>
              <w:jc w:val="left"/>
              <w:rPr>
                <w:rFonts w:ascii="仿宋" w:hAnsi="仿宋" w:eastAsia="仿宋"/>
                <w:sz w:val="24"/>
              </w:rPr>
            </w:pPr>
            <w:r>
              <w:rPr>
                <w:rFonts w:hint="eastAsia" w:ascii="仿宋" w:hAnsi="仿宋" w:eastAsia="仿宋"/>
                <w:sz w:val="24"/>
              </w:rPr>
              <w:t>（1）音频压缩采用ACC 格式编码</w:t>
            </w:r>
          </w:p>
          <w:p>
            <w:pPr>
              <w:spacing w:line="400" w:lineRule="exact"/>
              <w:jc w:val="left"/>
              <w:rPr>
                <w:rFonts w:ascii="仿宋" w:hAnsi="仿宋" w:eastAsia="仿宋"/>
                <w:sz w:val="24"/>
              </w:rPr>
            </w:pPr>
            <w:r>
              <w:rPr>
                <w:rFonts w:hint="eastAsia" w:ascii="仿宋" w:hAnsi="仿宋" w:eastAsia="仿宋"/>
                <w:sz w:val="24"/>
              </w:rPr>
              <w:t>（2）音频采样率 48KHz</w:t>
            </w:r>
          </w:p>
          <w:p>
            <w:pPr>
              <w:spacing w:line="400" w:lineRule="exact"/>
              <w:jc w:val="left"/>
              <w:rPr>
                <w:rFonts w:ascii="仿宋" w:hAnsi="仿宋" w:eastAsia="仿宋"/>
                <w:sz w:val="24"/>
              </w:rPr>
            </w:pPr>
            <w:r>
              <w:rPr>
                <w:rFonts w:hint="eastAsia" w:ascii="仿宋" w:hAnsi="仿宋" w:eastAsia="仿宋"/>
                <w:sz w:val="24"/>
              </w:rPr>
              <w:t>（3）音频码流率 128Kbps(恒定)</w:t>
            </w:r>
          </w:p>
          <w:p>
            <w:pPr>
              <w:spacing w:line="400" w:lineRule="exact"/>
              <w:jc w:val="left"/>
              <w:rPr>
                <w:rFonts w:ascii="仿宋" w:hAnsi="仿宋" w:eastAsia="仿宋"/>
                <w:sz w:val="24"/>
              </w:rPr>
            </w:pPr>
            <w:r>
              <w:rPr>
                <w:rFonts w:hint="eastAsia" w:ascii="仿宋" w:hAnsi="仿宋" w:eastAsia="仿宋"/>
                <w:sz w:val="24"/>
              </w:rPr>
              <w:t>（4）双声道，做混音处理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FB"/>
    <w:rsid w:val="00CB32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2020-04-27T06:15:00Z</dcterms:created>
  <dc:creator>SNOW</dc:creator>
  <cp:lastModifiedBy>SNOW</cp:lastModifiedBy>
  <dcterms:modified xsi:type="dcterms:W3CDTF">2020-04-27T06:16:04Z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