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b/>
          <w:sz w:val="36"/>
          <w:szCs w:val="36"/>
          <w:bdr w:val="none" w:color="auto" w:sz="0" w:space="0"/>
        </w:rPr>
        <w:t>到2020年深化医药卫生体制改革主要目标</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jc w:val="center"/>
      </w:pP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17"/>
        <w:gridCol w:w="7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7705"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指　标　内　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居民人均预期寿命比</w:t>
            </w:r>
            <w:r>
              <w:rPr>
                <w:rFonts w:hint="default" w:ascii="Times New Roman" w:hAnsi="Times New Roman" w:cs="Times New Roman"/>
                <w:sz w:val="20"/>
                <w:szCs w:val="20"/>
                <w:bdr w:val="none" w:color="auto" w:sz="0" w:space="0"/>
              </w:rPr>
              <w:t>2015</w:t>
            </w:r>
            <w:r>
              <w:rPr>
                <w:rFonts w:hint="eastAsia" w:ascii="宋体" w:hAnsi="宋体" w:eastAsia="宋体" w:cs="宋体"/>
                <w:sz w:val="20"/>
                <w:szCs w:val="20"/>
                <w:bdr w:val="none" w:color="auto" w:sz="0" w:space="0"/>
              </w:rPr>
              <w:t>年提高</w:t>
            </w: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岁，孕产妇死亡率下降到</w:t>
            </w:r>
            <w:r>
              <w:rPr>
                <w:rFonts w:hint="default" w:ascii="Times New Roman" w:hAnsi="Times New Roman" w:cs="Times New Roman"/>
                <w:sz w:val="20"/>
                <w:szCs w:val="20"/>
                <w:bdr w:val="none" w:color="auto" w:sz="0" w:space="0"/>
              </w:rPr>
              <w:t>18/10</w:t>
            </w:r>
            <w:r>
              <w:rPr>
                <w:rFonts w:hint="eastAsia" w:ascii="宋体" w:hAnsi="宋体" w:eastAsia="宋体" w:cs="宋体"/>
                <w:sz w:val="20"/>
                <w:szCs w:val="20"/>
                <w:bdr w:val="none" w:color="auto" w:sz="0" w:space="0"/>
              </w:rPr>
              <w:t>万，婴儿死亡率下降到</w:t>
            </w:r>
            <w:r>
              <w:rPr>
                <w:rFonts w:hint="default" w:ascii="Times New Roman" w:hAnsi="Times New Roman" w:cs="Times New Roman"/>
                <w:sz w:val="20"/>
                <w:szCs w:val="20"/>
                <w:bdr w:val="none" w:color="auto" w:sz="0" w:space="0"/>
              </w:rPr>
              <w:t>7.5</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5</w:t>
            </w:r>
            <w:r>
              <w:rPr>
                <w:rFonts w:hint="eastAsia" w:ascii="宋体" w:hAnsi="宋体" w:eastAsia="宋体" w:cs="宋体"/>
                <w:sz w:val="20"/>
                <w:szCs w:val="20"/>
                <w:bdr w:val="none" w:color="auto" w:sz="0" w:space="0"/>
              </w:rPr>
              <w:t>岁以下儿童死亡率下降到</w:t>
            </w:r>
            <w:r>
              <w:rPr>
                <w:rFonts w:hint="default" w:ascii="Times New Roman" w:hAnsi="Times New Roman" w:cs="Times New Roman"/>
                <w:sz w:val="20"/>
                <w:szCs w:val="20"/>
                <w:bdr w:val="none" w:color="auto" w:sz="0" w:space="0"/>
              </w:rPr>
              <w:t>9.5</w:t>
            </w:r>
            <w:r>
              <w:rPr>
                <w:rFonts w:hint="eastAsia" w:ascii="宋体" w:hAnsi="宋体" w:eastAsia="宋体" w:cs="宋体"/>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个人卫生支出占卫生总费用的比重下降到</w:t>
            </w:r>
            <w:r>
              <w:rPr>
                <w:rFonts w:hint="default" w:ascii="Times New Roman" w:hAnsi="Times New Roman" w:cs="Times New Roman"/>
                <w:sz w:val="20"/>
                <w:szCs w:val="20"/>
                <w:bdr w:val="none" w:color="auto" w:sz="0" w:space="0"/>
              </w:rPr>
              <w:t>28%</w:t>
            </w:r>
            <w:r>
              <w:rPr>
                <w:rFonts w:hint="eastAsia" w:ascii="宋体" w:hAnsi="宋体" w:eastAsia="宋体" w:cs="宋体"/>
                <w:sz w:val="20"/>
                <w:szCs w:val="20"/>
                <w:bdr w:val="none" w:color="auto" w:sz="0" w:space="0"/>
              </w:rPr>
              <w:t>左右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分级诊疗模式逐步形成，基本建立符合国情的分级诊疗制度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力争所有社区卫生服务机构和乡镇卫生院以及</w:t>
            </w:r>
            <w:r>
              <w:rPr>
                <w:rFonts w:hint="default" w:ascii="Times New Roman" w:hAnsi="Times New Roman" w:cs="Times New Roman"/>
                <w:sz w:val="20"/>
                <w:szCs w:val="20"/>
                <w:bdr w:val="none" w:color="auto" w:sz="0" w:space="0"/>
              </w:rPr>
              <w:t>70%</w:t>
            </w:r>
            <w:r>
              <w:rPr>
                <w:rFonts w:hint="eastAsia" w:ascii="宋体" w:hAnsi="宋体" w:eastAsia="宋体" w:cs="宋体"/>
                <w:sz w:val="20"/>
                <w:szCs w:val="20"/>
                <w:bdr w:val="none" w:color="auto" w:sz="0" w:space="0"/>
              </w:rPr>
              <w:t>的村卫生室具备中医药服务能力，同时具备相应的医疗康复能力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力争将签约服务扩大到全人群，基本实现家庭医生签约服务制度全覆盖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基本建立具有中国特色的权责清晰、管理科学、治理完善、运行高效、监督有力的现代医院管理制度，建立维护公益性、调动积极性、保障可持续的运行新机制和科学合理的补偿机制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公立医院医疗费用增长幅度稳定在合理水平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基本医保参保率稳定在</w:t>
            </w:r>
            <w:r>
              <w:rPr>
                <w:rFonts w:hint="default" w:ascii="Times New Roman" w:hAnsi="Times New Roman" w:cs="Times New Roman"/>
                <w:sz w:val="20"/>
                <w:szCs w:val="20"/>
                <w:bdr w:val="none" w:color="auto" w:sz="0" w:space="0"/>
              </w:rPr>
              <w:t>95%</w:t>
            </w:r>
            <w:r>
              <w:rPr>
                <w:rFonts w:hint="eastAsia" w:ascii="宋体" w:hAnsi="宋体" w:eastAsia="宋体" w:cs="宋体"/>
                <w:sz w:val="20"/>
                <w:szCs w:val="20"/>
                <w:bdr w:val="none" w:color="auto" w:sz="0" w:space="0"/>
              </w:rPr>
              <w:t>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建立医保基金调剂平衡机制，逐步实现医保省级统筹，基本医保政策范围内报销比例稳定在</w:t>
            </w:r>
            <w:r>
              <w:rPr>
                <w:rFonts w:hint="default" w:ascii="Times New Roman" w:hAnsi="Times New Roman" w:cs="Times New Roman"/>
                <w:sz w:val="20"/>
                <w:szCs w:val="20"/>
                <w:bdr w:val="none" w:color="auto" w:sz="0" w:space="0"/>
              </w:rPr>
              <w:t>75%</w:t>
            </w:r>
            <w:r>
              <w:rPr>
                <w:rFonts w:hint="eastAsia" w:ascii="宋体" w:hAnsi="宋体" w:eastAsia="宋体" w:cs="宋体"/>
                <w:sz w:val="20"/>
                <w:szCs w:val="20"/>
                <w:bdr w:val="none" w:color="auto" w:sz="0" w:space="0"/>
              </w:rPr>
              <w:t>左右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10</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医保支付方式改革逐步覆盖所有医疗机构和医疗服务，全国范围内普遍实施适应不同疾病、不同服务特点的多元复合式医保支付方式，按项目付费占比明显下降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11</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基本建立药品出厂价格信息可追溯机制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12</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形成</w:t>
            </w:r>
            <w:r>
              <w:rPr>
                <w:rFonts w:hint="default" w:ascii="Times New Roman" w:hAnsi="Times New Roman" w:cs="Times New Roman"/>
                <w:sz w:val="20"/>
                <w:szCs w:val="20"/>
                <w:bdr w:val="none" w:color="auto" w:sz="0" w:space="0"/>
              </w:rPr>
              <w:t>1</w:t>
            </w:r>
            <w:r>
              <w:rPr>
                <w:rFonts w:hint="eastAsia" w:ascii="宋体" w:hAnsi="宋体" w:eastAsia="宋体" w:cs="宋体"/>
                <w:sz w:val="20"/>
                <w:szCs w:val="20"/>
                <w:bdr w:val="none" w:color="auto" w:sz="0" w:space="0"/>
              </w:rPr>
              <w:t>家年销售额超过</w:t>
            </w:r>
            <w:r>
              <w:rPr>
                <w:rFonts w:hint="default" w:ascii="Times New Roman" w:hAnsi="Times New Roman" w:cs="Times New Roman"/>
                <w:sz w:val="20"/>
                <w:szCs w:val="20"/>
                <w:bdr w:val="none" w:color="auto" w:sz="0" w:space="0"/>
              </w:rPr>
              <w:t>5000</w:t>
            </w:r>
            <w:r>
              <w:rPr>
                <w:rFonts w:hint="eastAsia" w:ascii="宋体" w:hAnsi="宋体" w:eastAsia="宋体" w:cs="宋体"/>
                <w:sz w:val="20"/>
                <w:szCs w:val="20"/>
                <w:bdr w:val="none" w:color="auto" w:sz="0" w:space="0"/>
              </w:rPr>
              <w:t>亿元的超大型药品流通企业，药品批发百强企业年销售额占批发市场总额的</w:t>
            </w:r>
            <w:r>
              <w:rPr>
                <w:rFonts w:hint="default" w:ascii="Times New Roman" w:hAnsi="Times New Roman" w:cs="Times New Roman"/>
                <w:sz w:val="20"/>
                <w:szCs w:val="20"/>
                <w:bdr w:val="none" w:color="auto" w:sz="0" w:space="0"/>
              </w:rPr>
              <w:t>90%</w:t>
            </w:r>
            <w:r>
              <w:rPr>
                <w:rFonts w:hint="eastAsia" w:ascii="宋体" w:hAnsi="宋体" w:eastAsia="宋体" w:cs="宋体"/>
                <w:sz w:val="20"/>
                <w:szCs w:val="20"/>
                <w:bdr w:val="none" w:color="auto" w:sz="0" w:space="0"/>
              </w:rPr>
              <w:t>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13</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对各级各类医疗卫生机构监督检查实现</w:t>
            </w:r>
            <w:r>
              <w:rPr>
                <w:rFonts w:hint="default" w:ascii="Times New Roman" w:hAnsi="Times New Roman" w:cs="Times New Roman"/>
                <w:sz w:val="20"/>
                <w:szCs w:val="20"/>
                <w:bdr w:val="none" w:color="auto" w:sz="0" w:space="0"/>
              </w:rPr>
              <w:t>100%</w:t>
            </w:r>
            <w:r>
              <w:rPr>
                <w:rFonts w:hint="eastAsia" w:ascii="宋体" w:hAnsi="宋体" w:eastAsia="宋体" w:cs="宋体"/>
                <w:sz w:val="20"/>
                <w:szCs w:val="20"/>
                <w:bdr w:val="none" w:color="auto" w:sz="0" w:space="0"/>
              </w:rPr>
              <w:t>覆盖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14</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完成本科临床医学专业首轮认证工作，建立起具有中国特色与国际医学教育实质等效的医学专业认证制度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15</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所有新进医疗岗位的本科及以上学历临床医师均接受住院医师规范化培训，初步建立专科医师规范化培训制度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16</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城乡每万名居民有</w:t>
            </w:r>
            <w:r>
              <w:rPr>
                <w:rFonts w:hint="default" w:ascii="Times New Roman" w:hAnsi="Times New Roman" w:cs="Times New Roman"/>
                <w:sz w:val="20"/>
                <w:szCs w:val="20"/>
                <w:bdr w:val="none" w:color="auto" w:sz="0" w:space="0"/>
              </w:rPr>
              <w:t>2</w:t>
            </w:r>
            <w:r>
              <w:rPr>
                <w:rFonts w:hint="eastAsia" w:ascii="宋体" w:hAnsi="宋体" w:eastAsia="宋体" w:cs="宋体"/>
                <w:sz w:val="20"/>
                <w:szCs w:val="20"/>
                <w:bdr w:val="none" w:color="auto" w:sz="0" w:space="0"/>
              </w:rPr>
              <w:t>—</w:t>
            </w:r>
            <w:r>
              <w:rPr>
                <w:rFonts w:hint="default" w:ascii="Times New Roman" w:hAnsi="Times New Roman" w:cs="Times New Roman"/>
                <w:sz w:val="20"/>
                <w:szCs w:val="20"/>
                <w:bdr w:val="none" w:color="auto" w:sz="0" w:space="0"/>
              </w:rPr>
              <w:t>3</w:t>
            </w:r>
            <w:r>
              <w:rPr>
                <w:rFonts w:hint="eastAsia" w:ascii="宋体" w:hAnsi="宋体" w:eastAsia="宋体" w:cs="宋体"/>
                <w:sz w:val="20"/>
                <w:szCs w:val="20"/>
                <w:bdr w:val="none" w:color="auto" w:sz="0" w:space="0"/>
              </w:rPr>
              <w:t>名合格的全科医生，全科医生总数达到</w:t>
            </w:r>
            <w:r>
              <w:rPr>
                <w:rFonts w:hint="default" w:ascii="Times New Roman" w:hAnsi="Times New Roman" w:cs="Times New Roman"/>
                <w:sz w:val="20"/>
                <w:szCs w:val="20"/>
                <w:bdr w:val="none" w:color="auto" w:sz="0" w:space="0"/>
              </w:rPr>
              <w:t>30</w:t>
            </w:r>
            <w:r>
              <w:rPr>
                <w:rFonts w:hint="eastAsia" w:ascii="宋体" w:hAnsi="宋体" w:eastAsia="宋体" w:cs="宋体"/>
                <w:sz w:val="20"/>
                <w:szCs w:val="20"/>
                <w:bdr w:val="none" w:color="auto" w:sz="0" w:space="0"/>
              </w:rPr>
              <w:t>万人以上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17</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医疗责任保险覆盖全国所有公立医院和</w:t>
            </w:r>
            <w:r>
              <w:rPr>
                <w:rFonts w:hint="default" w:ascii="Times New Roman" w:hAnsi="Times New Roman" w:cs="Times New Roman"/>
                <w:sz w:val="20"/>
                <w:szCs w:val="20"/>
                <w:bdr w:val="none" w:color="auto" w:sz="0" w:space="0"/>
              </w:rPr>
              <w:t>80%</w:t>
            </w:r>
            <w:r>
              <w:rPr>
                <w:rFonts w:hint="eastAsia" w:ascii="宋体" w:hAnsi="宋体" w:eastAsia="宋体" w:cs="宋体"/>
                <w:sz w:val="20"/>
                <w:szCs w:val="20"/>
                <w:bdr w:val="none" w:color="auto" w:sz="0" w:space="0"/>
              </w:rPr>
              <w:t>以上的基层医疗卫生机构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18</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基本公共卫生服务逐步均等化的机制基本完善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19</w:t>
            </w:r>
          </w:p>
        </w:tc>
        <w:tc>
          <w:tcPr>
            <w:tcW w:w="7705" w:type="dxa"/>
            <w:tcBorders>
              <w:top w:val="nil"/>
              <w:left w:val="nil"/>
              <w:bottom w:val="single" w:color="000000" w:sz="8" w:space="0"/>
              <w:right w:val="single" w:color="000000"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全面落实政府对符合区域卫生规划的公立医院投入政策，建立公立医院由服务收费和政府补助两个渠道补偿的新机制，细化落实政府对中医医院（民族医院）投入倾斜政策，逐步偿还和化解符合条件的公立医院长期债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firstLine="42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01E62"/>
    <w:rsid w:val="41501E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2017-03-22T03:29:00Z</dcterms:created>
  <dc:creator>banruo</dc:creator>
  <cp:lastModifiedBy>banruo</cp:lastModifiedBy>
  <dcterms:modified xsi:type="dcterms:W3CDTF">2017-03-22T03:29:31Z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