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left"/>
        <w:textAlignment w:val="auto"/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/>
          <w:color w:val="auto"/>
          <w:sz w:val="32"/>
          <w:szCs w:val="32"/>
          <w:lang w:val="en-US" w:eastAsia="zh-CN"/>
        </w:rPr>
        <w:t>1</w:t>
      </w: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44"/>
          <w:szCs w:val="44"/>
          <w:lang w:eastAsia="zh-CN"/>
        </w:rPr>
        <w:t>关于支持消费“新品牌”集聚的</w:t>
      </w:r>
      <w:r>
        <w:rPr>
          <w:rFonts w:hint="eastAsia" w:ascii="方正小标宋简体" w:hAnsi="方正小标宋简体" w:eastAsia="方正小标宋简体" w:cs="方正小标宋简体"/>
          <w:b w:val="0"/>
          <w:bCs/>
          <w:i w:val="0"/>
          <w:caps w:val="0"/>
          <w:color w:val="auto"/>
          <w:spacing w:val="0"/>
          <w:sz w:val="44"/>
          <w:szCs w:val="44"/>
          <w:shd w:val="clear" w:fill="FFFFFF"/>
          <w:lang w:eastAsia="zh-CN"/>
        </w:rPr>
        <w:t>申报指南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lang w:eastAsia="zh-CN"/>
        </w:rPr>
        <w:t>一、</w:t>
      </w:r>
      <w:r>
        <w:rPr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申报条件及标准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1.申报条件</w:t>
      </w: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（1）亚洲首店、中国（内地）首店、北京首店、旗舰店、创新概念店以经市级认定的名单为准。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①首店。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即国内外品牌在一定区域范围内开设的第一家线下门店。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②旗舰店。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面积在500平方米以上（含）且超过北京市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本品牌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其他实体店，商品类别涵盖该品牌一级目录下所有类别的实体门店。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③创新概念店。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将消费概念与品牌相结合，充分体现品牌文化主张，与该品牌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其他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门店相较，在风格、形象、产品、服务等方面有显著差异化特色的门店。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（2）北京西部首店和石景山区首店认定标准。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北京西部首店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即国内外品牌在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我区开设的第一家门店，且在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海淀区、丰台区、门头沟区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没有门店，在其他区开设的门店少于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2家（含），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石景山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首店即在我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区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内开设的第一家线下门店</w:t>
      </w:r>
      <w:r>
        <w:rPr>
          <w:rFonts w:hint="eastAsia" w:ascii="Times New Roman" w:hAnsi="Times New Roman" w:cs="Times New Roman"/>
          <w:sz w:val="32"/>
          <w:szCs w:val="32"/>
          <w:lang w:eastAsia="zh-CN"/>
        </w:rPr>
        <w:t>，且在其他区开设的门店少于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2家（含）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①餐饮类首店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运营主体须为独立结算的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公司、总公司，运营经营面积超过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00平米，店面装修费、已支出房租（不超过12个月）、设备设施购置费用之和应超过500万元，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一年内营业额超过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00万元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②时尚类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或商品零售首店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运营主体须为独立结算的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公司、总公司，经营面积超过300平米，店面装修费、已支出房租（不超过12个月）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设备设施购置费用之和应超过300万元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一年内营业额超过500万元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③服务类及其他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运营主体须为独立结算的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子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公司、总公司，经营面积超过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00平米，店面装修费、已支出房租（不超过12个月）</w:t>
      </w:r>
      <w:r>
        <w:rPr>
          <w:rFonts w:hint="eastAsia" w:ascii="Times New Roman" w:hAnsi="Times New Roman" w:cs="Times New Roman"/>
          <w:sz w:val="32"/>
          <w:szCs w:val="32"/>
          <w:lang w:val="en-US"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设备设施购置费用之和应超过300万元，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一年内营业额超过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00万元</w:t>
      </w: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，教培、医疗、旅游、文娱类服务企业不作为主要支持方向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对经营业态和模式创新性较强、对我区消费升级引领性作用突出、对区域贡献较大的品牌首店，可参照上述首店标准，经综合评估认定后，给予同等比例的资金支持。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（3）开店时间的认定标准。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2021年1月1日（含）后新设立，申报企业应承诺获得财政资金之日起持续经营时间不得少于1年；对获得财政资金支持的项目1年内有拆迁、停止营业、被吊销营业执照等情形的，应退回相应补助资金。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560" w:lineRule="exact"/>
        <w:ind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（4）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商业设施运营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引进品牌首店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以获得北京市、石景山区首店项目支持的数量为准。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（5）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时尚类零售企业的认定标准。符合《关于加快引导时尚类零售企业在京发展的指导意见（2022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2025年）》的支持方向，且成功纳入北京市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时尚类重点零售企业名录库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2.支持标准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（1）对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我区新开设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获得北京市商务局关于首店项目支持的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国内外品牌亚洲首店、中国（内地）首店、北京首店、旗舰店、创新概念店，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根据认定首店的级别，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按照市级支持资金的30%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给予区级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配套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奖励，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单个项目最高支持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100万元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其中：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亚洲首店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按照市级支持资金的30%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给予区级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配套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奖励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中国（内地）首店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按照市级支持资金的20%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给予区级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配套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奖励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北京首店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按照市级支持资金的10%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给予区级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配套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奖励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对经市级认定为首店（含旗舰店、创新概念店）但未获得市级资金支持的，根据认定首店的级别，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开设首店第一年租金和店面装修（含装修设计费、设备购置及配套硬件设施建设）投资总额的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%，给予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最高10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0万元资金支持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其中：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亚洲首店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开设首店第一年租金和店面装修（含装修设计费、设备购置及配套硬件设施建设）投资总额的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20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给予支持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中国（内地）首店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开设首店第一年租金和店面装修（含装修设计费、设备购置及配套硬件设施建设）投资总额的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给予支持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北京首店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含旗舰店、创新概念店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开设首店第一年租金和店面装修（含装修设计费、设备购置及配套硬件设施建设）投资总额的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cs="Times New Roman"/>
          <w:spacing w:val="-24"/>
          <w:sz w:val="24"/>
          <w:szCs w:val="21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对国内外知名品牌在我区开设的北京西部首店、石景山区首店，经区级认定，最高按照开设首店第一年租金和店面装修（含装修设计费、设备购置及配套硬件设施建设）投资总额的10%，给予最高50万元资金支持。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spacing w:val="-24"/>
          <w:sz w:val="24"/>
          <w:szCs w:val="21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北京西部首店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开设首店第一年租金和店面装修投资总额的10%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给予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50万元资金支持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；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3" w:firstLineChars="200"/>
        <w:textAlignment w:val="auto"/>
        <w:rPr>
          <w:rFonts w:hint="default" w:ascii="Times New Roman" w:hAnsi="Times New Roman" w:eastAsia="仿宋_GB2312" w:cs="Times New Roman"/>
          <w:spacing w:val="-24"/>
          <w:sz w:val="24"/>
          <w:szCs w:val="21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石景山区首店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开设首店第一年租金和店面装修投资总额的10%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给予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最高3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0万元资金支持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引进品牌首店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的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商业设施运营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主体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给予支持，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每成功招引1个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获得市区相关政策支持的国内外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知名品牌首店，按首店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级别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给予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最高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5万元奖励，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同一主体累计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最高奖励25万元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亚洲首店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每成功招引1个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给予5万元奖励；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中国（内地）首店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每成功招引1个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给予3万元奖励；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③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</w:rPr>
        <w:t>北京首店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每成功招引1个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给予2万元奖励；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④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北京西部首店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按照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每成功招引1个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给予1万元奖励。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对新注册设立的时尚类零售企业总部、子公司，注册当年或次年零售额达到3000万元以上且形成区域税收贡献的，按企业类型、成长潜力、品牌影响力等分档给予一次性注册奖励，最高奖励资金100万元。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jc w:val="left"/>
        <w:textAlignment w:val="auto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①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val="en-US" w:eastAsia="zh-CN"/>
        </w:rPr>
        <w:t>总部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注册当年或次年零售额达到3亿元（含）以上且形成区域税收贡献的，给予100万元一次性注册奖励；达到1亿元（含）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3亿元的，给予80万元一次性注册奖励；达到5000万元（含）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1亿元的，给予50万元一次性注册奖励；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3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lang w:eastAsia="zh-CN"/>
        </w:rPr>
        <w:t>②</w:t>
      </w:r>
      <w:r>
        <w:rPr>
          <w:rFonts w:hint="default" w:ascii="Times New Roman" w:hAnsi="Times New Roman" w:eastAsia="仿宋_GB2312" w:cs="Times New Roman"/>
          <w:b/>
          <w:bCs/>
          <w:sz w:val="32"/>
          <w:szCs w:val="32"/>
          <w:highlight w:val="none"/>
          <w:lang w:val="en-US" w:eastAsia="zh-CN"/>
        </w:rPr>
        <w:t>子公司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注册当年或次年零售额达到1亿元（含）以上且形成区域税收贡献的，给予80万元一次性注册奖励；达到5000万元（含）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1亿元的，给予50万元一次性注册奖励；达到3000万元（含）</w:t>
      </w:r>
      <w:r>
        <w:rPr>
          <w:rFonts w:hint="default" w:ascii="Times New Roman" w:hAnsi="Times New Roman" w:cs="Times New Roman"/>
          <w:sz w:val="32"/>
          <w:szCs w:val="32"/>
          <w:highlight w:val="none"/>
          <w:lang w:val="en-US" w:eastAsia="zh-CN"/>
        </w:rPr>
        <w:t>—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5000万元的，给予30万元一次性注册奖励。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32"/>
          <w:szCs w:val="32"/>
          <w:lang w:val="en-US" w:eastAsia="zh-CN"/>
        </w:rPr>
        <w:t>二、申报材料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项目申报材料一式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一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份，按顺序装订成册，加盖单位公章（全套申报材料需扫描电子版一并提交）。项目申报材料不予退回。申报材料如下：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目录。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资金申请表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企业简介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、申报理由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营业执照、法定代表人身份证和银行开户许可证等法人文件复印件。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其他与项目相关的材料。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rightChars="0" w:firstLine="640" w:firstLineChars="200"/>
        <w:jc w:val="left"/>
        <w:textAlignment w:val="auto"/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1.申报市区首店、旗舰店、概念店项目的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单位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需要提供开业以来近一年的财务报表、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每月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的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业绩表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  <w:t>项目已发生费用明细表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，同时后附相关合同、发票等。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right="0" w:rightChars="0" w:firstLine="640" w:firstLineChars="200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2.申报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新注册设立的时尚类零售企业总部、子公司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的单位需要提供注册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当年或次年零售额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情况、</w:t>
      </w: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近三年的财务报表</w:t>
      </w:r>
      <w:r>
        <w:rPr>
          <w:rFonts w:hint="eastAsia" w:ascii="Times New Roman" w:hAnsi="Times New Roman" w:cs="Times New Roman"/>
          <w:sz w:val="32"/>
          <w:szCs w:val="32"/>
          <w:highlight w:val="none"/>
          <w:lang w:val="en-US" w:eastAsia="zh-CN"/>
        </w:rPr>
        <w:t>以及缴税的相关证明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Chars="200" w:right="0" w:right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</w:pPr>
      <w:r>
        <w:rPr>
          <w:rFonts w:hint="eastAsia" w:cs="仿宋_GB2312"/>
          <w:i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申请材料的相关表格、模板见附件。</w:t>
      </w:r>
    </w:p>
    <w:p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640" w:leftChars="200" w:right="0" w:firstLine="0" w:firstLineChars="0"/>
        <w:jc w:val="left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shd w:val="clear" w:fill="FFFFFF"/>
        </w:rPr>
      </w:pPr>
    </w:p>
    <w:p>
      <w:pPr>
        <w:pStyle w:val="2"/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（业务咨询电话：68607230）</w:t>
      </w: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" w:linePitch="43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09C6E8"/>
    <w:multiLevelType w:val="singleLevel"/>
    <w:tmpl w:val="4709C6E8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0"/>
  <w:bordersDoNotSurroundFooter w:val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Q3M2FiOGQzZjhkODAxMjllZDUyMDg4YmYwNjU3ZTcifQ=="/>
  </w:docVars>
  <w:rsids>
    <w:rsidRoot w:val="56066A71"/>
    <w:rsid w:val="02AE1773"/>
    <w:rsid w:val="07FA2F22"/>
    <w:rsid w:val="0B8D5306"/>
    <w:rsid w:val="0CD3685C"/>
    <w:rsid w:val="0E476F27"/>
    <w:rsid w:val="11092051"/>
    <w:rsid w:val="118564DB"/>
    <w:rsid w:val="196A3BA0"/>
    <w:rsid w:val="1CCA23C8"/>
    <w:rsid w:val="1E020C61"/>
    <w:rsid w:val="21F95BFB"/>
    <w:rsid w:val="261A26E4"/>
    <w:rsid w:val="296A3FEA"/>
    <w:rsid w:val="2CD07F3E"/>
    <w:rsid w:val="2D5D1944"/>
    <w:rsid w:val="310F225C"/>
    <w:rsid w:val="318A166A"/>
    <w:rsid w:val="31EA41AA"/>
    <w:rsid w:val="3B2563F8"/>
    <w:rsid w:val="41E414A1"/>
    <w:rsid w:val="41FA4EF7"/>
    <w:rsid w:val="44991F99"/>
    <w:rsid w:val="46712BB2"/>
    <w:rsid w:val="46C529B7"/>
    <w:rsid w:val="4B4439AF"/>
    <w:rsid w:val="4FDC7B10"/>
    <w:rsid w:val="56066A71"/>
    <w:rsid w:val="56E47459"/>
    <w:rsid w:val="5A8E390C"/>
    <w:rsid w:val="5BD23457"/>
    <w:rsid w:val="5E11731E"/>
    <w:rsid w:val="5E9116D2"/>
    <w:rsid w:val="65FD135C"/>
    <w:rsid w:val="666C4BE0"/>
    <w:rsid w:val="6D375E2A"/>
    <w:rsid w:val="75B436A2"/>
    <w:rsid w:val="75B45F00"/>
    <w:rsid w:val="78AB652A"/>
    <w:rsid w:val="7BFB47BB"/>
    <w:rsid w:val="7D5863A2"/>
    <w:rsid w:val="7E97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outlineLvl w:val="0"/>
    </w:pPr>
    <w:rPr>
      <w:rFonts w:eastAsia="黑体"/>
      <w:b/>
      <w:bCs/>
      <w:kern w:val="44"/>
      <w:szCs w:val="44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next w:val="1"/>
    <w:qFormat/>
    <w:uiPriority w:val="0"/>
    <w:rPr>
      <w:rFonts w:ascii="宋体" w:hAnsi="Courier New" w:cs="Courier New"/>
      <w:szCs w:val="21"/>
    </w:rPr>
  </w:style>
  <w:style w:type="paragraph" w:styleId="5">
    <w:name w:val="Body Text"/>
    <w:basedOn w:val="1"/>
    <w:next w:val="1"/>
    <w:qFormat/>
    <w:uiPriority w:val="0"/>
    <w:pPr>
      <w:spacing w:after="120"/>
    </w:p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2391</Words>
  <Characters>2494</Characters>
  <Lines>0</Lines>
  <Paragraphs>0</Paragraphs>
  <TotalTime>25</TotalTime>
  <ScaleCrop>false</ScaleCrop>
  <LinksUpToDate>false</LinksUpToDate>
  <CharactersWithSpaces>2494</CharactersWithSpaces>
  <Application>WPS Office_10.8.2.7058_F1E327BC-269C-435d-A152-05C5408002CA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2021-12-07T02:30:00Z</dcterms:created>
  <dc:creator>Jack</dc:creator>
  <cp:lastModifiedBy>Jack</cp:lastModifiedBy>
  <cp:lastPrinted>2022-08-03T06:40:00Z</cp:lastPrinted>
  <dcterms:modified xsi:type="dcterms:W3CDTF">2023-02-03T03:49:43Z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2052-10.8.2.7058</vt:lpwstr>
  </property>
  <property fmtid="{D5CDD505-2E9C-101B-9397-08002B2CF9AE}" pid="3" name="ICV">
    <vt:lpwstr>5A95C0BDB39C422496007E14FAA585E0</vt:lpwstr>
  </property>
</Properties>
</file>