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6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北京市拆除或者闲置防治污染设施申请书</w:t>
      </w:r>
    </w:p>
    <w:bookmarkEnd w:id="0"/>
    <w:p>
      <w:pPr>
        <w:spacing w:line="68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（一式两份）</w:t>
      </w:r>
    </w:p>
    <w:p>
      <w:pPr>
        <w:jc w:val="left"/>
        <w:rPr>
          <w:rFonts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申请拆除或者闲置设施项目名称、数量、期限、原因</w:t>
      </w:r>
    </w:p>
    <w:p>
      <w:pPr>
        <w:numPr>
          <w:ilvl w:val="0"/>
          <w:numId w:val="1"/>
        </w:numPr>
        <w:spacing w:line="560" w:lineRule="exact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申请企业基本情况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包括：企业名称、所在地、投产时间、所属行业、企业代码、排污申报登记号、厂区平面布置图、厂区内污染物处理防治设施、场所分布图等。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三、污染物的产生排放情况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包括：污染物产生环节、种类、浓度、总量等。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四、污染物处理防治设施、场所的工艺路线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包括：处理设施的数量、原理、工艺、处理能力</w:t>
      </w:r>
      <w:r>
        <w:rPr>
          <w:rFonts w:eastAsia="仿宋_GB2312"/>
          <w:sz w:val="32"/>
          <w:szCs w:val="28"/>
        </w:rPr>
        <w:t>/</w:t>
      </w:r>
      <w:r>
        <w:rPr>
          <w:rFonts w:hint="eastAsia" w:eastAsia="仿宋_GB2312"/>
          <w:sz w:val="32"/>
          <w:szCs w:val="28"/>
        </w:rPr>
        <w:t>规模、设计运行时间、处理效率、运行记录等。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五、环境影响评价和“三同时”制度执行情况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包括：环境影响评价批复、项目环保竣工验收批复等（附件）。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六、拆除或者闲置污染物处理防治设施、场所时，企业污染物排放的应急方案。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52D45"/>
    <w:multiLevelType w:val="multilevel"/>
    <w:tmpl w:val="5E052D45"/>
    <w:lvl w:ilvl="0" w:tentative="0">
      <w:start w:val="1"/>
      <w:numFmt w:val="japaneseCounting"/>
      <w:lvlText w:val="%1、"/>
      <w:lvlJc w:val="left"/>
      <w:pPr>
        <w:ind w:left="1360" w:hanging="7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C542C"/>
    <w:rsid w:val="5CBC54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2016-11-10T07:57:00Z</dcterms:created>
  <dc:creator>banruo</dc:creator>
  <cp:lastModifiedBy>banruo</cp:lastModifiedBy>
  <dcterms:modified xsi:type="dcterms:W3CDTF">2016-11-10T07:58:08Z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