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88" w:rsidRDefault="00BF6F88" w:rsidP="00BF6F88">
      <w:pPr>
        <w:rPr>
          <w:rFonts w:ascii="黑体" w:eastAsia="黑体" w:hint="eastAsia"/>
          <w:sz w:val="30"/>
          <w:szCs w:val="30"/>
        </w:rPr>
      </w:pPr>
      <w:r>
        <w:rPr>
          <w:rFonts w:ascii="黑体" w:eastAsia="黑体" w:hint="eastAsia"/>
          <w:sz w:val="30"/>
          <w:szCs w:val="30"/>
        </w:rPr>
        <w:t>附件1</w:t>
      </w:r>
    </w:p>
    <w:p w:rsidR="00BF6F88" w:rsidRDefault="00BF6F88" w:rsidP="00BF6F88">
      <w:pPr>
        <w:jc w:val="center"/>
        <w:rPr>
          <w:rFonts w:ascii="宋体" w:hAnsi="宋体" w:hint="eastAsia"/>
          <w:b/>
          <w:sz w:val="36"/>
          <w:szCs w:val="36"/>
        </w:rPr>
      </w:pPr>
      <w:r>
        <w:rPr>
          <w:rFonts w:ascii="宋体" w:hAnsi="宋体" w:hint="eastAsia"/>
          <w:b/>
          <w:sz w:val="36"/>
          <w:szCs w:val="36"/>
        </w:rPr>
        <w:t>拒不支付劳动报酬案件移送暂行办法</w:t>
      </w:r>
    </w:p>
    <w:p w:rsidR="00BF6F88" w:rsidRDefault="00BF6F88" w:rsidP="00BF6F88">
      <w:pPr>
        <w:rPr>
          <w:rFonts w:ascii="仿宋_GB2312" w:eastAsia="仿宋_GB2312" w:hint="eastAsia"/>
          <w:sz w:val="28"/>
          <w:szCs w:val="28"/>
        </w:rPr>
      </w:pP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第一条 为提高拒不支付劳动报酬案件移送效率，加大对拒不支付劳动报酬行为的打击力度，依据《中华人民共和国刑法》、《最高人民法院关于审理拒不支付劳动报酬刑事案件适用法律若干问题的解释》（法释［2013］3号）、《关于加强对拒不支付劳动报酬案件查处工作的通知》（人社部发［2012］3号）、《北京市行政执法与刑事司法衔接工作办法（试行）》（京检发［2010］100号），制定本办法。</w:t>
      </w:r>
    </w:p>
    <w:p w:rsidR="00BF6F88" w:rsidRDefault="00BF6F88" w:rsidP="00BF6F88">
      <w:pPr>
        <w:rPr>
          <w:rFonts w:ascii="宋体" w:cs="宋体" w:hint="eastAsia"/>
          <w:color w:val="000000"/>
          <w:kern w:val="0"/>
          <w:sz w:val="28"/>
          <w:szCs w:val="28"/>
        </w:rPr>
      </w:pPr>
      <w:r>
        <w:rPr>
          <w:rFonts w:ascii="仿宋_GB2312" w:eastAsia="仿宋_GB2312" w:hint="eastAsia"/>
          <w:sz w:val="28"/>
          <w:szCs w:val="28"/>
        </w:rPr>
        <w:t xml:space="preserve">    第二条 市、区（县）人力资源和社会保障行政部门（以下简称人力社保行政部门）在办理拒不支付劳动报酬案件时，用人单位或者个人具有《最人民法院关于审理拒不支付劳动报酬刑事案件适用法律若干问题的解释》第二条</w:t>
      </w:r>
      <w:r>
        <w:rPr>
          <w:rFonts w:ascii="仿宋_GB2312" w:eastAsia="仿宋_GB2312" w:cs="宋体" w:hint="eastAsia"/>
          <w:color w:val="000000"/>
          <w:kern w:val="0"/>
          <w:sz w:val="28"/>
          <w:szCs w:val="28"/>
        </w:rPr>
        <w:t>情形之一</w:t>
      </w:r>
      <w:r>
        <w:rPr>
          <w:rFonts w:ascii="仿宋_GB2312" w:eastAsia="仿宋_GB2312" w:cs="宋体" w:hint="eastAsia"/>
          <w:color w:val="000000"/>
          <w:spacing w:val="-32"/>
          <w:kern w:val="0"/>
          <w:sz w:val="28"/>
          <w:szCs w:val="28"/>
        </w:rPr>
        <w:t>，</w:t>
      </w:r>
      <w:r>
        <w:rPr>
          <w:rFonts w:ascii="仿宋_GB2312" w:eastAsia="仿宋_GB2312" w:hint="eastAsia"/>
          <w:sz w:val="28"/>
          <w:szCs w:val="28"/>
        </w:rPr>
        <w:t>且拒不支付的劳动报酬数额达到第三条规定的标准，</w:t>
      </w:r>
      <w:r>
        <w:rPr>
          <w:rFonts w:ascii="仿宋_GB2312" w:eastAsia="仿宋_GB2312" w:cs="宋体" w:hint="eastAsia"/>
          <w:color w:val="000000"/>
          <w:kern w:val="0"/>
          <w:sz w:val="28"/>
          <w:szCs w:val="28"/>
        </w:rPr>
        <w:t>经人力社保行政部门责令支付仍不支付劳动报酬的</w:t>
      </w:r>
      <w:r>
        <w:rPr>
          <w:rFonts w:ascii="仿宋_GB2312" w:eastAsia="仿宋_GB2312" w:hint="eastAsia"/>
          <w:sz w:val="28"/>
          <w:szCs w:val="28"/>
        </w:rPr>
        <w:t>，移送同级公安部门。</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第三条 对于拟移送的案件，人力社保行政部门主管负责人在收到《涉嫌犯罪案件调查报告》3日内作出是否批准移送决定。决定批准的，应当在24小时内向同级公安部门移送。移送公安部门时抄送同级人民检察院。</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第四条 案件移送时应当附有下列材料：</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（一）涉嫌犯罪案件移送书； </w:t>
      </w:r>
    </w:p>
    <w:p w:rsidR="00BF6F88" w:rsidRDefault="00BF6F88" w:rsidP="00BF6F88">
      <w:pPr>
        <w:rPr>
          <w:rFonts w:ascii="仿宋_GB2312" w:eastAsia="仿宋_GB2312" w:hint="eastAsia"/>
          <w:sz w:val="28"/>
          <w:szCs w:val="28"/>
        </w:rPr>
      </w:pPr>
      <w:r>
        <w:rPr>
          <w:rFonts w:ascii="仿宋_GB2312" w:eastAsia="仿宋_GB2312" w:hint="eastAsia"/>
          <w:sz w:val="28"/>
          <w:szCs w:val="28"/>
        </w:rPr>
        <w:lastRenderedPageBreak/>
        <w:t xml:space="preserve">   （二）涉嫌犯罪案件调查报告；</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（三）案件卷宗及涉案物品清单；</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（四）有关的检验报告或者鉴定结论；</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（五）其他有关的涉嫌犯罪材料。</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第五条 对于公安部门决定立案的案件，人力社保行政部门自接到《立案通知书》之日起3日内将涉案物品以及与案件有关材料移送公安机关，并办理交接手续；法律、行政法规另有规定明确要求取证材料原件归档管理的，依照其规定办理，可移送经核实无误的材料复印件。</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案件移送完成后，人力社保行政部门应配合公安部门的相应调查取证工作。</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第六条 公安机关决定不予立案的案件，人力社保行政部门应继续履行行政程序。</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第七条 各区（县）人力社保行政部门对于移送公安部门的案件，应同时填写《拒不支付劳动报酬案件报备表》报市人力社保行政部门备案。</w:t>
      </w:r>
    </w:p>
    <w:p w:rsidR="00BF6F88" w:rsidRDefault="00BF6F88" w:rsidP="00BF6F88">
      <w:pPr>
        <w:rPr>
          <w:rFonts w:ascii="仿宋_GB2312" w:eastAsia="仿宋_GB2312" w:hAnsi="Arial" w:cs="Arial" w:hint="eastAsia"/>
          <w:color w:val="000000"/>
          <w:sz w:val="28"/>
          <w:szCs w:val="28"/>
        </w:rPr>
      </w:pPr>
      <w:r>
        <w:rPr>
          <w:rFonts w:ascii="仿宋_GB2312" w:eastAsia="仿宋_GB2312" w:hint="eastAsia"/>
          <w:sz w:val="28"/>
          <w:szCs w:val="28"/>
        </w:rPr>
        <w:t xml:space="preserve">    </w:t>
      </w:r>
    </w:p>
    <w:p w:rsidR="00BF6F88" w:rsidRDefault="00BF6F88" w:rsidP="00BF6F88">
      <w:pPr>
        <w:rPr>
          <w:rFonts w:ascii="仿宋_GB2312" w:eastAsia="仿宋_GB2312" w:hint="eastAsia"/>
          <w:sz w:val="28"/>
          <w:szCs w:val="28"/>
        </w:rPr>
      </w:pPr>
      <w:r>
        <w:rPr>
          <w:rFonts w:ascii="仿宋_GB2312" w:eastAsia="仿宋_GB2312" w:hint="eastAsia"/>
          <w:sz w:val="28"/>
          <w:szCs w:val="28"/>
        </w:rPr>
        <w:t xml:space="preserve">　　</w:t>
      </w:r>
    </w:p>
    <w:p w:rsidR="00BF6F88" w:rsidRDefault="00BF6F88" w:rsidP="00BF6F88">
      <w:pPr>
        <w:rPr>
          <w:rFonts w:ascii="仿宋_GB2312" w:eastAsia="仿宋_GB2312" w:hint="eastAsia"/>
          <w:sz w:val="28"/>
          <w:szCs w:val="28"/>
        </w:rPr>
      </w:pPr>
    </w:p>
    <w:p w:rsidR="00BF6F88" w:rsidRDefault="00BF6F88" w:rsidP="00BF6F88">
      <w:pPr>
        <w:rPr>
          <w:rFonts w:ascii="仿宋_GB2312" w:eastAsia="仿宋_GB2312" w:hint="eastAsia"/>
          <w:sz w:val="28"/>
          <w:szCs w:val="28"/>
        </w:rPr>
      </w:pPr>
    </w:p>
    <w:p w:rsidR="00BF6F88" w:rsidRDefault="00BF6F88" w:rsidP="00BF6F88">
      <w:pPr>
        <w:rPr>
          <w:rFonts w:ascii="仿宋_GB2312" w:eastAsia="仿宋_GB2312" w:hint="eastAsia"/>
          <w:sz w:val="28"/>
          <w:szCs w:val="28"/>
        </w:rPr>
      </w:pPr>
    </w:p>
    <w:p w:rsidR="00BF6F88" w:rsidRDefault="00BF6F88" w:rsidP="00BF6F88">
      <w:pPr>
        <w:rPr>
          <w:rFonts w:ascii="仿宋_GB2312" w:eastAsia="仿宋_GB2312" w:hint="eastAsia"/>
          <w:sz w:val="28"/>
          <w:szCs w:val="28"/>
        </w:rPr>
      </w:pPr>
    </w:p>
    <w:p w:rsidR="00BF6F88" w:rsidRDefault="00BF6F88" w:rsidP="00BF6F88">
      <w:pPr>
        <w:jc w:val="left"/>
        <w:rPr>
          <w:rFonts w:ascii="黑体" w:eastAsia="黑体" w:hAnsi="宋体" w:hint="eastAsia"/>
          <w:sz w:val="28"/>
          <w:szCs w:val="28"/>
        </w:rPr>
      </w:pPr>
      <w:r>
        <w:rPr>
          <w:rFonts w:ascii="黑体" w:eastAsia="黑体" w:hAnsi="宋体" w:hint="eastAsia"/>
          <w:sz w:val="28"/>
          <w:szCs w:val="28"/>
        </w:rPr>
        <w:t>附件2</w:t>
      </w:r>
    </w:p>
    <w:p w:rsidR="00BF6F88" w:rsidRDefault="00BF6F88" w:rsidP="00BF6F88">
      <w:pPr>
        <w:jc w:val="center"/>
        <w:rPr>
          <w:rFonts w:ascii="宋体" w:hAnsi="宋体" w:hint="eastAsia"/>
          <w:b/>
          <w:sz w:val="44"/>
          <w:szCs w:val="44"/>
        </w:rPr>
      </w:pPr>
      <w:r>
        <w:rPr>
          <w:rFonts w:ascii="宋体" w:hAnsi="宋体" w:hint="eastAsia"/>
          <w:b/>
          <w:sz w:val="44"/>
          <w:szCs w:val="44"/>
        </w:rPr>
        <w:t>拒不支付劳动报酬案件报备表</w:t>
      </w:r>
    </w:p>
    <w:p w:rsidR="00BF6F88" w:rsidRDefault="00BF6F88" w:rsidP="00BF6F88">
      <w:pPr>
        <w:jc w:val="center"/>
        <w:rPr>
          <w:rFonts w:ascii="宋体" w:hAnsi="宋体" w:hint="eastAsia"/>
          <w:b/>
          <w:sz w:val="32"/>
          <w:szCs w:val="32"/>
        </w:rPr>
      </w:pPr>
    </w:p>
    <w:p w:rsidR="00BF6F88" w:rsidRDefault="00BF6F88" w:rsidP="00BF6F88">
      <w:pPr>
        <w:jc w:val="center"/>
        <w:rPr>
          <w:rFonts w:ascii="宋体" w:hAnsi="宋体"/>
          <w:b/>
          <w:sz w:val="32"/>
          <w:szCs w:val="32"/>
        </w:rPr>
      </w:pPr>
      <w:r>
        <w:rPr>
          <w:rFonts w:ascii="仿宋_GB2312" w:eastAsia="仿宋_GB2312" w:hint="eastAsia"/>
          <w:sz w:val="28"/>
          <w:szCs w:val="28"/>
        </w:rPr>
        <w:t>填表单位：（公章）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7632"/>
      </w:tblGrid>
      <w:tr w:rsidR="00BF6F88" w:rsidTr="004F1E6F">
        <w:trPr>
          <w:cantSplit/>
          <w:trHeight w:hRule="exact" w:val="1474"/>
          <w:jc w:val="center"/>
        </w:trPr>
        <w:tc>
          <w:tcPr>
            <w:tcW w:w="890" w:type="dxa"/>
            <w:vMerge w:val="restart"/>
          </w:tcPr>
          <w:p w:rsidR="00BF6F88" w:rsidRDefault="00BF6F88" w:rsidP="004F1E6F">
            <w:pPr>
              <w:spacing w:line="460" w:lineRule="exact"/>
              <w:jc w:val="center"/>
              <w:rPr>
                <w:rFonts w:ascii="仿宋_GB2312" w:eastAsia="仿宋_GB2312" w:hint="eastAsia"/>
                <w:sz w:val="24"/>
              </w:rPr>
            </w:pPr>
          </w:p>
          <w:p w:rsidR="00BF6F88" w:rsidRDefault="00BF6F88" w:rsidP="004F1E6F">
            <w:pPr>
              <w:spacing w:line="460" w:lineRule="exact"/>
              <w:jc w:val="center"/>
              <w:rPr>
                <w:rFonts w:ascii="仿宋_GB2312" w:eastAsia="仿宋_GB2312" w:hint="eastAsia"/>
                <w:sz w:val="24"/>
              </w:rPr>
            </w:pPr>
          </w:p>
          <w:p w:rsidR="00BF6F88" w:rsidRDefault="00BF6F88" w:rsidP="004F1E6F">
            <w:pPr>
              <w:spacing w:line="460" w:lineRule="exact"/>
              <w:jc w:val="center"/>
              <w:rPr>
                <w:rFonts w:ascii="仿宋_GB2312" w:eastAsia="仿宋_GB2312" w:hint="eastAsia"/>
                <w:sz w:val="24"/>
              </w:rPr>
            </w:pPr>
            <w:r>
              <w:rPr>
                <w:rFonts w:ascii="仿宋_GB2312" w:eastAsia="仿宋_GB2312" w:hint="eastAsia"/>
                <w:sz w:val="24"/>
              </w:rPr>
              <w:t>涉嫌犯罪主体</w:t>
            </w:r>
          </w:p>
          <w:p w:rsidR="00BF6F88" w:rsidRDefault="00BF6F88" w:rsidP="004F1E6F">
            <w:pPr>
              <w:spacing w:line="460" w:lineRule="exact"/>
              <w:jc w:val="center"/>
              <w:rPr>
                <w:rFonts w:ascii="仿宋_GB2312" w:eastAsia="仿宋_GB2312" w:hint="eastAsia"/>
                <w:sz w:val="24"/>
              </w:rPr>
            </w:pPr>
            <w:r>
              <w:rPr>
                <w:rFonts w:ascii="仿宋_GB2312" w:eastAsia="仿宋_GB2312" w:hint="eastAsia"/>
                <w:sz w:val="24"/>
              </w:rPr>
              <w:t>情况</w:t>
            </w:r>
          </w:p>
        </w:tc>
        <w:tc>
          <w:tcPr>
            <w:tcW w:w="7632" w:type="dxa"/>
          </w:tcPr>
          <w:p w:rsidR="00BF6F88" w:rsidRDefault="00BF6F88" w:rsidP="004F1E6F">
            <w:pPr>
              <w:spacing w:line="470" w:lineRule="exact"/>
              <w:rPr>
                <w:rFonts w:ascii="仿宋_GB2312" w:eastAsia="仿宋_GB2312" w:hint="eastAsia"/>
                <w:sz w:val="24"/>
              </w:rPr>
            </w:pPr>
            <w:r>
              <w:rPr>
                <w:rFonts w:ascii="仿宋_GB2312" w:eastAsia="仿宋_GB2312" w:hint="eastAsia"/>
                <w:sz w:val="24"/>
              </w:rPr>
              <w:t xml:space="preserve">单位名称：                           类型：       </w:t>
            </w:r>
          </w:p>
          <w:p w:rsidR="00BF6F88" w:rsidRDefault="00BF6F88" w:rsidP="004F1E6F">
            <w:pPr>
              <w:spacing w:line="470" w:lineRule="exact"/>
              <w:rPr>
                <w:rFonts w:ascii="仿宋_GB2312" w:eastAsia="仿宋_GB2312" w:hint="eastAsia"/>
                <w:sz w:val="24"/>
              </w:rPr>
            </w:pPr>
            <w:r>
              <w:rPr>
                <w:rFonts w:ascii="仿宋_GB2312" w:eastAsia="仿宋_GB2312" w:hint="eastAsia"/>
                <w:sz w:val="24"/>
              </w:rPr>
              <w:t xml:space="preserve">单位注册地址：                                   </w:t>
            </w:r>
          </w:p>
          <w:p w:rsidR="00BF6F88" w:rsidRDefault="00BF6F88" w:rsidP="004F1E6F">
            <w:pPr>
              <w:spacing w:line="470" w:lineRule="exact"/>
              <w:rPr>
                <w:rFonts w:ascii="仿宋_GB2312" w:eastAsia="仿宋_GB2312" w:hint="eastAsia"/>
                <w:sz w:val="24"/>
              </w:rPr>
            </w:pPr>
            <w:r>
              <w:rPr>
                <w:rFonts w:ascii="仿宋_GB2312" w:eastAsia="仿宋_GB2312" w:hint="eastAsia"/>
                <w:sz w:val="24"/>
              </w:rPr>
              <w:t>单位经营地址：</w:t>
            </w:r>
          </w:p>
        </w:tc>
      </w:tr>
      <w:tr w:rsidR="00BF6F88" w:rsidTr="004F1E6F">
        <w:trPr>
          <w:cantSplit/>
          <w:trHeight w:hRule="exact" w:val="1964"/>
          <w:jc w:val="center"/>
        </w:trPr>
        <w:tc>
          <w:tcPr>
            <w:tcW w:w="890" w:type="dxa"/>
            <w:vMerge/>
          </w:tcPr>
          <w:p w:rsidR="00BF6F88" w:rsidRDefault="00BF6F88" w:rsidP="004F1E6F">
            <w:pPr>
              <w:spacing w:line="460" w:lineRule="exact"/>
              <w:rPr>
                <w:rFonts w:ascii="仿宋_GB2312" w:eastAsia="仿宋_GB2312" w:hint="eastAsia"/>
                <w:sz w:val="24"/>
              </w:rPr>
            </w:pPr>
          </w:p>
        </w:tc>
        <w:tc>
          <w:tcPr>
            <w:tcW w:w="7632" w:type="dxa"/>
          </w:tcPr>
          <w:p w:rsidR="00BF6F88" w:rsidRDefault="00BF6F88" w:rsidP="004F1E6F">
            <w:pPr>
              <w:spacing w:line="470" w:lineRule="exact"/>
              <w:rPr>
                <w:rFonts w:ascii="仿宋_GB2312" w:eastAsia="仿宋_GB2312" w:hint="eastAsia"/>
                <w:sz w:val="24"/>
              </w:rPr>
            </w:pPr>
            <w:r>
              <w:rPr>
                <w:rFonts w:ascii="仿宋_GB2312" w:eastAsia="仿宋_GB2312" w:hint="eastAsia"/>
                <w:sz w:val="24"/>
              </w:rPr>
              <w:t xml:space="preserve">当事人姓名：       性别：  身份证号码：                 </w:t>
            </w:r>
          </w:p>
          <w:p w:rsidR="00BF6F88" w:rsidRDefault="00BF6F88" w:rsidP="004F1E6F">
            <w:pPr>
              <w:spacing w:line="470" w:lineRule="exact"/>
              <w:rPr>
                <w:rFonts w:ascii="仿宋_GB2312" w:eastAsia="仿宋_GB2312" w:hint="eastAsia"/>
                <w:sz w:val="24"/>
              </w:rPr>
            </w:pPr>
            <w:r>
              <w:rPr>
                <w:rFonts w:ascii="仿宋_GB2312" w:eastAsia="仿宋_GB2312" w:hint="eastAsia"/>
                <w:sz w:val="24"/>
              </w:rPr>
              <w:t>工作单位：                               职务：</w:t>
            </w:r>
          </w:p>
          <w:p w:rsidR="00BF6F88" w:rsidRDefault="00BF6F88" w:rsidP="004F1E6F">
            <w:pPr>
              <w:spacing w:line="470" w:lineRule="exact"/>
              <w:rPr>
                <w:rFonts w:ascii="仿宋_GB2312" w:eastAsia="仿宋_GB2312" w:hint="eastAsia"/>
                <w:sz w:val="24"/>
              </w:rPr>
            </w:pPr>
            <w:r>
              <w:rPr>
                <w:rFonts w:ascii="仿宋_GB2312" w:eastAsia="仿宋_GB2312" w:hint="eastAsia"/>
                <w:sz w:val="24"/>
              </w:rPr>
              <w:t>家庭地址：                               联系电话：</w:t>
            </w:r>
          </w:p>
          <w:p w:rsidR="00BF6F88" w:rsidRDefault="00BF6F88" w:rsidP="004F1E6F">
            <w:pPr>
              <w:spacing w:line="470" w:lineRule="exact"/>
              <w:rPr>
                <w:rFonts w:ascii="仿宋_GB2312" w:eastAsia="仿宋_GB2312" w:hint="eastAsia"/>
                <w:sz w:val="24"/>
              </w:rPr>
            </w:pPr>
            <w:r>
              <w:rPr>
                <w:rFonts w:ascii="仿宋_GB2312" w:eastAsia="仿宋_GB2312" w:hint="eastAsia"/>
                <w:sz w:val="24"/>
              </w:rPr>
              <w:t>常住地址：</w:t>
            </w:r>
          </w:p>
        </w:tc>
      </w:tr>
      <w:tr w:rsidR="00BF6F88" w:rsidTr="004F1E6F">
        <w:trPr>
          <w:trHeight w:hRule="exact" w:val="5289"/>
          <w:jc w:val="center"/>
        </w:trPr>
        <w:tc>
          <w:tcPr>
            <w:tcW w:w="890" w:type="dxa"/>
            <w:vAlign w:val="center"/>
          </w:tcPr>
          <w:p w:rsidR="00BF6F88" w:rsidRDefault="00BF6F88" w:rsidP="004F1E6F">
            <w:pPr>
              <w:spacing w:line="460" w:lineRule="exact"/>
              <w:jc w:val="center"/>
              <w:rPr>
                <w:rFonts w:ascii="仿宋_GB2312" w:eastAsia="仿宋_GB2312" w:hint="eastAsia"/>
                <w:sz w:val="24"/>
              </w:rPr>
            </w:pPr>
            <w:r>
              <w:rPr>
                <w:rFonts w:ascii="仿宋_GB2312" w:eastAsia="仿宋_GB2312" w:hint="eastAsia"/>
                <w:sz w:val="24"/>
              </w:rPr>
              <w:t>案情介绍</w:t>
            </w:r>
          </w:p>
          <w:p w:rsidR="00BF6F88" w:rsidRDefault="00BF6F88" w:rsidP="004F1E6F">
            <w:pPr>
              <w:rPr>
                <w:sz w:val="24"/>
              </w:rPr>
            </w:pPr>
          </w:p>
          <w:p w:rsidR="00BF6F88" w:rsidRDefault="00BF6F88" w:rsidP="004F1E6F">
            <w:pPr>
              <w:rPr>
                <w:rFonts w:hint="eastAsia"/>
                <w:sz w:val="24"/>
              </w:rPr>
            </w:pPr>
          </w:p>
        </w:tc>
        <w:tc>
          <w:tcPr>
            <w:tcW w:w="7632" w:type="dxa"/>
          </w:tcPr>
          <w:p w:rsidR="00BF6F88" w:rsidRDefault="00BF6F88" w:rsidP="004F1E6F">
            <w:pPr>
              <w:rPr>
                <w:rFonts w:hint="eastAsia"/>
                <w:sz w:val="24"/>
              </w:rPr>
            </w:pPr>
          </w:p>
        </w:tc>
      </w:tr>
      <w:tr w:rsidR="00BF6F88" w:rsidTr="004F1E6F">
        <w:trPr>
          <w:trHeight w:hRule="exact" w:val="2030"/>
          <w:jc w:val="center"/>
        </w:trPr>
        <w:tc>
          <w:tcPr>
            <w:tcW w:w="890" w:type="dxa"/>
            <w:vAlign w:val="center"/>
          </w:tcPr>
          <w:p w:rsidR="00BF6F88" w:rsidRDefault="00BF6F88" w:rsidP="004F1E6F">
            <w:pPr>
              <w:spacing w:line="460" w:lineRule="exact"/>
              <w:jc w:val="center"/>
              <w:rPr>
                <w:rFonts w:ascii="仿宋_GB2312" w:eastAsia="仿宋_GB2312" w:hint="eastAsia"/>
                <w:sz w:val="24"/>
              </w:rPr>
            </w:pPr>
            <w:r>
              <w:rPr>
                <w:rFonts w:ascii="仿宋_GB2312" w:eastAsia="仿宋_GB2312" w:hint="eastAsia"/>
                <w:sz w:val="24"/>
              </w:rPr>
              <w:lastRenderedPageBreak/>
              <w:t>备注</w:t>
            </w:r>
          </w:p>
        </w:tc>
        <w:tc>
          <w:tcPr>
            <w:tcW w:w="7632" w:type="dxa"/>
          </w:tcPr>
          <w:p w:rsidR="00BF6F88" w:rsidRDefault="00BF6F88" w:rsidP="004F1E6F">
            <w:pPr>
              <w:rPr>
                <w:rFonts w:hint="eastAsia"/>
                <w:sz w:val="24"/>
              </w:rPr>
            </w:pPr>
          </w:p>
          <w:p w:rsidR="00BF6F88" w:rsidRDefault="00BF6F88" w:rsidP="004F1E6F">
            <w:pPr>
              <w:rPr>
                <w:rFonts w:ascii="仿宋_GB2312" w:eastAsia="仿宋_GB2312" w:hint="eastAsia"/>
                <w:sz w:val="24"/>
              </w:rPr>
            </w:pPr>
            <w:r>
              <w:rPr>
                <w:rFonts w:ascii="仿宋_GB2312" w:eastAsia="仿宋_GB2312" w:hint="eastAsia"/>
                <w:sz w:val="24"/>
              </w:rPr>
              <w:t>报送人：                                联系电话：</w:t>
            </w:r>
          </w:p>
          <w:p w:rsidR="00BF6F88" w:rsidRDefault="00BF6F88" w:rsidP="004F1E6F">
            <w:pPr>
              <w:rPr>
                <w:rFonts w:hint="eastAsia"/>
                <w:sz w:val="24"/>
              </w:rPr>
            </w:pPr>
          </w:p>
        </w:tc>
      </w:tr>
    </w:tbl>
    <w:p w:rsidR="00BF6F88" w:rsidRDefault="00BF6F88" w:rsidP="00BF6F88">
      <w:pPr>
        <w:jc w:val="center"/>
        <w:rPr>
          <w:rFonts w:ascii="宋体" w:hAnsi="宋体" w:hint="eastAsia"/>
          <w:b/>
          <w:sz w:val="36"/>
          <w:szCs w:val="36"/>
        </w:rPr>
      </w:pPr>
      <w:r>
        <w:rPr>
          <w:rFonts w:ascii="宋体" w:hAnsi="宋体" w:hint="eastAsia"/>
          <w:b/>
          <w:sz w:val="36"/>
          <w:szCs w:val="36"/>
        </w:rPr>
        <w:t>“拒不支付劳动报酬案件报备表”栏目填写说明</w:t>
      </w:r>
    </w:p>
    <w:p w:rsidR="00BF6F88" w:rsidRDefault="00BF6F88" w:rsidP="00BF6F88">
      <w:pPr>
        <w:ind w:firstLineChars="200" w:firstLine="560"/>
        <w:rPr>
          <w:rFonts w:ascii="仿宋_GB2312" w:eastAsia="仿宋_GB2312" w:hint="eastAsia"/>
          <w:sz w:val="28"/>
          <w:szCs w:val="28"/>
        </w:rPr>
      </w:pP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填表单位：各区县劳动监察科（队）。</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时间：填表时间。</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涉嫌犯罪主体情况：</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用人单位涉嫌犯罪的，主体情况两栏都要填写；</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自然人涉嫌犯罪的只填写下栏。</w:t>
      </w:r>
    </w:p>
    <w:p w:rsidR="00BF6F88" w:rsidRDefault="00BF6F88" w:rsidP="00BF6F88">
      <w:pPr>
        <w:ind w:firstLineChars="200" w:firstLine="560"/>
        <w:rPr>
          <w:rFonts w:ascii="仿宋_GB2312" w:eastAsia="仿宋_GB2312" w:hint="eastAsia"/>
          <w:sz w:val="28"/>
          <w:szCs w:val="28"/>
        </w:rPr>
      </w:pPr>
      <w:r>
        <w:rPr>
          <w:rFonts w:ascii="仿宋_GB2312" w:eastAsia="仿宋_GB2312" w:hint="eastAsia"/>
          <w:sz w:val="28"/>
          <w:szCs w:val="28"/>
        </w:rPr>
        <w:t>案情介绍：案件发生时间、地点、涉及人数、涉及金额；证据名称；涉嫌犯罪情节。</w:t>
      </w:r>
    </w:p>
    <w:p w:rsidR="00BF6F88" w:rsidRDefault="00BF6F88" w:rsidP="00BF6F88">
      <w:pPr>
        <w:rPr>
          <w:rFonts w:hint="eastAsia"/>
        </w:rPr>
      </w:pPr>
      <w:r>
        <w:rPr>
          <w:rFonts w:ascii="仿宋_GB2312" w:eastAsia="仿宋_GB2312" w:hint="eastAsia"/>
          <w:sz w:val="28"/>
          <w:szCs w:val="28"/>
        </w:rPr>
        <w:t xml:space="preserve">    联系方式：联系人为案件查办首席监察员；联系电话为办公电话及个人移动电话。</w:t>
      </w:r>
    </w:p>
    <w:p w:rsidR="00317594" w:rsidRPr="00BF6F88" w:rsidRDefault="00317594"/>
    <w:sectPr w:rsidR="00317594" w:rsidRPr="00BF6F88">
      <w:footerReference w:type="even" r:id="rId6"/>
      <w:footerReference w:type="default" r:id="rId7"/>
      <w:pgSz w:w="11906" w:h="16838"/>
      <w:pgMar w:top="1797"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17D" w:rsidRDefault="008A317D" w:rsidP="00BF6F88">
      <w:r>
        <w:separator/>
      </w:r>
    </w:p>
  </w:endnote>
  <w:endnote w:type="continuationSeparator" w:id="0">
    <w:p w:rsidR="008A317D" w:rsidRDefault="008A317D" w:rsidP="00BF6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17D">
    <w:pPr>
      <w:pStyle w:val="a4"/>
      <w:framePr w:h="0" w:wrap="around" w:vAnchor="text" w:hAnchor="margin" w:xAlign="center" w:y="1"/>
      <w:rPr>
        <w:rStyle w:val="a5"/>
      </w:rPr>
    </w:pPr>
    <w:r>
      <w:fldChar w:fldCharType="begin"/>
    </w:r>
    <w:r>
      <w:rPr>
        <w:rStyle w:val="a5"/>
      </w:rPr>
      <w:instrText xml:space="preserve">PAGE  </w:instrText>
    </w:r>
    <w:r>
      <w:fldChar w:fldCharType="separate"/>
    </w:r>
    <w:r>
      <w:fldChar w:fldCharType="end"/>
    </w:r>
  </w:p>
  <w:p w:rsidR="00000000" w:rsidRDefault="008A31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17D">
    <w:pPr>
      <w:pStyle w:val="a4"/>
      <w:framePr w:h="0" w:wrap="around" w:vAnchor="text" w:hAnchor="margin" w:xAlign="center" w:y="1"/>
      <w:rPr>
        <w:rStyle w:val="a5"/>
      </w:rPr>
    </w:pPr>
    <w:r>
      <w:fldChar w:fldCharType="begin"/>
    </w:r>
    <w:r>
      <w:rPr>
        <w:rStyle w:val="a5"/>
      </w:rPr>
      <w:instrText xml:space="preserve">PAGE  </w:instrText>
    </w:r>
    <w:r>
      <w:fldChar w:fldCharType="separate"/>
    </w:r>
    <w:r w:rsidR="00BF6F88">
      <w:rPr>
        <w:rStyle w:val="a5"/>
        <w:noProof/>
      </w:rPr>
      <w:t>4</w:t>
    </w:r>
    <w:r>
      <w:fldChar w:fldCharType="end"/>
    </w:r>
  </w:p>
  <w:p w:rsidR="00000000" w:rsidRDefault="008A31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17D" w:rsidRDefault="008A317D" w:rsidP="00BF6F88">
      <w:r>
        <w:separator/>
      </w:r>
    </w:p>
  </w:footnote>
  <w:footnote w:type="continuationSeparator" w:id="0">
    <w:p w:rsidR="008A317D" w:rsidRDefault="008A317D" w:rsidP="00BF6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F88"/>
    <w:rsid w:val="00317594"/>
    <w:rsid w:val="008A317D"/>
    <w:rsid w:val="00BF6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F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6F88"/>
    <w:rPr>
      <w:sz w:val="18"/>
      <w:szCs w:val="18"/>
    </w:rPr>
  </w:style>
  <w:style w:type="paragraph" w:styleId="a4">
    <w:name w:val="footer"/>
    <w:basedOn w:val="a"/>
    <w:link w:val="Char0"/>
    <w:unhideWhenUsed/>
    <w:rsid w:val="00BF6F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6F88"/>
    <w:rPr>
      <w:sz w:val="18"/>
      <w:szCs w:val="18"/>
    </w:rPr>
  </w:style>
  <w:style w:type="character" w:styleId="a5">
    <w:name w:val="page number"/>
    <w:basedOn w:val="a0"/>
    <w:rsid w:val="00BF6F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2016-12-17T06:50:00Z</dcterms:created>
  <dcterms:modified xsi:type="dcterms:W3CDTF">2016-12-17T06:50:00Z</dcterms:modified>
</cp:coreProperties>
</file>