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240" w:lineRule="auto"/>
        <w:ind w:right="0" w:rightChars="0"/>
        <w:rPr>
          <w:rFonts w:hint="eastAsia" w:ascii="宋体" w:hAnsi="宋体" w:eastAsia="仿宋_GB2312"/>
          <w:b w:val="0"/>
          <w:bCs w:val="0"/>
          <w:color w:val="000000"/>
          <w:sz w:val="22"/>
          <w:szCs w:val="22"/>
        </w:rPr>
      </w:pPr>
      <w:bookmarkStart w:id="0" w:name="_GoBack"/>
      <w:bookmarkEnd w:id="0"/>
      <w:r>
        <w:rPr>
          <w:rFonts w:hint="eastAsia" w:ascii="宋体" w:hAnsi="宋体" w:eastAsia="仿宋_GB2312"/>
          <w:b w:val="0"/>
          <w:bCs w:val="0"/>
          <w:color w:val="000000"/>
          <w:sz w:val="22"/>
          <w:szCs w:val="22"/>
        </w:rPr>
        <w:t>BF—20</w:t>
      </w:r>
      <w:r>
        <w:rPr>
          <w:rFonts w:hint="eastAsia" w:ascii="宋体" w:hAnsi="宋体" w:eastAsia="仿宋_GB2312"/>
          <w:b w:val="0"/>
          <w:bCs w:val="0"/>
          <w:color w:val="000000"/>
          <w:sz w:val="22"/>
          <w:szCs w:val="22"/>
          <w:lang w:val="en-US" w:eastAsia="zh-CN"/>
        </w:rPr>
        <w:t>20</w:t>
      </w:r>
      <w:r>
        <w:rPr>
          <w:rFonts w:hint="eastAsia" w:ascii="宋体" w:hAnsi="宋体" w:eastAsia="仿宋_GB2312"/>
          <w:b w:val="0"/>
          <w:bCs w:val="0"/>
          <w:color w:val="000000"/>
          <w:sz w:val="22"/>
          <w:szCs w:val="22"/>
        </w:rPr>
        <w:t>—050</w:t>
      </w:r>
      <w:r>
        <w:rPr>
          <w:rFonts w:hint="eastAsia" w:ascii="宋体" w:hAnsi="宋体" w:eastAsia="仿宋_GB2312"/>
          <w:b w:val="0"/>
          <w:bCs w:val="0"/>
          <w:color w:val="000000"/>
          <w:sz w:val="22"/>
          <w:szCs w:val="22"/>
          <w:lang w:val="en-US" w:eastAsia="zh-CN"/>
        </w:rPr>
        <w:t>6</w:t>
      </w:r>
      <w:r>
        <w:rPr>
          <w:rFonts w:hint="eastAsia" w:ascii="宋体" w:hAnsi="宋体" w:eastAsia="仿宋_GB2312"/>
          <w:b w:val="0"/>
          <w:bCs w:val="0"/>
          <w:color w:val="auto"/>
          <w:sz w:val="22"/>
          <w:szCs w:val="22"/>
          <w:highlight w:val="none"/>
        </w:rPr>
        <w:t xml:space="preserve">              </w:t>
      </w:r>
      <w:r>
        <w:rPr>
          <w:rFonts w:hint="eastAsia" w:ascii="宋体" w:hAnsi="宋体" w:eastAsia="仿宋_GB2312"/>
          <w:b w:val="0"/>
          <w:bCs w:val="0"/>
          <w:color w:val="auto"/>
          <w:sz w:val="22"/>
          <w:szCs w:val="22"/>
          <w:highlight w:val="none"/>
          <w:lang w:val="en-US" w:eastAsia="zh-CN"/>
        </w:rPr>
        <w:t xml:space="preserve">      </w:t>
      </w:r>
      <w:r>
        <w:rPr>
          <w:rFonts w:hint="eastAsia" w:ascii="宋体" w:hAnsi="宋体" w:eastAsia="仿宋_GB2312"/>
          <w:b w:val="0"/>
          <w:bCs w:val="0"/>
          <w:color w:val="auto"/>
          <w:sz w:val="22"/>
          <w:szCs w:val="22"/>
          <w:highlight w:val="none"/>
        </w:rPr>
        <w:t xml:space="preserve"> </w:t>
      </w:r>
      <w:r>
        <w:rPr>
          <w:rFonts w:hint="eastAsia"/>
          <w:b w:val="0"/>
          <w:bCs w:val="0"/>
          <w:color w:val="auto"/>
          <w:sz w:val="22"/>
          <w:szCs w:val="22"/>
          <w:highlight w:val="none"/>
          <w:lang w:val="en-US" w:eastAsia="zh-CN"/>
        </w:rPr>
        <w:t xml:space="preserve">                                     </w:t>
      </w:r>
      <w:r>
        <w:rPr>
          <w:rFonts w:hint="eastAsia" w:ascii="宋体" w:hAnsi="宋体" w:eastAsia="仿宋_GB2312"/>
          <w:b w:val="0"/>
          <w:bCs w:val="0"/>
          <w:color w:val="000000"/>
          <w:sz w:val="22"/>
          <w:szCs w:val="22"/>
        </w:rPr>
        <w:t>合同编号：</w:t>
      </w:r>
    </w:p>
    <w:p>
      <w:pPr>
        <w:keepNext w:val="0"/>
        <w:keepLines w:val="0"/>
        <w:pageBreakBefore w:val="0"/>
        <w:kinsoku/>
        <w:wordWrap/>
        <w:overflowPunct/>
        <w:topLinePunct w:val="0"/>
        <w:autoSpaceDE/>
        <w:autoSpaceDN/>
        <w:bidi w:val="0"/>
        <w:adjustRightInd w:val="0"/>
        <w:snapToGrid w:val="0"/>
        <w:spacing w:line="240" w:lineRule="auto"/>
        <w:ind w:right="0" w:rightChars="0"/>
        <w:jc w:val="center"/>
        <w:outlineLvl w:val="9"/>
        <w:rPr>
          <w:rFonts w:hint="eastAsia" w:ascii="宋体" w:hAnsi="宋体" w:eastAsia="仿宋_GB2312" w:cs="Arial"/>
          <w:b w:val="0"/>
          <w:bCs w:val="0"/>
          <w:kern w:val="0"/>
          <w:sz w:val="22"/>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方正小标宋简体" w:cs="方正小标宋简体"/>
          <w:b w:val="0"/>
          <w:bCs w:val="0"/>
          <w:sz w:val="32"/>
          <w:szCs w:val="32"/>
        </w:rPr>
      </w:pPr>
      <w:r>
        <w:rPr>
          <w:rFonts w:hint="eastAsia" w:ascii="宋体" w:hAnsi="宋体" w:eastAsia="方正小标宋简体" w:cs="方正小标宋简体"/>
          <w:b w:val="0"/>
          <w:bCs w:val="0"/>
          <w:kern w:val="0"/>
          <w:sz w:val="32"/>
          <w:szCs w:val="32"/>
        </w:rPr>
        <w:t>北京市居民天然气</w:t>
      </w:r>
      <w:r>
        <w:rPr>
          <w:rFonts w:hint="eastAsia" w:ascii="宋体" w:hAnsi="宋体" w:eastAsia="方正小标宋简体" w:cs="方正小标宋简体"/>
          <w:b w:val="0"/>
          <w:bCs w:val="0"/>
          <w:kern w:val="0"/>
          <w:sz w:val="32"/>
          <w:szCs w:val="32"/>
          <w:lang w:eastAsia="zh-CN"/>
        </w:rPr>
        <w:t>供用</w:t>
      </w:r>
      <w:r>
        <w:rPr>
          <w:rFonts w:hint="eastAsia" w:ascii="宋体" w:hAnsi="宋体" w:eastAsia="方正小标宋简体" w:cs="方正小标宋简体"/>
          <w:b w:val="0"/>
          <w:bCs w:val="0"/>
          <w:kern w:val="0"/>
          <w:sz w:val="32"/>
          <w:szCs w:val="32"/>
        </w:rPr>
        <w:t>合同</w:t>
      </w:r>
    </w:p>
    <w:p>
      <w:pPr>
        <w:keepNext w:val="0"/>
        <w:keepLines w:val="0"/>
        <w:pageBreakBefore w:val="0"/>
        <w:kinsoku/>
        <w:wordWrap/>
        <w:overflowPunct/>
        <w:topLinePunct w:val="0"/>
        <w:autoSpaceDE/>
        <w:autoSpaceDN/>
        <w:bidi w:val="0"/>
        <w:adjustRightInd w:val="0"/>
        <w:snapToGrid w:val="0"/>
        <w:spacing w:line="240" w:lineRule="auto"/>
        <w:ind w:right="0" w:rightChars="0"/>
        <w:outlineLvl w:val="9"/>
        <w:rPr>
          <w:rFonts w:hint="eastAsia" w:ascii="宋体" w:hAnsi="宋体" w:eastAsia="仿宋_GB2312"/>
          <w:b w:val="0"/>
          <w:bCs w:val="0"/>
          <w:sz w:val="22"/>
          <w:szCs w:val="16"/>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根据《民法典》、《中华人民共和国消费者权益保护法》、《北京市燃气管理条例》等国家和本市有关法律法规的规定，甲乙双方在自愿、公平和诚信的基础上，订立本合同：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黑体" w:cs="黑体"/>
          <w:b w:val="0"/>
          <w:bCs w:val="0"/>
          <w:sz w:val="22"/>
          <w:szCs w:val="22"/>
          <w:lang w:val="en-US" w:eastAsia="zh-CN"/>
        </w:rPr>
      </w:pPr>
      <w:r>
        <w:rPr>
          <w:rFonts w:hint="eastAsia" w:ascii="宋体" w:hAnsi="宋体" w:eastAsia="黑体" w:cs="黑体"/>
          <w:b w:val="0"/>
          <w:bCs w:val="0"/>
          <w:sz w:val="22"/>
          <w:szCs w:val="22"/>
          <w:lang w:val="en-US" w:eastAsia="zh-CN"/>
        </w:rPr>
        <w:t>第一条  气源种类、用气地点、室（户）内燃气燃烧器具、燃气计量表信息</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楷体" w:cs="楷体"/>
          <w:b w:val="0"/>
          <w:bCs w:val="0"/>
          <w:sz w:val="22"/>
          <w:szCs w:val="22"/>
          <w:lang w:val="en-US" w:eastAsia="zh-CN"/>
        </w:rPr>
        <w:t>1.气源种类</w:t>
      </w:r>
      <w:r>
        <w:rPr>
          <w:rFonts w:hint="eastAsia" w:ascii="宋体" w:hAnsi="宋体" w:eastAsia="仿宋_GB2312"/>
          <w:b w:val="0"/>
          <w:bCs w:val="0"/>
          <w:sz w:val="22"/>
          <w:szCs w:val="22"/>
          <w:lang w:val="en-US" w:eastAsia="zh-CN"/>
        </w:rPr>
        <w:t>：□天然气；□压缩天然气（CNG）；□液化天然气（LNG）</w:t>
      </w:r>
      <w:r>
        <w:rPr>
          <w:rFonts w:hint="eastAsia" w:ascii="宋体" w:hAnsi="宋体"/>
          <w:b w:val="0"/>
          <w:bCs w:val="0"/>
          <w:sz w:val="22"/>
          <w:szCs w:val="22"/>
          <w:lang w:val="en-US" w:eastAsia="zh-CN"/>
        </w:rPr>
        <w:t>；</w:t>
      </w:r>
      <w:r>
        <w:rPr>
          <w:rFonts w:hint="eastAsia" w:ascii="宋体" w:hAnsi="宋体" w:eastAsia="仿宋_GB2312"/>
          <w:b w:val="0"/>
          <w:bCs w:val="0"/>
          <w:sz w:val="22"/>
          <w:szCs w:val="22"/>
          <w:lang w:val="en-US" w:eastAsia="zh-CN"/>
        </w:rPr>
        <w:t>□其他</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乙方保证提供的气体质量符合国家和本市的质量标准。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u w:val="single"/>
          <w:lang w:val="en-US" w:eastAsia="zh-CN"/>
        </w:rPr>
      </w:pPr>
      <w:r>
        <w:rPr>
          <w:rFonts w:hint="eastAsia" w:ascii="宋体" w:hAnsi="宋体" w:eastAsia="楷体" w:cs="楷体"/>
          <w:b w:val="0"/>
          <w:bCs w:val="0"/>
          <w:sz w:val="22"/>
          <w:szCs w:val="22"/>
          <w:lang w:val="en-US" w:eastAsia="zh-CN"/>
        </w:rPr>
        <w:t>2.用气地点</w:t>
      </w:r>
      <w:r>
        <w:rPr>
          <w:rFonts w:hint="eastAsia" w:ascii="宋体" w:hAnsi="宋体" w:eastAsia="仿宋_GB2312"/>
          <w:b w:val="0"/>
          <w:bCs w:val="0"/>
          <w:sz w:val="22"/>
          <w:szCs w:val="22"/>
          <w:lang w:val="en-US" w:eastAsia="zh-CN"/>
        </w:rPr>
        <w:t>（地点填写到甲方楼门牌、单元、房间号或农村的院落号）：</w:t>
      </w:r>
      <w:r>
        <w:rPr>
          <w:rFonts w:hint="eastAsia" w:ascii="宋体" w:hAnsi="宋体" w:eastAsia="仿宋_GB2312"/>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u w:val="single"/>
          <w:lang w:val="en-US" w:eastAsia="zh-CN"/>
        </w:rPr>
        <w:t xml:space="preserve">  </w:t>
      </w:r>
      <w:r>
        <w:rPr>
          <w:rFonts w:hint="eastAsia"/>
          <w:b w:val="0"/>
          <w:bCs w:val="0"/>
          <w:sz w:val="22"/>
          <w:szCs w:val="22"/>
          <w:u w:val="single"/>
          <w:lang w:val="en-US" w:eastAsia="zh-CN"/>
        </w:rPr>
        <w:t xml:space="preserve">                                                </w:t>
      </w:r>
      <w:r>
        <w:rPr>
          <w:rFonts w:hint="eastAsia" w:ascii="宋体" w:hAnsi="宋体" w:eastAsia="仿宋_GB2312"/>
          <w:b w:val="0"/>
          <w:bCs w:val="0"/>
          <w:sz w:val="22"/>
          <w:szCs w:val="22"/>
          <w:u w:val="single"/>
          <w:lang w:val="en-US" w:eastAsia="zh-CN"/>
        </w:rPr>
        <w:t xml:space="preserve">                                </w:t>
      </w:r>
      <w:r>
        <w:rPr>
          <w:rFonts w:hint="eastAsia" w:ascii="宋体" w:hAnsi="宋体" w:eastAsia="仿宋_GB2312"/>
          <w:b w:val="0"/>
          <w:bCs w:val="0"/>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楷体" w:cs="楷体"/>
          <w:b w:val="0"/>
          <w:bCs w:val="0"/>
          <w:sz w:val="22"/>
          <w:szCs w:val="22"/>
          <w:lang w:val="en-US" w:eastAsia="zh-CN"/>
        </w:rPr>
        <w:t>3.燃气燃烧器具及户内安全防护装置清单</w:t>
      </w:r>
    </w:p>
    <w:tbl>
      <w:tblPr>
        <w:tblStyle w:val="6"/>
        <w:tblW w:w="998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2"/>
        <w:gridCol w:w="1259"/>
        <w:gridCol w:w="1175"/>
        <w:gridCol w:w="1442"/>
        <w:gridCol w:w="1734"/>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952" w:type="dxa"/>
            <w:tcBorders>
              <w:tl2br w:val="nil"/>
              <w:tr2bl w:val="nil"/>
            </w:tcBorders>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jc w:val="center"/>
              <w:textAlignment w:val="baseline"/>
              <w:outlineLvl w:val="9"/>
              <w:rPr>
                <w:rFonts w:hint="eastAsia" w:ascii="宋体" w:hAnsi="宋体" w:eastAsia="黑体" w:cs="黑体"/>
                <w:b w:val="0"/>
                <w:bCs w:val="0"/>
                <w:sz w:val="18"/>
                <w:szCs w:val="18"/>
              </w:rPr>
            </w:pPr>
            <w:r>
              <w:rPr>
                <w:rFonts w:hint="eastAsia" w:ascii="宋体" w:hAnsi="宋体" w:eastAsia="黑体" w:cs="黑体"/>
                <w:b w:val="0"/>
                <w:bCs w:val="0"/>
                <w:sz w:val="18"/>
                <w:szCs w:val="18"/>
              </w:rPr>
              <w:t>器具名称</w:t>
            </w:r>
          </w:p>
        </w:tc>
        <w:tc>
          <w:tcPr>
            <w:tcW w:w="1259" w:type="dxa"/>
            <w:tcBorders>
              <w:tl2br w:val="nil"/>
              <w:tr2bl w:val="nil"/>
            </w:tcBorders>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jc w:val="center"/>
              <w:textAlignment w:val="baseline"/>
              <w:outlineLvl w:val="9"/>
              <w:rPr>
                <w:rFonts w:hint="eastAsia" w:ascii="宋体" w:hAnsi="宋体" w:eastAsia="黑体" w:cs="黑体"/>
                <w:b w:val="0"/>
                <w:bCs w:val="0"/>
                <w:sz w:val="18"/>
                <w:szCs w:val="18"/>
              </w:rPr>
            </w:pPr>
            <w:r>
              <w:rPr>
                <w:rFonts w:hint="eastAsia" w:ascii="宋体" w:hAnsi="宋体" w:eastAsia="黑体" w:cs="黑体"/>
                <w:b w:val="0"/>
                <w:bCs w:val="0"/>
                <w:sz w:val="18"/>
                <w:szCs w:val="18"/>
              </w:rPr>
              <w:t>品牌</w:t>
            </w:r>
          </w:p>
        </w:tc>
        <w:tc>
          <w:tcPr>
            <w:tcW w:w="1175" w:type="dxa"/>
            <w:tcBorders>
              <w:tl2br w:val="nil"/>
              <w:tr2bl w:val="nil"/>
            </w:tcBorders>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jc w:val="center"/>
              <w:textAlignment w:val="baseline"/>
              <w:outlineLvl w:val="9"/>
              <w:rPr>
                <w:rFonts w:hint="eastAsia" w:ascii="宋体" w:hAnsi="宋体" w:eastAsia="黑体" w:cs="黑体"/>
                <w:b w:val="0"/>
                <w:bCs w:val="0"/>
                <w:sz w:val="18"/>
                <w:szCs w:val="18"/>
              </w:rPr>
            </w:pPr>
            <w:r>
              <w:rPr>
                <w:rFonts w:hint="eastAsia" w:ascii="宋体" w:hAnsi="宋体" w:eastAsia="黑体" w:cs="黑体"/>
                <w:b w:val="0"/>
                <w:bCs w:val="0"/>
                <w:sz w:val="18"/>
                <w:szCs w:val="18"/>
              </w:rPr>
              <w:t>型号</w:t>
            </w:r>
          </w:p>
        </w:tc>
        <w:tc>
          <w:tcPr>
            <w:tcW w:w="1442" w:type="dxa"/>
            <w:tcBorders>
              <w:tl2br w:val="nil"/>
              <w:tr2bl w:val="nil"/>
            </w:tcBorders>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jc w:val="center"/>
              <w:textAlignment w:val="baseline"/>
              <w:outlineLvl w:val="9"/>
              <w:rPr>
                <w:rFonts w:hint="eastAsia" w:ascii="宋体" w:hAnsi="宋体" w:eastAsia="黑体" w:cs="黑体"/>
                <w:b w:val="0"/>
                <w:bCs w:val="0"/>
                <w:sz w:val="18"/>
                <w:szCs w:val="18"/>
              </w:rPr>
            </w:pPr>
            <w:r>
              <w:rPr>
                <w:rFonts w:hint="eastAsia" w:ascii="宋体" w:hAnsi="宋体" w:eastAsia="黑体" w:cs="黑体"/>
                <w:b w:val="0"/>
                <w:bCs w:val="0"/>
                <w:sz w:val="18"/>
                <w:szCs w:val="18"/>
              </w:rPr>
              <w:t>安装时间</w:t>
            </w:r>
          </w:p>
        </w:tc>
        <w:tc>
          <w:tcPr>
            <w:tcW w:w="1734" w:type="dxa"/>
            <w:tcBorders>
              <w:tl2br w:val="nil"/>
              <w:tr2bl w:val="nil"/>
            </w:tcBorders>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jc w:val="center"/>
              <w:textAlignment w:val="baseline"/>
              <w:outlineLvl w:val="9"/>
              <w:rPr>
                <w:rFonts w:hint="eastAsia" w:ascii="宋体" w:hAnsi="宋体" w:eastAsia="黑体" w:cs="黑体"/>
                <w:b w:val="0"/>
                <w:bCs w:val="0"/>
                <w:sz w:val="18"/>
                <w:szCs w:val="18"/>
              </w:rPr>
            </w:pPr>
            <w:r>
              <w:rPr>
                <w:rFonts w:hint="eastAsia" w:ascii="宋体" w:hAnsi="宋体" w:eastAsia="黑体" w:cs="黑体"/>
                <w:b w:val="0"/>
                <w:bCs w:val="0"/>
                <w:sz w:val="18"/>
                <w:szCs w:val="18"/>
              </w:rPr>
              <w:t>安装单位</w:t>
            </w:r>
          </w:p>
        </w:tc>
        <w:tc>
          <w:tcPr>
            <w:tcW w:w="2420" w:type="dxa"/>
            <w:tcBorders>
              <w:tl2br w:val="nil"/>
              <w:tr2bl w:val="nil"/>
            </w:tcBorders>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jc w:val="center"/>
              <w:textAlignment w:val="baseline"/>
              <w:outlineLvl w:val="9"/>
              <w:rPr>
                <w:rFonts w:hint="eastAsia" w:ascii="宋体" w:hAnsi="宋体" w:eastAsia="黑体" w:cs="黑体"/>
                <w:b w:val="0"/>
                <w:bCs w:val="0"/>
                <w:sz w:val="18"/>
                <w:szCs w:val="18"/>
              </w:rPr>
            </w:pPr>
            <w:r>
              <w:rPr>
                <w:rFonts w:hint="eastAsia" w:ascii="宋体" w:hAnsi="宋体" w:eastAsia="黑体" w:cs="黑体"/>
                <w:b w:val="0"/>
                <w:bCs w:val="0"/>
                <w:sz w:val="18"/>
                <w:szCs w:val="18"/>
              </w:rPr>
              <w:t>使用期限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952" w:type="dxa"/>
            <w:tcBorders>
              <w:tl2br w:val="nil"/>
              <w:tr2bl w:val="nil"/>
            </w:tcBorders>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firstLine="160" w:firstLineChars="100"/>
              <w:textAlignment w:val="baseline"/>
              <w:outlineLvl w:val="9"/>
              <w:rPr>
                <w:rFonts w:hint="eastAsia" w:ascii="宋体" w:hAnsi="宋体" w:eastAsia="宋体" w:cs="宋体"/>
                <w:b w:val="0"/>
                <w:bCs w:val="0"/>
                <w:sz w:val="16"/>
                <w:szCs w:val="16"/>
              </w:rPr>
            </w:pPr>
            <w:r>
              <w:rPr>
                <w:rFonts w:hint="eastAsia" w:ascii="宋体" w:hAnsi="宋体" w:eastAsia="宋体" w:cs="宋体"/>
                <w:b w:val="0"/>
                <w:bCs w:val="0"/>
                <w:sz w:val="16"/>
                <w:szCs w:val="16"/>
              </w:rPr>
              <w:t>燃气灶</w:t>
            </w:r>
          </w:p>
        </w:tc>
        <w:tc>
          <w:tcPr>
            <w:tcW w:w="1259"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175"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442"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734"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2420"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r>
              <w:rPr>
                <w:rFonts w:hint="eastAsia" w:ascii="宋体" w:hAnsi="宋体" w:eastAsia="宋体" w:cs="宋体"/>
                <w:b w:val="0"/>
                <w:bCs w:val="0"/>
                <w:sz w:val="16"/>
                <w:szCs w:val="16"/>
              </w:rPr>
              <w:t>年  月至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952" w:type="dxa"/>
            <w:tcBorders>
              <w:tl2br w:val="nil"/>
              <w:tr2bl w:val="nil"/>
            </w:tcBorders>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firstLine="160" w:firstLineChars="100"/>
              <w:textAlignment w:val="baseline"/>
              <w:outlineLvl w:val="9"/>
              <w:rPr>
                <w:rFonts w:hint="eastAsia" w:ascii="宋体" w:hAnsi="宋体" w:eastAsia="宋体" w:cs="宋体"/>
                <w:b w:val="0"/>
                <w:bCs w:val="0"/>
                <w:sz w:val="16"/>
                <w:szCs w:val="16"/>
              </w:rPr>
            </w:pPr>
            <w:r>
              <w:rPr>
                <w:rFonts w:hint="eastAsia" w:ascii="宋体" w:hAnsi="宋体" w:eastAsia="宋体" w:cs="宋体"/>
                <w:b w:val="0"/>
                <w:bCs w:val="0"/>
                <w:sz w:val="16"/>
                <w:szCs w:val="16"/>
              </w:rPr>
              <w:t>燃气热水器</w:t>
            </w:r>
          </w:p>
        </w:tc>
        <w:tc>
          <w:tcPr>
            <w:tcW w:w="1259"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175"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442"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734"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2420"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r>
              <w:rPr>
                <w:rFonts w:hint="eastAsia" w:ascii="宋体" w:hAnsi="宋体" w:eastAsia="宋体" w:cs="宋体"/>
                <w:b w:val="0"/>
                <w:bCs w:val="0"/>
                <w:sz w:val="16"/>
                <w:szCs w:val="16"/>
              </w:rPr>
              <w:t>年  月至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952" w:type="dxa"/>
            <w:tcBorders>
              <w:tl2br w:val="nil"/>
              <w:tr2bl w:val="nil"/>
            </w:tcBorders>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firstLine="160" w:firstLineChars="100"/>
              <w:textAlignment w:val="baseline"/>
              <w:outlineLvl w:val="9"/>
              <w:rPr>
                <w:rFonts w:hint="eastAsia" w:ascii="宋体" w:hAnsi="宋体" w:eastAsia="宋体" w:cs="宋体"/>
                <w:b w:val="0"/>
                <w:bCs w:val="0"/>
                <w:sz w:val="16"/>
                <w:szCs w:val="16"/>
              </w:rPr>
            </w:pPr>
            <w:r>
              <w:rPr>
                <w:rFonts w:hint="eastAsia" w:ascii="宋体" w:hAnsi="宋体" w:eastAsia="宋体" w:cs="宋体"/>
                <w:b w:val="0"/>
                <w:bCs w:val="0"/>
                <w:sz w:val="16"/>
                <w:szCs w:val="16"/>
              </w:rPr>
              <w:t>壁挂炉</w:t>
            </w:r>
          </w:p>
        </w:tc>
        <w:tc>
          <w:tcPr>
            <w:tcW w:w="1259"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175"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442"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734"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2420"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r>
              <w:rPr>
                <w:rFonts w:hint="eastAsia" w:ascii="宋体" w:hAnsi="宋体" w:eastAsia="宋体" w:cs="宋体"/>
                <w:b w:val="0"/>
                <w:bCs w:val="0"/>
                <w:sz w:val="16"/>
                <w:szCs w:val="16"/>
              </w:rPr>
              <w:t>年  月至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952" w:type="dxa"/>
            <w:tcBorders>
              <w:tl2br w:val="nil"/>
              <w:tr2bl w:val="nil"/>
            </w:tcBorders>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firstLine="160" w:firstLineChars="100"/>
              <w:textAlignment w:val="baseline"/>
              <w:outlineLvl w:val="9"/>
              <w:rPr>
                <w:rFonts w:hint="eastAsia" w:ascii="宋体" w:hAnsi="宋体" w:eastAsia="宋体" w:cs="宋体"/>
                <w:b w:val="0"/>
                <w:bCs w:val="0"/>
                <w:sz w:val="16"/>
                <w:szCs w:val="16"/>
              </w:rPr>
            </w:pPr>
            <w:r>
              <w:rPr>
                <w:rFonts w:hint="eastAsia" w:ascii="宋体" w:hAnsi="宋体" w:eastAsia="宋体" w:cs="宋体"/>
                <w:b w:val="0"/>
                <w:bCs w:val="0"/>
                <w:sz w:val="16"/>
                <w:szCs w:val="16"/>
              </w:rPr>
              <w:t>燃气泄漏报警器</w:t>
            </w:r>
          </w:p>
        </w:tc>
        <w:tc>
          <w:tcPr>
            <w:tcW w:w="1259"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175"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442"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734"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2420"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r>
              <w:rPr>
                <w:rFonts w:hint="eastAsia" w:ascii="宋体" w:hAnsi="宋体" w:eastAsia="宋体" w:cs="宋体"/>
                <w:b w:val="0"/>
                <w:bCs w:val="0"/>
                <w:sz w:val="16"/>
                <w:szCs w:val="16"/>
              </w:rPr>
              <w:t>年  月至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952" w:type="dxa"/>
            <w:tcBorders>
              <w:tl2br w:val="nil"/>
              <w:tr2bl w:val="nil"/>
            </w:tcBorders>
            <w:tcMar>
              <w:left w:w="105" w:type="dxa"/>
              <w:right w:w="105" w:type="dxa"/>
            </w:tcMar>
            <w:vAlign w:val="center"/>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firstLine="160" w:firstLineChars="100"/>
              <w:textAlignment w:val="baseline"/>
              <w:outlineLvl w:val="9"/>
              <w:rPr>
                <w:rFonts w:hint="eastAsia" w:ascii="宋体" w:hAnsi="宋体" w:eastAsia="宋体" w:cs="宋体"/>
                <w:b w:val="0"/>
                <w:bCs w:val="0"/>
                <w:sz w:val="16"/>
                <w:szCs w:val="16"/>
              </w:rPr>
            </w:pPr>
            <w:r>
              <w:rPr>
                <w:rFonts w:hint="eastAsia" w:ascii="宋体" w:hAnsi="宋体" w:eastAsia="宋体" w:cs="宋体"/>
                <w:b w:val="0"/>
                <w:bCs w:val="0"/>
                <w:sz w:val="16"/>
                <w:szCs w:val="16"/>
              </w:rPr>
              <w:t>自闭阀</w:t>
            </w:r>
          </w:p>
        </w:tc>
        <w:tc>
          <w:tcPr>
            <w:tcW w:w="1259"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175"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442"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1734"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p>
        </w:tc>
        <w:tc>
          <w:tcPr>
            <w:tcW w:w="2420" w:type="dxa"/>
            <w:tcBorders>
              <w:tl2br w:val="nil"/>
              <w:tr2bl w:val="nil"/>
            </w:tcBorders>
            <w:tcMar>
              <w:left w:w="105"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320" w:firstLineChars="200"/>
              <w:jc w:val="left"/>
              <w:textAlignment w:val="baseline"/>
              <w:outlineLvl w:val="9"/>
              <w:rPr>
                <w:rFonts w:hint="eastAsia" w:ascii="宋体" w:hAnsi="宋体" w:eastAsia="宋体" w:cs="宋体"/>
                <w:b w:val="0"/>
                <w:bCs w:val="0"/>
                <w:sz w:val="16"/>
                <w:szCs w:val="16"/>
              </w:rPr>
            </w:pPr>
            <w:r>
              <w:rPr>
                <w:rFonts w:hint="eastAsia" w:ascii="宋体" w:hAnsi="宋体" w:eastAsia="宋体" w:cs="宋体"/>
                <w:b w:val="0"/>
                <w:bCs w:val="0"/>
                <w:sz w:val="16"/>
                <w:szCs w:val="16"/>
              </w:rPr>
              <w:t>年  月至   年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1952" w:type="dxa"/>
            <w:tcBorders>
              <w:tl2br w:val="nil"/>
              <w:tr2bl w:val="nil"/>
            </w:tcBorders>
            <w:tcMar>
              <w:left w:w="105" w:type="dxa"/>
              <w:right w:w="105" w:type="dxa"/>
            </w:tcMar>
            <w:vAlign w:val="top"/>
          </w:tcPr>
          <w:p>
            <w:pPr>
              <w:pStyle w:val="4"/>
              <w:keepNext w:val="0"/>
              <w:keepLines w:val="0"/>
              <w:pageBreakBefore w:val="0"/>
              <w:widowControl/>
              <w:kinsoku/>
              <w:wordWrap/>
              <w:overflowPunct/>
              <w:topLinePunct w:val="0"/>
              <w:autoSpaceDE/>
              <w:autoSpaceDN/>
              <w:bidi w:val="0"/>
              <w:adjustRightInd w:val="0"/>
              <w:snapToGrid w:val="0"/>
              <w:spacing w:before="0" w:beforeAutospacing="0" w:afterAutospacing="0" w:line="240" w:lineRule="auto"/>
              <w:ind w:right="0" w:rightChars="0" w:firstLine="320" w:firstLineChars="200"/>
              <w:textAlignment w:val="baseline"/>
              <w:outlineLvl w:val="9"/>
              <w:rPr>
                <w:rFonts w:ascii="宋体" w:hAnsi="宋体" w:eastAsia="仿宋_GB2312" w:cs="仿宋_GB2312"/>
                <w:b w:val="0"/>
                <w:bCs w:val="0"/>
                <w:sz w:val="16"/>
                <w:szCs w:val="16"/>
              </w:rPr>
            </w:pPr>
          </w:p>
        </w:tc>
        <w:tc>
          <w:tcPr>
            <w:tcW w:w="1259" w:type="dxa"/>
            <w:tcBorders>
              <w:tl2br w:val="nil"/>
              <w:tr2bl w:val="nil"/>
            </w:tcBorders>
            <w:tcMar>
              <w:left w:w="105" w:type="dxa"/>
              <w:right w:w="105" w:type="dxa"/>
            </w:tcMar>
            <w:vAlign w:val="top"/>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440" w:firstLineChars="200"/>
              <w:jc w:val="left"/>
              <w:textAlignment w:val="baseline"/>
              <w:outlineLvl w:val="9"/>
              <w:rPr>
                <w:rFonts w:ascii="宋体" w:hAnsi="宋体" w:eastAsia="仿宋_GB2312" w:cs="仿宋_GB2312"/>
                <w:b w:val="0"/>
                <w:bCs w:val="0"/>
                <w:sz w:val="22"/>
                <w:szCs w:val="16"/>
              </w:rPr>
            </w:pPr>
          </w:p>
        </w:tc>
        <w:tc>
          <w:tcPr>
            <w:tcW w:w="1175" w:type="dxa"/>
            <w:tcBorders>
              <w:tl2br w:val="nil"/>
              <w:tr2bl w:val="nil"/>
            </w:tcBorders>
            <w:tcMar>
              <w:left w:w="105" w:type="dxa"/>
              <w:right w:w="105" w:type="dxa"/>
            </w:tcMar>
            <w:vAlign w:val="top"/>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440" w:firstLineChars="200"/>
              <w:jc w:val="left"/>
              <w:textAlignment w:val="baseline"/>
              <w:outlineLvl w:val="9"/>
              <w:rPr>
                <w:rFonts w:ascii="宋体" w:hAnsi="宋体" w:eastAsia="仿宋_GB2312" w:cs="仿宋_GB2312"/>
                <w:b w:val="0"/>
                <w:bCs w:val="0"/>
                <w:sz w:val="22"/>
                <w:szCs w:val="16"/>
              </w:rPr>
            </w:pPr>
          </w:p>
        </w:tc>
        <w:tc>
          <w:tcPr>
            <w:tcW w:w="1442" w:type="dxa"/>
            <w:tcBorders>
              <w:tl2br w:val="nil"/>
              <w:tr2bl w:val="nil"/>
            </w:tcBorders>
            <w:tcMar>
              <w:left w:w="105" w:type="dxa"/>
              <w:right w:w="105" w:type="dxa"/>
            </w:tcMar>
            <w:vAlign w:val="top"/>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440" w:firstLineChars="200"/>
              <w:jc w:val="left"/>
              <w:textAlignment w:val="baseline"/>
              <w:outlineLvl w:val="9"/>
              <w:rPr>
                <w:rFonts w:ascii="宋体" w:hAnsi="宋体" w:eastAsia="仿宋_GB2312" w:cs="仿宋_GB2312"/>
                <w:b w:val="0"/>
                <w:bCs w:val="0"/>
                <w:sz w:val="22"/>
                <w:szCs w:val="16"/>
              </w:rPr>
            </w:pPr>
          </w:p>
        </w:tc>
        <w:tc>
          <w:tcPr>
            <w:tcW w:w="1734" w:type="dxa"/>
            <w:tcBorders>
              <w:tl2br w:val="nil"/>
              <w:tr2bl w:val="nil"/>
            </w:tcBorders>
            <w:tcMar>
              <w:left w:w="105" w:type="dxa"/>
              <w:right w:w="105" w:type="dxa"/>
            </w:tcMar>
            <w:vAlign w:val="top"/>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440" w:firstLineChars="200"/>
              <w:jc w:val="left"/>
              <w:textAlignment w:val="baseline"/>
              <w:outlineLvl w:val="9"/>
              <w:rPr>
                <w:rFonts w:ascii="宋体" w:hAnsi="宋体" w:eastAsia="仿宋_GB2312" w:cs="仿宋_GB2312"/>
                <w:b w:val="0"/>
                <w:bCs w:val="0"/>
                <w:sz w:val="22"/>
                <w:szCs w:val="16"/>
              </w:rPr>
            </w:pPr>
          </w:p>
        </w:tc>
        <w:tc>
          <w:tcPr>
            <w:tcW w:w="2420" w:type="dxa"/>
            <w:tcBorders>
              <w:tl2br w:val="nil"/>
              <w:tr2bl w:val="nil"/>
            </w:tcBorders>
            <w:tcMar>
              <w:left w:w="105" w:type="dxa"/>
              <w:right w:w="105" w:type="dxa"/>
            </w:tcMar>
            <w:vAlign w:val="top"/>
          </w:tcPr>
          <w:p>
            <w:pPr>
              <w:keepNext w:val="0"/>
              <w:keepLines w:val="0"/>
              <w:pageBreakBefore w:val="0"/>
              <w:widowControl/>
              <w:kinsoku/>
              <w:wordWrap/>
              <w:overflowPunct/>
              <w:topLinePunct w:val="0"/>
              <w:autoSpaceDE/>
              <w:autoSpaceDN/>
              <w:bidi w:val="0"/>
              <w:adjustRightInd w:val="0"/>
              <w:snapToGrid w:val="0"/>
              <w:spacing w:line="240" w:lineRule="auto"/>
              <w:ind w:right="0" w:rightChars="0" w:firstLine="440" w:firstLineChars="200"/>
              <w:jc w:val="left"/>
              <w:textAlignment w:val="baseline"/>
              <w:outlineLvl w:val="9"/>
              <w:rPr>
                <w:rFonts w:ascii="宋体" w:hAnsi="宋体" w:eastAsia="仿宋_GB2312" w:cs="仿宋_GB2312"/>
                <w:b w:val="0"/>
                <w:bCs w:val="0"/>
                <w:sz w:val="22"/>
                <w:szCs w:val="16"/>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甲方更换燃气燃烧器具及户内安全防护装置的应及时告知乙方。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楷体" w:cs="楷体"/>
          <w:b w:val="0"/>
          <w:bCs w:val="0"/>
          <w:sz w:val="22"/>
          <w:szCs w:val="22"/>
          <w:lang w:val="en-US" w:eastAsia="zh-CN"/>
        </w:rPr>
        <w:t>4.燃气计量表信息</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表一：品牌、型号：</w:t>
      </w:r>
      <w:r>
        <w:rPr>
          <w:rFonts w:hint="eastAsia" w:ascii="宋体" w:hAnsi="宋体" w:eastAsia="仿宋_GB2312"/>
          <w:b w:val="0"/>
          <w:bCs w:val="0"/>
          <w:sz w:val="22"/>
          <w:szCs w:val="22"/>
          <w:u w:val="single"/>
          <w:lang w:val="en-US" w:eastAsia="zh-CN"/>
        </w:rPr>
        <w:t xml:space="preserve">   </w:t>
      </w:r>
      <w:r>
        <w:rPr>
          <w:rFonts w:hint="eastAsia"/>
          <w:b w:val="0"/>
          <w:bCs w:val="0"/>
          <w:sz w:val="22"/>
          <w:szCs w:val="22"/>
          <w:u w:val="single"/>
          <w:lang w:val="en-US" w:eastAsia="zh-CN"/>
        </w:rPr>
        <w:t xml:space="preserve"> </w:t>
      </w:r>
      <w:r>
        <w:rPr>
          <w:rFonts w:hint="eastAsia" w:ascii="宋体" w:hAnsi="宋体" w:eastAsia="仿宋_GB2312"/>
          <w:b w:val="0"/>
          <w:bCs w:val="0"/>
          <w:sz w:val="22"/>
          <w:szCs w:val="22"/>
          <w:u w:val="single"/>
          <w:lang w:val="en-US" w:eastAsia="zh-CN"/>
        </w:rPr>
        <w:t xml:space="preserve">    </w:t>
      </w:r>
      <w:r>
        <w:rPr>
          <w:rFonts w:hint="eastAsia" w:ascii="宋体" w:hAnsi="宋体" w:eastAsia="仿宋_GB2312"/>
          <w:b w:val="0"/>
          <w:bCs w:val="0"/>
          <w:sz w:val="22"/>
          <w:szCs w:val="22"/>
          <w:lang w:val="en-US" w:eastAsia="zh-CN"/>
        </w:rPr>
        <w:t>；安装位置（据实填写）：</w:t>
      </w:r>
      <w:r>
        <w:rPr>
          <w:rFonts w:hint="eastAsia" w:ascii="宋体" w:hAnsi="宋体" w:eastAsia="仿宋_GB2312"/>
          <w:b w:val="0"/>
          <w:bCs w:val="0"/>
          <w:sz w:val="22"/>
          <w:szCs w:val="22"/>
          <w:u w:val="single"/>
          <w:lang w:val="en-US" w:eastAsia="zh-CN"/>
        </w:rPr>
        <w:t xml:space="preserve">   </w:t>
      </w:r>
      <w:r>
        <w:rPr>
          <w:rFonts w:hint="eastAsia"/>
          <w:b w:val="0"/>
          <w:bCs w:val="0"/>
          <w:sz w:val="22"/>
          <w:szCs w:val="22"/>
          <w:u w:val="single"/>
          <w:lang w:val="en-US" w:eastAsia="zh-CN"/>
        </w:rPr>
        <w:t xml:space="preserve"> </w:t>
      </w:r>
      <w:r>
        <w:rPr>
          <w:rFonts w:hint="eastAsia" w:ascii="宋体" w:hAnsi="宋体" w:eastAsia="仿宋_GB2312"/>
          <w:b w:val="0"/>
          <w:bCs w:val="0"/>
          <w:sz w:val="22"/>
          <w:szCs w:val="22"/>
          <w:u w:val="single"/>
          <w:lang w:val="en-US" w:eastAsia="zh-CN"/>
        </w:rPr>
        <w:t xml:space="preserve">        </w:t>
      </w:r>
      <w:r>
        <w:rPr>
          <w:rFonts w:hint="eastAsia" w:ascii="宋体" w:hAnsi="宋体" w:eastAsia="仿宋_GB2312"/>
          <w:b w:val="0"/>
          <w:bCs w:val="0"/>
          <w:sz w:val="22"/>
          <w:szCs w:val="22"/>
          <w:u w:val="none"/>
          <w:lang w:val="en-US" w:eastAsia="zh-CN"/>
        </w:rPr>
        <w:t>；</w:t>
      </w:r>
      <w:r>
        <w:rPr>
          <w:rFonts w:hint="eastAsia" w:ascii="宋体" w:hAnsi="宋体" w:eastAsia="仿宋_GB2312"/>
          <w:b w:val="0"/>
          <w:bCs w:val="0"/>
          <w:sz w:val="22"/>
          <w:szCs w:val="22"/>
          <w:lang w:val="en-US" w:eastAsia="zh-CN"/>
        </w:rPr>
        <w:t>使用期限至：</w:t>
      </w:r>
      <w:r>
        <w:rPr>
          <w:rFonts w:hint="eastAsia" w:ascii="宋体" w:hAnsi="宋体" w:eastAsia="仿宋_GB2312"/>
          <w:b w:val="0"/>
          <w:bCs w:val="0"/>
          <w:sz w:val="22"/>
          <w:szCs w:val="22"/>
          <w:u w:val="single"/>
          <w:lang w:val="en-US" w:eastAsia="zh-CN"/>
        </w:rPr>
        <w:t xml:space="preserve">    </w:t>
      </w:r>
      <w:r>
        <w:rPr>
          <w:rFonts w:hint="eastAsia" w:ascii="宋体" w:hAnsi="宋体" w:eastAsia="仿宋_GB2312"/>
          <w:b w:val="0"/>
          <w:bCs w:val="0"/>
          <w:sz w:val="22"/>
          <w:szCs w:val="22"/>
          <w:lang w:val="en-US" w:eastAsia="zh-CN"/>
        </w:rPr>
        <w:t>年</w:t>
      </w:r>
      <w:r>
        <w:rPr>
          <w:rFonts w:hint="eastAsia" w:ascii="宋体" w:hAnsi="宋体" w:eastAsia="仿宋_GB2312"/>
          <w:b w:val="0"/>
          <w:bCs w:val="0"/>
          <w:sz w:val="22"/>
          <w:szCs w:val="22"/>
          <w:u w:val="single"/>
          <w:lang w:val="en-US" w:eastAsia="zh-CN"/>
        </w:rPr>
        <w:t xml:space="preserve">    </w:t>
      </w:r>
      <w:r>
        <w:rPr>
          <w:rFonts w:hint="eastAsia" w:ascii="宋体" w:hAnsi="宋体" w:eastAsia="仿宋_GB2312"/>
          <w:b w:val="0"/>
          <w:bCs w:val="0"/>
          <w:sz w:val="22"/>
          <w:szCs w:val="22"/>
          <w:lang w:val="en-US" w:eastAsia="zh-CN"/>
        </w:rPr>
        <w:t>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表二：品牌、型号：</w:t>
      </w:r>
      <w:r>
        <w:rPr>
          <w:rFonts w:hint="eastAsia" w:ascii="宋体" w:hAnsi="宋体" w:eastAsia="仿宋_GB2312"/>
          <w:b w:val="0"/>
          <w:bCs w:val="0"/>
          <w:sz w:val="22"/>
          <w:szCs w:val="22"/>
          <w:u w:val="single"/>
          <w:lang w:val="en-US" w:eastAsia="zh-CN"/>
        </w:rPr>
        <w:t xml:space="preserve">        </w:t>
      </w:r>
      <w:r>
        <w:rPr>
          <w:rFonts w:hint="eastAsia" w:ascii="宋体" w:hAnsi="宋体" w:eastAsia="仿宋_GB2312"/>
          <w:b w:val="0"/>
          <w:bCs w:val="0"/>
          <w:sz w:val="22"/>
          <w:szCs w:val="22"/>
          <w:lang w:val="en-US" w:eastAsia="zh-CN"/>
        </w:rPr>
        <w:t>；安装位置（据实填写）：</w:t>
      </w:r>
      <w:r>
        <w:rPr>
          <w:rFonts w:hint="eastAsia" w:ascii="宋体" w:hAnsi="宋体" w:eastAsia="仿宋_GB2312"/>
          <w:b w:val="0"/>
          <w:bCs w:val="0"/>
          <w:sz w:val="22"/>
          <w:szCs w:val="22"/>
          <w:u w:val="single"/>
          <w:lang w:val="en-US" w:eastAsia="zh-CN"/>
        </w:rPr>
        <w:t xml:space="preserve">            </w:t>
      </w:r>
      <w:r>
        <w:rPr>
          <w:rFonts w:hint="eastAsia" w:ascii="宋体" w:hAnsi="宋体" w:eastAsia="仿宋_GB2312"/>
          <w:b w:val="0"/>
          <w:bCs w:val="0"/>
          <w:sz w:val="22"/>
          <w:szCs w:val="22"/>
          <w:u w:val="none"/>
          <w:lang w:val="en-US" w:eastAsia="zh-CN"/>
        </w:rPr>
        <w:t>；</w:t>
      </w:r>
      <w:r>
        <w:rPr>
          <w:rFonts w:hint="eastAsia" w:ascii="宋体" w:hAnsi="宋体" w:eastAsia="仿宋_GB2312"/>
          <w:b w:val="0"/>
          <w:bCs w:val="0"/>
          <w:sz w:val="22"/>
          <w:szCs w:val="22"/>
          <w:lang w:val="en-US" w:eastAsia="zh-CN"/>
        </w:rPr>
        <w:t>使用期限至：</w:t>
      </w:r>
      <w:r>
        <w:rPr>
          <w:rFonts w:hint="eastAsia" w:ascii="宋体" w:hAnsi="宋体" w:eastAsia="仿宋_GB2312"/>
          <w:b w:val="0"/>
          <w:bCs w:val="0"/>
          <w:sz w:val="22"/>
          <w:szCs w:val="22"/>
          <w:u w:val="single"/>
          <w:lang w:val="en-US" w:eastAsia="zh-CN"/>
        </w:rPr>
        <w:t xml:space="preserve">    </w:t>
      </w:r>
      <w:r>
        <w:rPr>
          <w:rFonts w:hint="eastAsia" w:ascii="宋体" w:hAnsi="宋体" w:eastAsia="仿宋_GB2312"/>
          <w:b w:val="0"/>
          <w:bCs w:val="0"/>
          <w:sz w:val="22"/>
          <w:szCs w:val="22"/>
          <w:lang w:val="en-US" w:eastAsia="zh-CN"/>
        </w:rPr>
        <w:t>年</w:t>
      </w:r>
      <w:r>
        <w:rPr>
          <w:rFonts w:hint="eastAsia" w:ascii="宋体" w:hAnsi="宋体" w:eastAsia="仿宋_GB2312"/>
          <w:b w:val="0"/>
          <w:bCs w:val="0"/>
          <w:sz w:val="22"/>
          <w:szCs w:val="22"/>
          <w:u w:val="single"/>
          <w:lang w:val="en-US" w:eastAsia="zh-CN"/>
        </w:rPr>
        <w:t xml:space="preserve">    </w:t>
      </w:r>
      <w:r>
        <w:rPr>
          <w:rFonts w:hint="eastAsia" w:ascii="宋体" w:hAnsi="宋体" w:eastAsia="仿宋_GB2312"/>
          <w:b w:val="0"/>
          <w:bCs w:val="0"/>
          <w:sz w:val="22"/>
          <w:szCs w:val="22"/>
          <w:lang w:val="en-US" w:eastAsia="zh-CN"/>
        </w:rPr>
        <w:t>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1）燃气计量表无法正常使用的，由乙方无偿更换，甲方应予以配合。甲方发现燃气计量表损坏或计量不准确的，应当及时通知乙方进行维修或更换。如因甲方原因造成燃气计量表损坏或计量不准确的，甲方应承担维修、更换费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（2）双方对燃气计量表的计量准确性有异议时，均可向有资质的计量检定机构申请检定。经检定不合格的，由乙方承担检定费用并负责维修或更换并赔偿甲方相应损失；经检定合格的，由申请方承担检定费用。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（3）按国家规定，燃气计量表到期后由乙方无偿更换。</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楷体" w:cs="楷体"/>
          <w:b w:val="0"/>
          <w:bCs w:val="0"/>
          <w:sz w:val="22"/>
          <w:szCs w:val="22"/>
          <w:lang w:val="en-US" w:eastAsia="zh-CN"/>
        </w:rPr>
        <w:t>5.甲方专有部分燃气管线现状</w:t>
      </w:r>
      <w:r>
        <w:rPr>
          <w:rFonts w:hint="eastAsia" w:ascii="宋体" w:hAnsi="宋体" w:eastAsia="仿宋_GB2312"/>
          <w:b w:val="0"/>
          <w:bCs w:val="0"/>
          <w:sz w:val="22"/>
          <w:szCs w:val="22"/>
          <w:lang w:val="en-US" w:eastAsia="zh-CN"/>
        </w:rPr>
        <w:t>：（在相应的□内划√）</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 xml:space="preserve">□未做改动            □甲方委托乙方改动  </w:t>
      </w:r>
      <w:r>
        <w:rPr>
          <w:rFonts w:hint="eastAsia"/>
          <w:b w:val="0"/>
          <w:bCs w:val="0"/>
          <w:sz w:val="22"/>
          <w:szCs w:val="22"/>
          <w:lang w:val="en-US" w:eastAsia="zh-CN"/>
        </w:rPr>
        <w:t xml:space="preserve">      </w:t>
      </w:r>
      <w:r>
        <w:rPr>
          <w:rFonts w:hint="eastAsia" w:ascii="宋体" w:hAnsi="宋体" w:eastAsia="仿宋_GB2312"/>
          <w:b w:val="0"/>
          <w:bCs w:val="0"/>
          <w:sz w:val="22"/>
          <w:szCs w:val="22"/>
          <w:lang w:val="en-US" w:eastAsia="zh-CN"/>
        </w:rPr>
        <w:t>□甲方改动，乙方确认没有隐患</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楷体" w:cs="楷体"/>
          <w:b w:val="0"/>
          <w:bCs w:val="0"/>
          <w:sz w:val="22"/>
          <w:szCs w:val="22"/>
          <w:lang w:val="en-US" w:eastAsia="zh-CN"/>
        </w:rPr>
        <w:t>6.由甲方承担费用的个性化需求</w:t>
      </w:r>
      <w:r>
        <w:rPr>
          <w:rFonts w:hint="eastAsia" w:ascii="宋体" w:hAnsi="宋体" w:eastAsia="仿宋_GB2312"/>
          <w:b w:val="0"/>
          <w:bCs w:val="0"/>
          <w:sz w:val="22"/>
          <w:szCs w:val="22"/>
          <w:lang w:val="en-US" w:eastAsia="zh-CN"/>
        </w:rPr>
        <w:t>：</w:t>
      </w:r>
      <w:r>
        <w:rPr>
          <w:rFonts w:hint="eastAsia" w:ascii="宋体" w:hAnsi="宋体" w:eastAsia="仿宋_GB2312"/>
          <w:b w:val="0"/>
          <w:bCs w:val="0"/>
          <w:sz w:val="22"/>
          <w:szCs w:val="22"/>
          <w:u w:val="single"/>
          <w:lang w:val="en-US" w:eastAsia="zh-CN"/>
        </w:rPr>
        <w:t xml:space="preserve">              </w:t>
      </w:r>
      <w:r>
        <w:rPr>
          <w:rFonts w:hint="eastAsia"/>
          <w:b w:val="0"/>
          <w:bCs w:val="0"/>
          <w:sz w:val="22"/>
          <w:szCs w:val="22"/>
          <w:u w:val="single"/>
          <w:lang w:val="en-US" w:eastAsia="zh-CN"/>
        </w:rPr>
        <w:t xml:space="preserve">                          </w:t>
      </w:r>
      <w:r>
        <w:rPr>
          <w:rFonts w:hint="eastAsia" w:ascii="宋体" w:hAnsi="宋体" w:eastAsia="仿宋_GB2312"/>
          <w:b w:val="0"/>
          <w:bCs w:val="0"/>
          <w:sz w:val="22"/>
          <w:szCs w:val="22"/>
          <w:u w:val="single"/>
          <w:lang w:val="en-US" w:eastAsia="zh-CN"/>
        </w:rPr>
        <w:t xml:space="preserve">           </w:t>
      </w:r>
      <w:r>
        <w:rPr>
          <w:rFonts w:hint="eastAsia" w:ascii="宋体" w:hAnsi="宋体" w:eastAsia="仿宋_GB2312"/>
          <w:b w:val="0"/>
          <w:bCs w:val="0"/>
          <w:sz w:val="22"/>
          <w:szCs w:val="22"/>
          <w:u w:val="none"/>
          <w:lang w:val="en-US" w:eastAsia="zh-CN"/>
        </w:rPr>
        <w:t>。</w:t>
      </w:r>
      <w:r>
        <w:rPr>
          <w:rFonts w:hint="eastAsia" w:ascii="宋体" w:hAnsi="宋体" w:eastAsia="仿宋_GB2312"/>
          <w:b w:val="0"/>
          <w:bCs w:val="0"/>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黑体" w:cs="黑体"/>
          <w:b w:val="0"/>
          <w:bCs w:val="0"/>
          <w:sz w:val="22"/>
          <w:szCs w:val="22"/>
          <w:lang w:val="en-US" w:eastAsia="zh-CN"/>
        </w:rPr>
      </w:pPr>
      <w:r>
        <w:rPr>
          <w:rFonts w:hint="eastAsia" w:ascii="宋体" w:hAnsi="宋体" w:eastAsia="黑体" w:cs="黑体"/>
          <w:b w:val="0"/>
          <w:bCs w:val="0"/>
          <w:sz w:val="22"/>
          <w:szCs w:val="22"/>
          <w:lang w:val="en-US" w:eastAsia="zh-CN"/>
        </w:rPr>
        <w:t>第二条  用气价格及结算方式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楷体" w:cs="楷体"/>
          <w:b w:val="0"/>
          <w:bCs w:val="0"/>
          <w:sz w:val="22"/>
          <w:szCs w:val="22"/>
          <w:lang w:val="en-US" w:eastAsia="zh-CN"/>
        </w:rPr>
        <w:t>1.价格</w:t>
      </w:r>
      <w:r>
        <w:rPr>
          <w:rFonts w:hint="eastAsia" w:ascii="宋体" w:hAnsi="宋体" w:eastAsia="仿宋_GB2312"/>
          <w:b w:val="0"/>
          <w:bCs w:val="0"/>
          <w:sz w:val="22"/>
          <w:szCs w:val="22"/>
          <w:lang w:val="en-US" w:eastAsia="zh-CN"/>
        </w:rPr>
        <w:t>：执行政府价格管理部门规定的燃气价格。本合同履行期间，如遇价格管理部门调整燃气价格，自批准文件规定之日起，按照新价格执行。</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楷体" w:cs="楷体"/>
          <w:b w:val="0"/>
          <w:bCs w:val="0"/>
          <w:sz w:val="22"/>
          <w:szCs w:val="22"/>
          <w:lang w:val="en-US" w:eastAsia="zh-CN"/>
        </w:rPr>
        <w:t>2.结算方式</w:t>
      </w:r>
      <w:r>
        <w:rPr>
          <w:rFonts w:hint="eastAsia" w:ascii="宋体" w:hAnsi="宋体" w:eastAsia="仿宋_GB2312"/>
          <w:b w:val="0"/>
          <w:bCs w:val="0"/>
          <w:sz w:val="22"/>
          <w:szCs w:val="22"/>
          <w:lang w:val="en-US" w:eastAsia="zh-CN"/>
        </w:rPr>
        <w:t>：</w:t>
      </w:r>
      <w:r>
        <w:rPr>
          <w:rFonts w:hint="eastAsia" w:ascii="宋体" w:hAnsi="宋体" w:eastAsia="仿宋_GB2312"/>
          <w:b w:val="0"/>
          <w:bCs w:val="0"/>
          <w:sz w:val="22"/>
          <w:szCs w:val="22"/>
          <w:u w:val="single"/>
          <w:lang w:val="en-US" w:eastAsia="zh-CN"/>
        </w:rPr>
        <w:t xml:space="preserve">                       </w:t>
      </w:r>
      <w:r>
        <w:rPr>
          <w:rFonts w:hint="eastAsia"/>
          <w:b w:val="0"/>
          <w:bCs w:val="0"/>
          <w:sz w:val="22"/>
          <w:szCs w:val="22"/>
          <w:u w:val="single"/>
          <w:lang w:val="en-US" w:eastAsia="zh-CN"/>
        </w:rPr>
        <w:t xml:space="preserve">                           </w:t>
      </w:r>
      <w:r>
        <w:rPr>
          <w:rFonts w:hint="eastAsia" w:ascii="宋体" w:hAnsi="宋体" w:eastAsia="仿宋_GB2312"/>
          <w:b w:val="0"/>
          <w:bCs w:val="0"/>
          <w:sz w:val="22"/>
          <w:szCs w:val="22"/>
          <w:u w:val="single"/>
          <w:lang w:val="en-US" w:eastAsia="zh-CN"/>
        </w:rPr>
        <w:t xml:space="preserve">                   </w:t>
      </w:r>
      <w:r>
        <w:rPr>
          <w:rFonts w:hint="eastAsia" w:ascii="宋体" w:hAnsi="宋体" w:eastAsia="仿宋_GB2312"/>
          <w:b w:val="0"/>
          <w:bCs w:val="0"/>
          <w:sz w:val="22"/>
          <w:szCs w:val="22"/>
          <w:u w:val="none"/>
          <w:lang w:val="en-US" w:eastAsia="zh-CN"/>
        </w:rPr>
        <w:t xml:space="preserve">。 </w:t>
      </w:r>
      <w:r>
        <w:rPr>
          <w:rFonts w:hint="eastAsia" w:ascii="宋体" w:hAnsi="宋体" w:eastAsia="仿宋_GB2312"/>
          <w:b w:val="0"/>
          <w:bCs w:val="0"/>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黑体" w:cs="黑体"/>
          <w:b w:val="0"/>
          <w:bCs w:val="0"/>
          <w:sz w:val="22"/>
          <w:szCs w:val="22"/>
          <w:lang w:val="en-US" w:eastAsia="zh-CN"/>
        </w:rPr>
      </w:pPr>
      <w:r>
        <w:rPr>
          <w:rFonts w:hint="eastAsia" w:ascii="宋体" w:hAnsi="宋体" w:eastAsia="黑体" w:cs="黑体"/>
          <w:b w:val="0"/>
          <w:bCs w:val="0"/>
          <w:sz w:val="22"/>
          <w:szCs w:val="22"/>
          <w:lang w:val="en-US" w:eastAsia="zh-CN"/>
        </w:rPr>
        <w:t>第三条  合同的生效及变更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本合同自甲方签字及乙方加盖公章之日起长期有效。甲、乙双方变更或甲方房屋产权、承租关系变更的应及时告知对方，并与对方解除本合同，燃气费用一并结清。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黑体" w:cs="黑体"/>
          <w:b w:val="0"/>
          <w:bCs w:val="0"/>
          <w:sz w:val="22"/>
          <w:szCs w:val="22"/>
          <w:lang w:val="en-US" w:eastAsia="zh-CN"/>
        </w:rPr>
        <w:t>第四条  争议解决方式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本合同项下发生的争议，由双方协商解决，也可以向属地消费者协会或其他人民调解组织申请调解；协商不成的，向</w:t>
      </w:r>
      <w:r>
        <w:rPr>
          <w:rFonts w:hint="eastAsia" w:ascii="宋体" w:hAnsi="宋体" w:eastAsia="仿宋_GB2312"/>
          <w:b w:val="0"/>
          <w:bCs w:val="0"/>
          <w:sz w:val="22"/>
          <w:szCs w:val="22"/>
          <w:u w:val="single"/>
          <w:lang w:val="en-US" w:eastAsia="zh-CN"/>
        </w:rPr>
        <w:t>      </w:t>
      </w:r>
      <w:r>
        <w:rPr>
          <w:rFonts w:hint="eastAsia" w:ascii="宋体" w:hAnsi="宋体" w:eastAsia="仿宋_GB2312"/>
          <w:b w:val="0"/>
          <w:bCs w:val="0"/>
          <w:sz w:val="22"/>
          <w:szCs w:val="22"/>
          <w:lang w:val="en-US" w:eastAsia="zh-CN"/>
        </w:rPr>
        <w:t>人民法院提起诉讼或根据双方另行达成的仲裁协议申请仲裁。</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firstLine="567"/>
        <w:jc w:val="both"/>
        <w:textAlignment w:val="auto"/>
        <w:outlineLvl w:val="9"/>
        <w:rPr>
          <w:rFonts w:hint="eastAsia" w:ascii="宋体" w:hAnsi="宋体" w:eastAsia="黑体" w:cs="黑体"/>
          <w:b w:val="0"/>
          <w:bCs w:val="0"/>
          <w:sz w:val="22"/>
          <w:szCs w:val="22"/>
          <w:lang w:val="en-US" w:eastAsia="zh-CN"/>
        </w:rPr>
      </w:pPr>
      <w:r>
        <w:rPr>
          <w:rFonts w:hint="eastAsia" w:ascii="宋体" w:hAnsi="宋体" w:eastAsia="黑体" w:cs="黑体"/>
          <w:b w:val="0"/>
          <w:bCs w:val="0"/>
          <w:sz w:val="22"/>
          <w:szCs w:val="22"/>
          <w:lang w:val="en-US" w:eastAsia="zh-CN"/>
        </w:rPr>
        <w:t xml:space="preserve"> 本合同一式两份，甲、乙双方各执一份，具有同等法律效力。</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2" w:firstLineChars="200"/>
        <w:jc w:val="left"/>
        <w:textAlignment w:val="auto"/>
        <w:outlineLvl w:val="9"/>
        <w:rPr>
          <w:rFonts w:ascii="宋体" w:hAnsi="宋体" w:eastAsia="仿宋_GB2312"/>
          <w:b/>
          <w:bCs/>
          <w:color w:val="000000"/>
          <w:sz w:val="22"/>
          <w:szCs w:val="22"/>
          <w:u w:val="wave"/>
        </w:rPr>
      </w:pPr>
      <w:r>
        <w:rPr>
          <w:rFonts w:hint="eastAsia" w:ascii="宋体" w:hAnsi="宋体" w:eastAsia="仿宋_GB2312"/>
          <w:b/>
          <w:bCs/>
          <w:color w:val="000000"/>
          <w:sz w:val="22"/>
          <w:szCs w:val="22"/>
          <w:u w:val="wave"/>
        </w:rPr>
        <w:t>请用气人仔细阅读通用条款及供气人提供的安全用气须知，再行签署本合同。</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40" w:firstLineChars="200"/>
        <w:jc w:val="left"/>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用气人（甲方）：                   供气人（乙方盖章）：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40" w:firstLineChars="200"/>
        <w:jc w:val="both"/>
        <w:textAlignment w:val="auto"/>
        <w:outlineLvl w:val="9"/>
        <w:rPr>
          <w:rFonts w:hint="eastAsia" w:ascii="宋体" w:hAnsi="宋体" w:eastAsia="仿宋_GB2312"/>
          <w:b w:val="0"/>
          <w:bCs w:val="0"/>
          <w:sz w:val="22"/>
          <w:szCs w:val="22"/>
          <w:lang w:val="en-US" w:eastAsia="zh-CN"/>
        </w:rPr>
      </w:pPr>
    </w:p>
    <w:tbl>
      <w:tblPr>
        <w:tblStyle w:val="7"/>
        <w:tblW w:w="10080"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5040"/>
        <w:gridCol w:w="504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24" w:hRule="atLeast"/>
          <w:jc w:val="center"/>
        </w:trPr>
        <w:tc>
          <w:tcPr>
            <w:tcW w:w="504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 xml:space="preserve">公民身份号码：  </w:t>
            </w:r>
          </w:p>
        </w:tc>
        <w:tc>
          <w:tcPr>
            <w:tcW w:w="504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统一社会信用代码：</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24" w:hRule="atLeast"/>
          <w:jc w:val="center"/>
        </w:trPr>
        <w:tc>
          <w:tcPr>
            <w:tcW w:w="504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手机号码：</w:t>
            </w:r>
          </w:p>
        </w:tc>
        <w:tc>
          <w:tcPr>
            <w:tcW w:w="504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服务电话：</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jc w:val="center"/>
        </w:trPr>
        <w:tc>
          <w:tcPr>
            <w:tcW w:w="504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应急联系人姓名及电话：</w:t>
            </w:r>
          </w:p>
        </w:tc>
        <w:tc>
          <w:tcPr>
            <w:tcW w:w="504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24小时报修电话：</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jc w:val="center"/>
        </w:trPr>
        <w:tc>
          <w:tcPr>
            <w:tcW w:w="504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电子邮件：</w:t>
            </w:r>
          </w:p>
        </w:tc>
        <w:tc>
          <w:tcPr>
            <w:tcW w:w="5040" w:type="dxa"/>
            <w:tcBorders>
              <w:tl2br w:val="nil"/>
              <w:tr2bl w:val="nil"/>
            </w:tcBorders>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 xml:space="preserve">电子邮件：     </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 xml:space="preserve">                         </w:t>
      </w:r>
      <w:r>
        <w:rPr>
          <w:rFonts w:hint="eastAsia"/>
          <w:b w:val="0"/>
          <w:bCs w:val="0"/>
          <w:sz w:val="22"/>
          <w:szCs w:val="22"/>
          <w:lang w:val="en-US" w:eastAsia="zh-CN"/>
        </w:rPr>
        <w:t xml:space="preserve">                       </w:t>
      </w:r>
      <w:r>
        <w:rPr>
          <w:rFonts w:hint="eastAsia" w:ascii="宋体" w:hAnsi="宋体" w:eastAsia="仿宋_GB2312"/>
          <w:b w:val="0"/>
          <w:bCs w:val="0"/>
          <w:sz w:val="22"/>
          <w:szCs w:val="22"/>
          <w:lang w:val="en-US" w:eastAsia="zh-CN"/>
        </w:rPr>
        <w:t xml:space="preserve"> 签订时间：      年   月   日   </w:t>
      </w:r>
    </w:p>
    <w:p>
      <w:pPr>
        <w:pStyle w:val="2"/>
        <w:keepNext w:val="0"/>
        <w:keepLines w:val="0"/>
        <w:pageBreakBefore w:val="0"/>
        <w:kinsoku/>
        <w:wordWrap/>
        <w:overflowPunct/>
        <w:topLinePunct w:val="0"/>
        <w:autoSpaceDE/>
        <w:autoSpaceDN/>
        <w:bidi w:val="0"/>
        <w:adjustRightInd w:val="0"/>
        <w:snapToGrid w:val="0"/>
        <w:spacing w:line="240" w:lineRule="auto"/>
        <w:ind w:right="0" w:rightChars="0" w:firstLine="440" w:firstLineChars="200"/>
        <w:textAlignment w:val="auto"/>
        <w:rPr>
          <w:rFonts w:ascii="宋体" w:hAnsi="宋体" w:eastAsia="仿宋_GB2312"/>
          <w:b w:val="0"/>
          <w:bCs w:val="0"/>
          <w:sz w:val="22"/>
          <w:szCs w:val="22"/>
        </w:rPr>
      </w:pPr>
    </w:p>
    <w:p>
      <w:pPr>
        <w:pStyle w:val="3"/>
        <w:keepNext w:val="0"/>
        <w:keepLines w:val="0"/>
        <w:pageBreakBefore w:val="0"/>
        <w:kinsoku/>
        <w:overflowPunct/>
        <w:topLinePunct w:val="0"/>
        <w:autoSpaceDE/>
        <w:autoSpaceDN/>
        <w:bidi w:val="0"/>
        <w:adjustRightInd w:val="0"/>
        <w:snapToGrid w:val="0"/>
        <w:spacing w:line="240" w:lineRule="auto"/>
        <w:ind w:right="0" w:rightChars="0"/>
        <w:rPr>
          <w:sz w:val="16"/>
          <w:szCs w:val="18"/>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方正小标宋简体" w:cs="方正小标宋简体"/>
          <w:b w:val="0"/>
          <w:bCs w:val="0"/>
          <w:sz w:val="32"/>
          <w:szCs w:val="32"/>
        </w:rPr>
      </w:pPr>
      <w:r>
        <w:rPr>
          <w:rFonts w:hint="eastAsia" w:ascii="宋体" w:hAnsi="宋体" w:eastAsia="方正小标宋简体" w:cs="方正小标宋简体"/>
          <w:b w:val="0"/>
          <w:bCs w:val="0"/>
          <w:sz w:val="32"/>
          <w:szCs w:val="32"/>
        </w:rPr>
        <w:t>通</w:t>
      </w:r>
      <w:r>
        <w:rPr>
          <w:rFonts w:hint="eastAsia" w:ascii="宋体" w:hAnsi="宋体" w:eastAsia="方正小标宋简体" w:cs="方正小标宋简体"/>
          <w:b w:val="0"/>
          <w:bCs w:val="0"/>
          <w:sz w:val="32"/>
          <w:szCs w:val="32"/>
          <w:lang w:val="en-US" w:eastAsia="zh-CN"/>
        </w:rPr>
        <w:t xml:space="preserve"> </w:t>
      </w:r>
      <w:r>
        <w:rPr>
          <w:rFonts w:hint="eastAsia" w:ascii="宋体" w:hAnsi="宋体" w:eastAsia="方正小标宋简体" w:cs="方正小标宋简体"/>
          <w:b w:val="0"/>
          <w:bCs w:val="0"/>
          <w:sz w:val="32"/>
          <w:szCs w:val="32"/>
        </w:rPr>
        <w:t>用</w:t>
      </w:r>
      <w:r>
        <w:rPr>
          <w:rFonts w:hint="eastAsia" w:ascii="宋体" w:hAnsi="宋体" w:eastAsia="方正小标宋简体" w:cs="方正小标宋简体"/>
          <w:b w:val="0"/>
          <w:bCs w:val="0"/>
          <w:sz w:val="32"/>
          <w:szCs w:val="32"/>
          <w:lang w:val="en-US" w:eastAsia="zh-CN"/>
        </w:rPr>
        <w:t xml:space="preserve"> </w:t>
      </w:r>
      <w:r>
        <w:rPr>
          <w:rFonts w:hint="eastAsia" w:ascii="宋体" w:hAnsi="宋体" w:eastAsia="方正小标宋简体" w:cs="方正小标宋简体"/>
          <w:b w:val="0"/>
          <w:bCs w:val="0"/>
          <w:sz w:val="32"/>
          <w:szCs w:val="32"/>
        </w:rPr>
        <w:t>条</w:t>
      </w:r>
      <w:r>
        <w:rPr>
          <w:rFonts w:hint="eastAsia" w:ascii="宋体" w:hAnsi="宋体" w:eastAsia="方正小标宋简体" w:cs="方正小标宋简体"/>
          <w:b w:val="0"/>
          <w:bCs w:val="0"/>
          <w:sz w:val="32"/>
          <w:szCs w:val="32"/>
          <w:lang w:val="en-US" w:eastAsia="zh-CN"/>
        </w:rPr>
        <w:t xml:space="preserve"> </w:t>
      </w:r>
      <w:r>
        <w:rPr>
          <w:rFonts w:hint="eastAsia" w:ascii="宋体" w:hAnsi="宋体" w:eastAsia="方正小标宋简体" w:cs="方正小标宋简体"/>
          <w:b w:val="0"/>
          <w:bCs w:val="0"/>
          <w:sz w:val="32"/>
          <w:szCs w:val="32"/>
        </w:rPr>
        <w:t>款</w:t>
      </w:r>
    </w:p>
    <w:p>
      <w:pPr>
        <w:pStyle w:val="2"/>
        <w:keepNext w:val="0"/>
        <w:keepLines w:val="0"/>
        <w:pageBreakBefore w:val="0"/>
        <w:kinsoku/>
        <w:wordWrap/>
        <w:overflowPunct/>
        <w:topLinePunct w:val="0"/>
        <w:autoSpaceDE/>
        <w:autoSpaceDN/>
        <w:bidi w:val="0"/>
        <w:adjustRightInd w:val="0"/>
        <w:snapToGrid w:val="0"/>
        <w:spacing w:line="240" w:lineRule="auto"/>
        <w:ind w:right="0" w:rightChars="0" w:firstLine="440" w:firstLineChars="200"/>
        <w:textAlignment w:val="auto"/>
        <w:rPr>
          <w:rFonts w:hint="eastAsia" w:ascii="宋体" w:hAnsi="宋体" w:eastAsia="仿宋_GB2312"/>
          <w:b w:val="0"/>
          <w:bCs w:val="0"/>
          <w:sz w:val="22"/>
          <w:szCs w:val="2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黑体" w:cs="黑体"/>
          <w:b w:val="0"/>
          <w:bCs w:val="0"/>
          <w:sz w:val="22"/>
          <w:szCs w:val="22"/>
        </w:rPr>
      </w:pPr>
      <w:r>
        <w:rPr>
          <w:rFonts w:hint="eastAsia" w:ascii="宋体" w:hAnsi="宋体" w:eastAsia="黑体" w:cs="黑体"/>
          <w:b w:val="0"/>
          <w:bCs w:val="0"/>
          <w:sz w:val="22"/>
          <w:szCs w:val="22"/>
        </w:rPr>
        <w:t>一、安全和服务责任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1.甲方应了解燃气安全使用常识，对室(户)内燃气设施及燃气燃烧器具进行日常检查，配合乙方的入户安全检查，及时整改安全用气隐患。</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2.甲方发现室（户）内燃气设施或者燃气燃烧器具异常、燃气泄漏、意外停气等故障时，应及时向乙方报修；乙方提供24小时应急抢险服务，应不迟于甲方报修后    分钟上门检查，其中对燃气泄漏的报修要立即安排人员上门检修。</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3.甲方对外出租（借）房屋时，保证所提供的燃气设施和燃气燃烧器具符合安全要求，告知房屋使用人安全使用燃气的注意事项、配合乙方的入户安全检查作业并履行甲方在本合同中的安全用气义务。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4.甲方拟连续半年以上不使用燃气的，应关闭燃气计量表前非公用阀门并告知乙方。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5.甲方应安装带有燃气超压、欠压、过流切断保护功能的自闭阀，须及时更换超过使用年限的燃气燃烧器具，由乙方提供相应服务，配合乙方为排除用气安全隐患而开展的燃气表后至燃具前设施修理、材料更换。</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6.甲方专有部分燃气设施需要维修、安装、改装、移动或拆除的，应由乙方实施作业，乙方应在甲方提出要求的当日与甲方约定实施作业时间，按公示价格收取费用，并承担相应作业的质量责任。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7.乙方免费对甲方室（户）内燃气设施进行入户安全检查，其中：通气20年以下的每两年不少于1次，通气20年以上的每年不少于1次；农村煤改气用户每年不少于2次，一次安排在采暖期前。甲方在承担费用的前提下，有权要求乙方增加入户安全检查频次，乙方应予以安排。</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8.甲方有义务配合乙方人员入户安全检查，因甲方原因未能按照乙方公示的时间进行入户安全巡检的，甲方应主动与乙方另行预约巡检时间。乙方安全检查后，应当就甲方存在的用气安全隐患提出整改建议，甲方应当及时整改。乙方应实时追踪隐患整改情况，直至整改完毕。甲方拒不整改安全隐患的，应当向甲方所在街道乡镇和城市执法部门书面报告。</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9.乙方提供24小时售气服务；在售气网点和营业场所等公示有关燃气安全、质量、收费标准和服务质量承诺。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10.乙方因计划检修、更换设施等情况需临时调整供气量或暂停供气的，应提前48小时告知甲方。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11.乙方应每季度通过手机、邮件、网络等形式提示甲方安全用气事项；乙方入户巡检时、甲方到售气网点购气时，乙方应向甲方发放安全用气须知。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12.乙方可为甲方提供代办燃气综合保险的服务。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13.甲方禁止实施下列行为：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（1）操作公用燃气阀门、将燃气管道作为负重支架或接地引线；</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（2）使用不带熄火保护功能、超过使用年限（按照国家标准规定，燃气热水器、灶具、壁挂炉等自售出之日起，8年后不应再使用）的燃气燃烧器具；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（3）自行或委托乙方以外的第三方改动室（户）内的燃气管线、阀门、燃气计量表等设施；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（4）发现室（户）内燃气设施或者燃气燃烧器具异常、燃气泄漏、意外停气等故障时，在现场使用明火、开关电器、拨打电话；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（5）实施影响燃气计量表正常使用的行为；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（6）无理由拒绝入户安全检查或者拒不整改用气安全隐患。</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黑体" w:cs="黑体"/>
          <w:b w:val="0"/>
          <w:bCs w:val="0"/>
          <w:sz w:val="22"/>
          <w:szCs w:val="22"/>
        </w:rPr>
      </w:pPr>
      <w:r>
        <w:rPr>
          <w:rFonts w:hint="eastAsia" w:ascii="宋体" w:hAnsi="宋体" w:eastAsia="黑体" w:cs="黑体"/>
          <w:b w:val="0"/>
          <w:bCs w:val="0"/>
          <w:sz w:val="22"/>
          <w:szCs w:val="22"/>
        </w:rPr>
        <w:t>二、违约责任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1.甲方有下列情形并经劝阻无效的，乙方在履行书面告知义务后可采取限制或暂停供气措施。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（1）存在盗用燃气行为；（2）拒绝乙方入户安全检查；（3）拒不整改危及公共安全的燃气隐患；（4）将生活用气擅自改为经营用气；（5）拖欠和拒绝支付燃气费用。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2.甲方因擅自拆改室内燃气设施和操作公用阀门、使用不符合安全要求的燃气燃烧器具、拒绝乙方入户安全检查、拒绝乙方提出的安全隐患整改建议等行为，导致发生燃气安全事故，给其他方造成损失的，甲方应承担相应赔偿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3.除自然灾害和战争等不可抗力外，乙方停气、调整供气压力未按本合同约定提前公示而给甲方造成直接经济损失的，乙方应承担相应赔偿责任。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rFonts w:hint="eastAsia" w:ascii="宋体" w:hAnsi="宋体" w:eastAsia="仿宋_GB2312"/>
          <w:b w:val="0"/>
          <w:bCs w:val="0"/>
          <w:sz w:val="22"/>
          <w:szCs w:val="22"/>
          <w:lang w:val="en-US" w:eastAsia="zh-CN"/>
        </w:rPr>
      </w:pPr>
      <w:r>
        <w:rPr>
          <w:rFonts w:hint="eastAsia" w:ascii="宋体" w:hAnsi="宋体" w:eastAsia="仿宋_GB2312"/>
          <w:b w:val="0"/>
          <w:bCs w:val="0"/>
          <w:sz w:val="22"/>
          <w:szCs w:val="22"/>
          <w:lang w:val="en-US" w:eastAsia="zh-CN"/>
        </w:rPr>
        <w:t>4.乙方未按照约定周期及作业内容进行安全巡检、发现甲方燃气设施和燃气燃烧器具存在安全隐患未向甲方书面告知，导致发生燃气安全事故，给甲方和其他方造成损失的，乙方应承担相应赔偿责任。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firstLineChars="200"/>
        <w:jc w:val="both"/>
        <w:textAlignment w:val="auto"/>
        <w:outlineLvl w:val="9"/>
        <w:rPr>
          <w:sz w:val="22"/>
          <w:szCs w:val="22"/>
        </w:rPr>
      </w:pPr>
      <w:r>
        <w:rPr>
          <w:rFonts w:hint="eastAsia" w:ascii="宋体" w:hAnsi="宋体" w:eastAsia="仿宋_GB2312"/>
          <w:b w:val="0"/>
          <w:bCs w:val="0"/>
          <w:sz w:val="22"/>
          <w:szCs w:val="22"/>
          <w:lang w:val="en-US" w:eastAsia="zh-CN"/>
        </w:rPr>
        <w:t>5.甲方出租（借）房屋，没有证据证明已向房屋使用人告知安全使用燃气的注意事项及本合同有关内容，对燃气事故应承担连带责任。因乙方提供的燃气不符合国家标准，导致甲方在用气过程中产生安全事故，造成人身伤害或死亡的，由乙方承担全部责任，并赔偿相应损失。</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BC402"/>
    <w:multiLevelType w:val="singleLevel"/>
    <w:tmpl w:val="5FFBC402"/>
    <w:lvl w:ilvl="0" w:tentative="0">
      <w:start w:val="5"/>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T0NNaAZweoqF1HV6uNzFigtXT30=" w:salt="1Hc4PxyowOrCY1phVlDf3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E4A6C"/>
    <w:rsid w:val="11220D2F"/>
    <w:rsid w:val="1FF66BA3"/>
    <w:rsid w:val="2F4E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ind w:left="114"/>
    </w:pPr>
    <w:rPr>
      <w:rFonts w:hint="eastAsia" w:eastAsia="宋体"/>
      <w:sz w:val="3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Normal (Web)"/>
    <w:basedOn w:val="1"/>
    <w:qFormat/>
    <w:uiPriority w:val="0"/>
    <w:pPr>
      <w:widowControl/>
      <w:spacing w:before="100" w:beforeLines="0" w:beforeAutospacing="1"/>
      <w:jc w:val="center"/>
    </w:pPr>
    <w:rPr>
      <w:rFonts w:eastAsia="宋体"/>
      <w:snapToGrid/>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2021-01-19T02:47:00Z</dcterms:created>
  <dc:creator>LRL</dc:creator>
  <cp:lastModifiedBy>张洪涛</cp:lastModifiedBy>
  <dcterms:modified xsi:type="dcterms:W3CDTF">2022-02-11T02:43:47Z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