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755B">
      <w:pPr>
        <w:spacing w:line="560" w:lineRule="exact"/>
        <w:outlineLvl w:val="1"/>
        <w:rPr>
          <w:rFonts w:ascii="黑体" w:hAnsi="黑体" w:eastAsia="黑体" w:cs="黑体"/>
          <w:sz w:val="32"/>
          <w:szCs w:val="32"/>
        </w:rPr>
      </w:pPr>
      <w:bookmarkStart w:id="0" w:name="_Toc181802654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CF0ED5D">
      <w:pPr>
        <w:spacing w:line="560" w:lineRule="exact"/>
        <w:outlineLvl w:val="1"/>
        <w:rPr>
          <w:rFonts w:ascii="黑体" w:hAnsi="黑体" w:eastAsia="黑体" w:cs="黑体"/>
          <w:sz w:val="32"/>
          <w:szCs w:val="32"/>
        </w:rPr>
      </w:pPr>
    </w:p>
    <w:p w14:paraId="79E10C82"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关于《家庭环境通用人工智能测试规范 视觉心智能力》的起草说明</w:t>
      </w:r>
      <w:bookmarkEnd w:id="0"/>
    </w:p>
    <w:p w14:paraId="7F42BB26">
      <w:pPr>
        <w:spacing w:line="560" w:lineRule="exact"/>
        <w:rPr>
          <w:rFonts w:eastAsia="仿宋_GB2312"/>
          <w:sz w:val="32"/>
          <w:szCs w:val="32"/>
        </w:rPr>
      </w:pPr>
    </w:p>
    <w:p w14:paraId="7C038FC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落实《国家标准化发展纲要》，根据首都标准化委员会印发的《北京市以标准升级促进经济高质量发展实施方案》相关工作部署，发挥标准化对首都经济高质量发展的基础性、战略性、引领性作用，更好支撑北京国际科技创新中心建设，市科委、中关村管委会会同市市场监管局研究制定《家庭环境通用人工智能测试规范 视觉心智能力》。</w:t>
      </w:r>
    </w:p>
    <w:p w14:paraId="0923858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一、制定背景</w:t>
      </w:r>
    </w:p>
    <w:p w14:paraId="665D388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近年来，国际上推出的大模型在大算力的加持下，突破了传统单一任务的局限性，适配多个下游任务已成为可能。然而，大模型距离实现通用人工智能的目标尚有较大差距。发展通用人工智能，首先要明确通用人工智能的研究目标。目前业界尚缺乏一个通用人工智能评级测试标准与平台。传统的人工智能测评方法，包括人类鉴定测试，以及基于数据集或虚拟环境的任务导向基准测试。但上述方法对于通用人工智能均存在种种局限性。现存的人工智能测试存在主观性强、局限在相对单一的任务空间、缺乏与人交互过程中的价值测试等局限性。对于通用人工智能测试中所运用的复杂任务，需要一套更完善的体系来实现任务分析、分解和测试,对于通用人工智能的测试标准还亟待建立。</w:t>
      </w:r>
    </w:p>
    <w:p w14:paraId="0D0AC59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2024年8月6日，首都标准化委员会印发《北京市以标准升级促进经济高质量发展实施方案》，为落实文件工作部署，由市科委、中关村管委会会同市市场监管局共同研究制定《家庭环境通用人工智能测试规范 视觉心智能力》。本标准由北京通用人工智能研究院于2023年提出，北京市市场监督管理局关于印发《2024年北京市地方标准制定项目增补计划》的通知批准立项，标准立项号：20241184。</w:t>
      </w:r>
    </w:p>
    <w:p w14:paraId="051A01B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二、制定依据</w:t>
      </w:r>
    </w:p>
    <w:p w14:paraId="45B52778">
      <w:pPr>
        <w:spacing w:line="560" w:lineRule="exact"/>
        <w:ind w:firstLine="640" w:firstLineChars="200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《家庭环境通用人工智能测试规范 视觉心智能力》主要依据《中华人民共和国标准化法》《北京市标准化办法》等法规规定和《国家标准化发展纲要》《首都标准化发展纲要2035》《推动首都高质量发展标准体系建设实施方案》等标准化文件制定。本标准的制定具有较强的法律法规依据。《生成式人工智能服务管理暂行办法》 第十三条 提供者应当在其服务过程中， 提供安全、 稳定、 持续的服务， 保障用户正常使用。第十六条 网信、 发展改革、 教育、 科技、 工业和信息化、 公安、 广播电视、 新闻出版等部门， 依据各自职责依法加强对生成式人工智能服务的管理。</w:t>
      </w:r>
    </w:p>
    <w:p w14:paraId="0DE307E8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 w14:paraId="3FE0175B"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（一）明确标准体系建设基本原则和目标</w:t>
      </w:r>
    </w:p>
    <w:p w14:paraId="3B999F80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标准体系建设按照层次分明、重点突出、需求导向、开拓创新、协调一致，科学适用的原则，规定了适用家庭环境的通用人工智能视觉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心智</w:t>
      </w:r>
      <w:r>
        <w:rPr>
          <w:rFonts w:hint="eastAsia" w:ascii="仿宋_GB2312" w:hAnsi="仿宋" w:eastAsia="仿宋_GB2312"/>
          <w:sz w:val="32"/>
          <w:szCs w:val="32"/>
        </w:rPr>
        <w:t>能力的测试规范，描述了测试方法等内容，构建结构合理、层次分明、重点突出、科学适用的家庭环境通用人工智能视觉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心智</w:t>
      </w:r>
      <w:r>
        <w:rPr>
          <w:rFonts w:hint="eastAsia" w:ascii="仿宋_GB2312" w:hAnsi="仿宋" w:eastAsia="仿宋_GB2312"/>
          <w:sz w:val="32"/>
          <w:szCs w:val="32"/>
        </w:rPr>
        <w:t>能力测试标准体系。</w:t>
      </w:r>
    </w:p>
    <w:p w14:paraId="7F0E858D"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（二）提出标准体系结构框架</w:t>
      </w:r>
    </w:p>
    <w:p w14:paraId="7324899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本标准正文共分五章，内容框架如下：范围、规范性引用文件、术语和定义、测试指标体系、测试流程。</w:t>
      </w:r>
    </w:p>
    <w:p w14:paraId="4A93F05A"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（三）突出标准体系建设重点任务</w:t>
      </w:r>
    </w:p>
    <w:p w14:paraId="15656165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本标准作为家庭环境通用人工智能视觉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心智</w:t>
      </w:r>
      <w:r>
        <w:rPr>
          <w:rFonts w:hint="eastAsia" w:ascii="仿宋_GB2312" w:hAnsi="仿宋" w:eastAsia="仿宋_GB2312"/>
          <w:sz w:val="32"/>
          <w:szCs w:val="32"/>
        </w:rPr>
        <w:t>能力测试规范的约束文件， 在编制过程中，充分吸收了相关的现行法律、法规和强制性国家标准，与既有法律、法规及标准体系不存在冲突。在尊重现行法律、法规和强制性国家标准的同时， 充分吸收其他人工智能领域的先进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经验和标准规范，结合北京市特色，提升标准的规范性与可操作性。本标准的颁布与实施，将有效规范家庭环境通用人工智能视觉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心智</w:t>
      </w:r>
      <w:r>
        <w:rPr>
          <w:rFonts w:hint="eastAsia" w:ascii="仿宋_GB2312" w:hAnsi="仿宋" w:eastAsia="仿宋_GB2312"/>
          <w:sz w:val="32"/>
          <w:szCs w:val="32"/>
        </w:rPr>
        <w:t xml:space="preserve">能力的测试流程，对统一评估方法、提升测试结果的可比性和应用价值具有重要意义。  </w:t>
      </w:r>
    </w:p>
    <w:p w14:paraId="3B34A6DE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（四）制定保障措施</w:t>
      </w:r>
    </w:p>
    <w:p w14:paraId="0BEB3E61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从加强组织领导、严控标准质量、推动标准实施与评估三方面，保障标准体系建设质量。</w:t>
      </w:r>
    </w:p>
    <w:p w14:paraId="2984E9EE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F7890-859A-4A0D-A6E8-3E71D5A73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771BD9-9C87-431E-9FBF-EF90C58222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7D83B0-897C-4FEC-BF64-4941EE1967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54352B-364B-4C26-83C8-7638EBBD67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575C6F-AED7-43E1-A114-C96C4EF210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A9053CF-844E-4119-A9BF-9E58C44B8C7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S3tDQwNDKxNDUyMjVW0lEKTi0uzszPAykwqgUAYD2NkSwAAAA="/>
  </w:docVars>
  <w:rsids>
    <w:rsidRoot w:val="00EB6363"/>
    <w:rsid w:val="003A536F"/>
    <w:rsid w:val="00453485"/>
    <w:rsid w:val="00697CA6"/>
    <w:rsid w:val="006A745E"/>
    <w:rsid w:val="009E2080"/>
    <w:rsid w:val="00D151AD"/>
    <w:rsid w:val="00E13742"/>
    <w:rsid w:val="00EB6363"/>
    <w:rsid w:val="4780542A"/>
    <w:rsid w:val="483D45DA"/>
    <w:rsid w:val="4D2C3F3C"/>
    <w:rsid w:val="4F10342B"/>
    <w:rsid w:val="567E11E9"/>
    <w:rsid w:val="5C61534A"/>
    <w:rsid w:val="60487075"/>
    <w:rsid w:val="6A7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1402</Words>
  <Characters>1421</Characters>
  <Lines>44</Lines>
  <Paragraphs>31</Paragraphs>
  <TotalTime>2</TotalTime>
  <ScaleCrop>false</ScaleCrop>
  <LinksUpToDate>false</LinksUpToDate>
  <CharactersWithSpaces>1441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2025-09-09T01:35:00Z</dcterms:created>
  <dc:creator>a123</dc:creator>
  <cp:lastModifiedBy>微信用户</cp:lastModifiedBy>
  <cp:lastPrinted>2025-05-12T09:07:00Z</cp:lastPrinted>
  <dcterms:modified xsi:type="dcterms:W3CDTF">2025-09-16T08:41:42Z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D87291D515F04585B02321101A7A9763_13</vt:lpwstr>
  </property>
  <property fmtid="{D5CDD505-2E9C-101B-9397-08002B2CF9AE}" pid="4" name="GrammarlyDocumentId">
    <vt:lpwstr>922bc8d4-f4b8-4164-9676-2c9e5cc01269</vt:lpwstr>
  </property>
  <property fmtid="{D5CDD505-2E9C-101B-9397-08002B2CF9AE}" pid="5" name="KSOTemplateDocerSaveRecord">
    <vt:lpwstr>eyJoZGlkIjoiMzEwNTM5NzYwMDRjMzkwZTVkZjY2ODkwMGIxNGU0OTUiLCJ1c2VySWQiOiIxMzY2MzYzODcwIn0=</vt:lpwstr>
  </property>
</Properties>
</file>