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680" w:rightChars="800"/>
        <w:rPr>
          <w:rFonts w:hint="eastAsia" w:ascii="仿宋_GB2312" w:eastAsia="仿宋_GB2312"/>
          <w:color w:val="000000"/>
          <w:szCs w:val="21"/>
        </w:rPr>
      </w:pPr>
      <w:r>
        <w:rPr>
          <w:rFonts w:hint="eastAsia" w:ascii="仿宋_GB2312" w:eastAsia="仿宋_GB2312"/>
          <w:b/>
          <w:color w:val="000000"/>
          <w:szCs w:val="21"/>
        </w:rPr>
        <w:t>BF——20</w:t>
      </w:r>
      <w:r>
        <w:rPr>
          <w:rFonts w:hint="eastAsia" w:ascii="仿宋_GB2312" w:eastAsia="仿宋_GB2312"/>
          <w:b/>
          <w:color w:val="000000"/>
          <w:szCs w:val="21"/>
          <w:lang w:val="en-US" w:eastAsia="zh-CN"/>
        </w:rPr>
        <w:t>20</w:t>
      </w:r>
      <w:r>
        <w:rPr>
          <w:rFonts w:hint="eastAsia" w:ascii="仿宋_GB2312" w:eastAsia="仿宋_GB2312"/>
          <w:b/>
          <w:color w:val="000000"/>
          <w:szCs w:val="21"/>
        </w:rPr>
        <w:t>——</w:t>
      </w:r>
      <w:r>
        <w:rPr>
          <w:rFonts w:hint="eastAsia" w:ascii="仿宋_GB2312" w:eastAsia="仿宋_GB2312"/>
          <w:b/>
          <w:color w:val="000000"/>
          <w:szCs w:val="21"/>
          <w:lang w:val="en-US" w:eastAsia="zh-CN"/>
        </w:rPr>
        <w:t xml:space="preserve">    </w:t>
      </w:r>
      <w:r>
        <w:rPr>
          <w:rFonts w:hint="eastAsia" w:ascii="仿宋_GB2312" w:eastAsia="仿宋_GB2312"/>
          <w:color w:val="000000"/>
          <w:szCs w:val="21"/>
        </w:rPr>
        <w:t xml:space="preserve">                                                  </w:t>
      </w:r>
      <w:r>
        <w:rPr>
          <w:rFonts w:hint="eastAsia" w:ascii="仿宋_GB2312" w:eastAsia="仿宋_GB2312"/>
          <w:b/>
          <w:color w:val="000000"/>
          <w:szCs w:val="21"/>
        </w:rPr>
        <w:t>合同编号：</w:t>
      </w:r>
    </w:p>
    <w:p>
      <w:pPr>
        <w:widowControl/>
        <w:jc w:val="center"/>
        <w:rPr>
          <w:rFonts w:hint="eastAsia" w:ascii="仿宋_GB2312" w:hAnsi="宋体" w:eastAsia="仿宋_GB2312" w:cs="Arial"/>
          <w:b/>
          <w:bCs/>
          <w:color w:val="000000"/>
          <w:kern w:val="0"/>
          <w:sz w:val="32"/>
          <w:szCs w:val="32"/>
          <w:lang w:eastAsia="zh-CN"/>
        </w:rPr>
      </w:pPr>
      <w:bookmarkStart w:id="0" w:name="_GoBack"/>
      <w:r>
        <w:rPr>
          <w:rFonts w:hint="eastAsia" w:ascii="仿宋_GB2312" w:hAnsi="宋体" w:eastAsia="仿宋_GB2312" w:cs="Arial"/>
          <w:b/>
          <w:bCs/>
          <w:color w:val="000000"/>
          <w:kern w:val="0"/>
          <w:sz w:val="32"/>
          <w:szCs w:val="32"/>
        </w:rPr>
        <w:t>北京市</w:t>
      </w:r>
      <w:r>
        <w:rPr>
          <w:rFonts w:hint="eastAsia" w:ascii="仿宋_GB2312" w:hAnsi="宋体" w:eastAsia="仿宋_GB2312" w:cs="Arial"/>
          <w:b/>
          <w:bCs/>
          <w:color w:val="000000"/>
          <w:kern w:val="0"/>
          <w:sz w:val="32"/>
          <w:szCs w:val="32"/>
          <w:lang w:val="en-US" w:eastAsia="zh-CN"/>
        </w:rPr>
        <w:t>居民瓶装液化石油气供用</w:t>
      </w:r>
      <w:r>
        <w:rPr>
          <w:rFonts w:hint="eastAsia" w:ascii="仿宋_GB2312" w:hAnsi="宋体" w:eastAsia="仿宋_GB2312" w:cs="Arial"/>
          <w:b/>
          <w:bCs/>
          <w:color w:val="000000"/>
          <w:kern w:val="0"/>
          <w:sz w:val="32"/>
          <w:szCs w:val="32"/>
        </w:rPr>
        <w:t>合同</w:t>
      </w:r>
      <w:bookmarkEnd w:id="0"/>
    </w:p>
    <w:p>
      <w:pPr>
        <w:numPr>
          <w:ilvl w:val="0"/>
          <w:numId w:val="0"/>
        </w:numPr>
        <w:spacing w:line="300" w:lineRule="exact"/>
        <w:ind w:firstLine="420" w:firstLineChars="200"/>
        <w:rPr>
          <w:rFonts w:hint="eastAsia" w:ascii="仿宋_GB2312" w:hAnsi="宋体" w:eastAsia="仿宋_GB2312"/>
          <w:b w:val="0"/>
          <w:bCs w:val="0"/>
          <w:color w:val="000000"/>
          <w:szCs w:val="21"/>
          <w:lang w:val="en-US" w:eastAsia="zh-CN"/>
        </w:rPr>
      </w:pPr>
      <w:r>
        <w:rPr>
          <w:rFonts w:hint="eastAsia" w:ascii="仿宋_GB2312" w:hAnsi="宋体" w:eastAsia="仿宋_GB2312"/>
          <w:b w:val="0"/>
          <w:bCs w:val="0"/>
          <w:color w:val="000000"/>
          <w:szCs w:val="21"/>
          <w:lang w:val="en-US" w:eastAsia="zh-CN"/>
        </w:rPr>
        <w:t>根据《民法典》、《消费者权益保护法》、《北京市燃气管理条例》等国家和本市有关法律法规的规定，甲乙双方在自愿、公平和诚信的基础上，订立本合同。</w:t>
      </w:r>
    </w:p>
    <w:p>
      <w:pPr>
        <w:numPr>
          <w:ilvl w:val="0"/>
          <w:numId w:val="0"/>
        </w:numPr>
        <w:spacing w:line="300" w:lineRule="exact"/>
        <w:ind w:firstLine="420" w:firstLineChars="200"/>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第一条</w:t>
      </w:r>
      <w:r>
        <w:rPr>
          <w:rFonts w:hint="eastAsia" w:ascii="黑体" w:hAnsi="黑体" w:eastAsia="黑体" w:cs="黑体"/>
          <w:b w:val="0"/>
          <w:bCs w:val="0"/>
          <w:color w:val="000000"/>
          <w:szCs w:val="21"/>
        </w:rPr>
        <w:t xml:space="preserve"> </w:t>
      </w:r>
      <w:r>
        <w:rPr>
          <w:rFonts w:hint="eastAsia" w:ascii="黑体" w:hAnsi="黑体" w:eastAsia="黑体" w:cs="黑体"/>
          <w:b w:val="0"/>
          <w:bCs w:val="0"/>
          <w:color w:val="000000"/>
          <w:szCs w:val="21"/>
          <w:lang w:val="en-US" w:eastAsia="zh-CN"/>
        </w:rPr>
        <w:t xml:space="preserve"> 用气地点</w:t>
      </w:r>
    </w:p>
    <w:p>
      <w:pPr>
        <w:numPr>
          <w:ilvl w:val="0"/>
          <w:numId w:val="0"/>
        </w:numPr>
        <w:spacing w:line="300" w:lineRule="exact"/>
        <w:ind w:firstLine="420" w:firstLineChars="200"/>
        <w:rPr>
          <w:rFonts w:hint="eastAsia" w:ascii="仿宋_GB2312" w:hAnsi="宋体" w:eastAsia="仿宋_GB2312"/>
          <w:b/>
          <w:bCs/>
          <w:color w:val="000000"/>
          <w:szCs w:val="21"/>
          <w:u w:val="single"/>
          <w:lang w:val="en-US" w:eastAsia="zh-CN"/>
        </w:rPr>
      </w:pPr>
      <w:r>
        <w:rPr>
          <w:rFonts w:hint="eastAsia" w:ascii="仿宋_GB2312" w:hAnsi="仿宋_GB2312" w:eastAsia="仿宋_GB2312" w:cs="仿宋_GB2312"/>
          <w:b w:val="0"/>
          <w:bCs w:val="0"/>
          <w:color w:val="000000"/>
          <w:szCs w:val="21"/>
        </w:rPr>
        <w:t>用气地点</w:t>
      </w:r>
      <w:r>
        <w:rPr>
          <w:rFonts w:hint="eastAsia" w:ascii="仿宋_GB2312" w:hAnsi="仿宋_GB2312" w:eastAsia="仿宋_GB2312" w:cs="仿宋_GB2312"/>
          <w:b w:val="0"/>
          <w:bCs w:val="0"/>
          <w:color w:val="000000"/>
          <w:szCs w:val="21"/>
          <w:u w:val="none"/>
          <w:lang w:val="en-US" w:eastAsia="zh-CN"/>
        </w:rPr>
        <w:t>（地点填写到区、街乡镇，楼门牌号或农村的院落号）</w:t>
      </w:r>
      <w:r>
        <w:rPr>
          <w:rFonts w:hint="eastAsia" w:ascii="仿宋_GB2312" w:hAnsi="仿宋_GB2312" w:eastAsia="仿宋_GB2312" w:cs="仿宋_GB2312"/>
          <w:b w:val="0"/>
          <w:bCs w:val="0"/>
          <w:color w:val="000000"/>
          <w:szCs w:val="21"/>
          <w:lang w:val="en-US" w:eastAsia="zh-CN"/>
        </w:rPr>
        <w:t>：</w:t>
      </w:r>
      <w:r>
        <w:rPr>
          <w:rFonts w:hint="eastAsia" w:ascii="仿宋_GB2312" w:hAnsi="宋体" w:eastAsia="仿宋_GB2312"/>
          <w:b/>
          <w:bCs/>
          <w:color w:val="000000"/>
          <w:szCs w:val="21"/>
          <w:u w:val="single"/>
          <w:lang w:val="en-US" w:eastAsia="zh-CN"/>
        </w:rPr>
        <w:t xml:space="preserve">                                  </w:t>
      </w:r>
    </w:p>
    <w:p>
      <w:pPr>
        <w:widowControl/>
        <w:spacing w:line="300" w:lineRule="exact"/>
        <w:ind w:firstLine="413" w:firstLineChars="196"/>
        <w:jc w:val="left"/>
        <w:rPr>
          <w:rFonts w:hint="eastAsia" w:ascii="仿宋_GB2312" w:hAnsi="宋体" w:eastAsia="仿宋_GB2312"/>
          <w:b/>
          <w:bCs/>
          <w:color w:val="000000"/>
          <w:szCs w:val="21"/>
          <w:u w:val="single"/>
          <w:lang w:val="en-US" w:eastAsia="zh-CN"/>
        </w:rPr>
      </w:pPr>
      <w:r>
        <w:rPr>
          <w:rFonts w:hint="eastAsia" w:ascii="仿宋_GB2312" w:hAnsi="宋体" w:eastAsia="仿宋_GB2312"/>
          <w:b/>
          <w:bCs/>
          <w:color w:val="000000"/>
          <w:szCs w:val="21"/>
          <w:u w:val="single"/>
          <w:lang w:val="en-US" w:eastAsia="zh-CN"/>
        </w:rPr>
        <w:t xml:space="preserve">                                                                                          </w:t>
      </w:r>
    </w:p>
    <w:p>
      <w:pPr>
        <w:numPr>
          <w:ilvl w:val="0"/>
          <w:numId w:val="0"/>
        </w:numPr>
        <w:spacing w:line="300" w:lineRule="exact"/>
        <w:ind w:firstLine="420" w:firstLineChars="200"/>
        <w:rPr>
          <w:rFonts w:hint="eastAsia" w:ascii="黑体" w:hAnsi="黑体" w:eastAsia="黑体" w:cs="黑体"/>
          <w:b w:val="0"/>
          <w:bCs w:val="0"/>
          <w:color w:val="000000"/>
          <w:szCs w:val="21"/>
          <w:lang w:val="en-US" w:eastAsia="zh-CN"/>
        </w:rPr>
      </w:pPr>
    </w:p>
    <w:p>
      <w:pPr>
        <w:numPr>
          <w:ilvl w:val="0"/>
          <w:numId w:val="0"/>
        </w:numPr>
        <w:spacing w:line="300" w:lineRule="exact"/>
        <w:ind w:firstLine="420" w:firstLineChars="200"/>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第二条  用气设备名称</w:t>
      </w:r>
    </w:p>
    <w:tbl>
      <w:tblPr>
        <w:tblStyle w:val="7"/>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62"/>
        <w:gridCol w:w="1294"/>
        <w:gridCol w:w="2577"/>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1" w:type="dxa"/>
            <w:vAlign w:val="center"/>
          </w:tcPr>
          <w:p>
            <w:pPr>
              <w:spacing w:line="300" w:lineRule="exact"/>
              <w:jc w:val="center"/>
              <w:rPr>
                <w:rFonts w:hint="eastAsia" w:ascii="仿宋_GB2312" w:hAnsi="宋体" w:eastAsia="仿宋_GB2312" w:cs="Arial"/>
                <w:bCs/>
                <w:color w:val="000000"/>
                <w:kern w:val="0"/>
                <w:szCs w:val="21"/>
              </w:rPr>
            </w:pPr>
            <w:r>
              <w:rPr>
                <w:rFonts w:hint="eastAsia" w:ascii="仿宋_GB2312" w:hAnsi="宋体" w:eastAsia="仿宋_GB2312" w:cs="Arial"/>
                <w:b/>
                <w:bCs/>
                <w:color w:val="000000"/>
                <w:kern w:val="0"/>
                <w:szCs w:val="21"/>
                <w:lang w:val="en-US" w:eastAsia="zh-CN"/>
              </w:rPr>
              <w:t>名称</w:t>
            </w:r>
          </w:p>
        </w:tc>
        <w:tc>
          <w:tcPr>
            <w:tcW w:w="2662" w:type="dxa"/>
            <w:vAlign w:val="center"/>
          </w:tcPr>
          <w:p>
            <w:pPr>
              <w:spacing w:line="300" w:lineRule="exact"/>
              <w:jc w:val="center"/>
              <w:rPr>
                <w:rFonts w:hint="eastAsia" w:ascii="仿宋_GB2312" w:hAnsi="宋体" w:eastAsia="仿宋_GB2312" w:cs="Arial"/>
                <w:b/>
                <w:bCs/>
                <w:color w:val="000000"/>
                <w:kern w:val="0"/>
                <w:szCs w:val="21"/>
                <w:lang w:val="en-US" w:eastAsia="zh-CN"/>
              </w:rPr>
            </w:pPr>
            <w:r>
              <w:rPr>
                <w:rFonts w:hint="eastAsia" w:ascii="仿宋_GB2312" w:hAnsi="宋体" w:eastAsia="仿宋_GB2312" w:cs="Arial"/>
                <w:b/>
                <w:bCs/>
                <w:color w:val="000000"/>
                <w:kern w:val="0"/>
                <w:szCs w:val="21"/>
                <w:lang w:val="en-US" w:eastAsia="zh-CN"/>
              </w:rPr>
              <w:t>品牌、型号</w:t>
            </w:r>
          </w:p>
        </w:tc>
        <w:tc>
          <w:tcPr>
            <w:tcW w:w="1294" w:type="dxa"/>
            <w:vAlign w:val="center"/>
          </w:tcPr>
          <w:p>
            <w:pPr>
              <w:spacing w:line="300" w:lineRule="exact"/>
              <w:jc w:val="center"/>
              <w:rPr>
                <w:rFonts w:hint="default" w:ascii="仿宋_GB2312" w:hAnsi="宋体" w:eastAsia="仿宋_GB2312" w:cs="Arial"/>
                <w:b/>
                <w:bCs/>
                <w:color w:val="000000"/>
                <w:kern w:val="0"/>
                <w:szCs w:val="21"/>
                <w:lang w:val="en-US" w:eastAsia="zh-CN"/>
              </w:rPr>
            </w:pPr>
            <w:r>
              <w:rPr>
                <w:rFonts w:hint="eastAsia" w:ascii="仿宋_GB2312" w:hAnsi="宋体" w:eastAsia="仿宋_GB2312" w:cs="Arial"/>
                <w:b/>
                <w:bCs/>
                <w:color w:val="000000"/>
                <w:kern w:val="0"/>
                <w:szCs w:val="21"/>
                <w:lang w:val="en-US" w:eastAsia="zh-CN"/>
              </w:rPr>
              <w:t>数量</w:t>
            </w:r>
          </w:p>
        </w:tc>
        <w:tc>
          <w:tcPr>
            <w:tcW w:w="2577" w:type="dxa"/>
            <w:vAlign w:val="center"/>
          </w:tcPr>
          <w:p>
            <w:pPr>
              <w:spacing w:line="300" w:lineRule="exact"/>
              <w:jc w:val="center"/>
              <w:rPr>
                <w:rFonts w:hint="default" w:ascii="仿宋_GB2312" w:hAnsi="宋体" w:eastAsia="仿宋_GB2312" w:cs="Arial"/>
                <w:b/>
                <w:bCs/>
                <w:color w:val="000000"/>
                <w:kern w:val="0"/>
                <w:szCs w:val="21"/>
                <w:lang w:val="en-US" w:eastAsia="zh-CN"/>
              </w:rPr>
            </w:pPr>
            <w:r>
              <w:rPr>
                <w:rFonts w:hint="eastAsia" w:ascii="仿宋_GB2312" w:hAnsi="宋体" w:eastAsia="仿宋_GB2312" w:cs="Arial"/>
                <w:b/>
                <w:bCs/>
                <w:color w:val="000000"/>
                <w:kern w:val="0"/>
                <w:szCs w:val="21"/>
                <w:lang w:val="en-US" w:eastAsia="zh-CN"/>
              </w:rPr>
              <w:t>安装单位</w:t>
            </w:r>
          </w:p>
        </w:tc>
        <w:tc>
          <w:tcPr>
            <w:tcW w:w="1792" w:type="dxa"/>
            <w:vAlign w:val="center"/>
          </w:tcPr>
          <w:p>
            <w:pPr>
              <w:spacing w:line="300" w:lineRule="exact"/>
              <w:jc w:val="center"/>
              <w:rPr>
                <w:rFonts w:hint="eastAsia" w:ascii="仿宋_GB2312" w:hAnsi="宋体" w:eastAsia="仿宋_GB2312" w:cs="Arial"/>
                <w:b/>
                <w:bCs/>
                <w:color w:val="000000"/>
                <w:kern w:val="0"/>
                <w:szCs w:val="21"/>
                <w:lang w:val="en-US" w:eastAsia="zh-CN"/>
              </w:rPr>
            </w:pPr>
            <w:r>
              <w:rPr>
                <w:rFonts w:hint="eastAsia" w:ascii="仿宋_GB2312" w:hAnsi="宋体" w:eastAsia="仿宋_GB2312" w:cs="Arial"/>
                <w:b/>
                <w:bCs/>
                <w:color w:val="000000"/>
                <w:kern w:val="0"/>
                <w:szCs w:val="21"/>
                <w:lang w:val="en-US" w:eastAsia="zh-CN"/>
              </w:rPr>
              <w:t>安装时间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1" w:type="dxa"/>
            <w:vAlign w:val="top"/>
          </w:tcPr>
          <w:p>
            <w:pPr>
              <w:spacing w:line="300" w:lineRule="exact"/>
              <w:rPr>
                <w:rFonts w:hint="eastAsia" w:ascii="仿宋_GB2312" w:hAnsi="宋体" w:eastAsia="仿宋_GB2312" w:cs="Arial"/>
                <w:bCs/>
                <w:color w:val="000000"/>
                <w:kern w:val="0"/>
                <w:szCs w:val="21"/>
              </w:rPr>
            </w:pPr>
          </w:p>
        </w:tc>
        <w:tc>
          <w:tcPr>
            <w:tcW w:w="2662" w:type="dxa"/>
            <w:vAlign w:val="top"/>
          </w:tcPr>
          <w:p>
            <w:pPr>
              <w:spacing w:line="300" w:lineRule="exact"/>
              <w:jc w:val="center"/>
              <w:rPr>
                <w:rFonts w:hint="eastAsia" w:ascii="仿宋_GB2312" w:hAnsi="宋体" w:eastAsia="仿宋_GB2312" w:cs="Arial"/>
                <w:b/>
                <w:bCs/>
                <w:color w:val="000000"/>
                <w:kern w:val="0"/>
                <w:szCs w:val="21"/>
              </w:rPr>
            </w:pPr>
          </w:p>
        </w:tc>
        <w:tc>
          <w:tcPr>
            <w:tcW w:w="1294" w:type="dxa"/>
            <w:vAlign w:val="top"/>
          </w:tcPr>
          <w:p>
            <w:pPr>
              <w:spacing w:line="300" w:lineRule="exact"/>
              <w:jc w:val="center"/>
              <w:rPr>
                <w:rFonts w:hint="eastAsia" w:ascii="仿宋_GB2312" w:hAnsi="宋体" w:eastAsia="仿宋_GB2312" w:cs="Arial"/>
                <w:b/>
                <w:bCs/>
                <w:color w:val="000000"/>
                <w:kern w:val="0"/>
                <w:szCs w:val="21"/>
              </w:rPr>
            </w:pPr>
          </w:p>
        </w:tc>
        <w:tc>
          <w:tcPr>
            <w:tcW w:w="2577" w:type="dxa"/>
            <w:vAlign w:val="top"/>
          </w:tcPr>
          <w:p>
            <w:pPr>
              <w:spacing w:line="300" w:lineRule="exact"/>
              <w:jc w:val="center"/>
              <w:rPr>
                <w:rFonts w:hint="eastAsia" w:ascii="仿宋_GB2312" w:hAnsi="宋体" w:eastAsia="仿宋_GB2312" w:cs="Arial"/>
                <w:b/>
                <w:bCs/>
                <w:color w:val="000000"/>
                <w:kern w:val="0"/>
                <w:szCs w:val="21"/>
              </w:rPr>
            </w:pPr>
          </w:p>
        </w:tc>
        <w:tc>
          <w:tcPr>
            <w:tcW w:w="1792" w:type="dxa"/>
            <w:vAlign w:val="top"/>
          </w:tcPr>
          <w:p>
            <w:pPr>
              <w:spacing w:line="300" w:lineRule="exact"/>
              <w:jc w:val="center"/>
              <w:rPr>
                <w:rFonts w:hint="eastAsia" w:ascii="仿宋_GB2312" w:hAnsi="宋体" w:eastAsia="仿宋_GB2312" w:cs="Arial"/>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1" w:type="dxa"/>
            <w:vAlign w:val="top"/>
          </w:tcPr>
          <w:p>
            <w:pPr>
              <w:spacing w:line="300" w:lineRule="exact"/>
              <w:rPr>
                <w:rFonts w:hint="eastAsia" w:ascii="仿宋_GB2312" w:hAnsi="宋体" w:eastAsia="仿宋_GB2312" w:cs="Arial"/>
                <w:bCs/>
                <w:color w:val="000000"/>
                <w:kern w:val="0"/>
                <w:szCs w:val="21"/>
              </w:rPr>
            </w:pPr>
          </w:p>
        </w:tc>
        <w:tc>
          <w:tcPr>
            <w:tcW w:w="2662" w:type="dxa"/>
            <w:vAlign w:val="top"/>
          </w:tcPr>
          <w:p>
            <w:pPr>
              <w:spacing w:line="300" w:lineRule="exact"/>
              <w:jc w:val="center"/>
              <w:rPr>
                <w:rFonts w:hint="eastAsia" w:ascii="仿宋_GB2312" w:hAnsi="宋体" w:eastAsia="仿宋_GB2312" w:cs="Arial"/>
                <w:b/>
                <w:bCs/>
                <w:color w:val="000000"/>
                <w:kern w:val="0"/>
                <w:szCs w:val="21"/>
              </w:rPr>
            </w:pPr>
          </w:p>
        </w:tc>
        <w:tc>
          <w:tcPr>
            <w:tcW w:w="1294" w:type="dxa"/>
            <w:vAlign w:val="top"/>
          </w:tcPr>
          <w:p>
            <w:pPr>
              <w:spacing w:line="300" w:lineRule="exact"/>
              <w:jc w:val="center"/>
              <w:rPr>
                <w:rFonts w:hint="eastAsia" w:ascii="仿宋_GB2312" w:hAnsi="宋体" w:eastAsia="仿宋_GB2312" w:cs="Arial"/>
                <w:b/>
                <w:bCs/>
                <w:color w:val="000000"/>
                <w:kern w:val="0"/>
                <w:szCs w:val="21"/>
              </w:rPr>
            </w:pPr>
          </w:p>
        </w:tc>
        <w:tc>
          <w:tcPr>
            <w:tcW w:w="2577" w:type="dxa"/>
            <w:vAlign w:val="top"/>
          </w:tcPr>
          <w:p>
            <w:pPr>
              <w:spacing w:line="300" w:lineRule="exact"/>
              <w:jc w:val="center"/>
              <w:rPr>
                <w:rFonts w:hint="eastAsia" w:ascii="仿宋_GB2312" w:hAnsi="宋体" w:eastAsia="仿宋_GB2312" w:cs="Arial"/>
                <w:b/>
                <w:bCs/>
                <w:color w:val="000000"/>
                <w:kern w:val="0"/>
                <w:szCs w:val="21"/>
              </w:rPr>
            </w:pPr>
          </w:p>
        </w:tc>
        <w:tc>
          <w:tcPr>
            <w:tcW w:w="1792" w:type="dxa"/>
            <w:vAlign w:val="top"/>
          </w:tcPr>
          <w:p>
            <w:pPr>
              <w:spacing w:line="300" w:lineRule="exact"/>
              <w:jc w:val="center"/>
              <w:rPr>
                <w:rFonts w:hint="eastAsia" w:ascii="仿宋_GB2312" w:hAnsi="宋体" w:eastAsia="仿宋_GB2312" w:cs="Arial"/>
                <w:b/>
                <w:bCs/>
                <w:color w:val="000000"/>
                <w:kern w:val="0"/>
                <w:szCs w:val="21"/>
              </w:rPr>
            </w:pPr>
          </w:p>
        </w:tc>
      </w:tr>
    </w:tbl>
    <w:p>
      <w:pPr>
        <w:numPr>
          <w:ilvl w:val="0"/>
          <w:numId w:val="0"/>
        </w:numPr>
        <w:spacing w:line="300" w:lineRule="exact"/>
        <w:ind w:firstLine="420" w:firstLineChars="200"/>
        <w:rPr>
          <w:rFonts w:hint="eastAsia" w:ascii="黑体" w:hAnsi="黑体" w:eastAsia="黑体" w:cs="黑体"/>
          <w:b w:val="0"/>
          <w:bCs w:val="0"/>
          <w:color w:val="000000"/>
          <w:szCs w:val="21"/>
          <w:lang w:val="en-US" w:eastAsia="zh-CN"/>
        </w:rPr>
      </w:pPr>
    </w:p>
    <w:p>
      <w:pPr>
        <w:numPr>
          <w:ilvl w:val="0"/>
          <w:numId w:val="0"/>
        </w:numPr>
        <w:spacing w:line="300" w:lineRule="exact"/>
        <w:ind w:firstLine="420" w:firstLineChars="200"/>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第三条  气瓶及押金</w:t>
      </w:r>
    </w:p>
    <w:p>
      <w:pPr>
        <w:numPr>
          <w:ilvl w:val="0"/>
          <w:numId w:val="0"/>
        </w:numPr>
        <w:spacing w:line="300" w:lineRule="exact"/>
        <w:ind w:firstLine="420" w:firstLineChars="200"/>
        <w:rPr>
          <w:rFonts w:hint="default" w:ascii="仿宋_GB2312" w:hAnsi="宋体" w:eastAsia="仿宋_GB2312"/>
          <w:b w:val="0"/>
          <w:bCs w:val="0"/>
          <w:color w:val="000000"/>
          <w:szCs w:val="21"/>
          <w:lang w:val="en-US" w:eastAsia="zh-CN"/>
        </w:rPr>
      </w:pPr>
      <w:r>
        <w:rPr>
          <w:rFonts w:hint="default" w:ascii="仿宋_GB2312" w:hAnsi="宋体" w:eastAsia="仿宋_GB2312"/>
          <w:b w:val="0"/>
          <w:bCs w:val="0"/>
          <w:color w:val="000000"/>
          <w:szCs w:val="21"/>
          <w:lang w:val="en-US" w:eastAsia="zh-CN"/>
        </w:rPr>
        <w:t>甲方须使用乙方提供的</w:t>
      </w:r>
      <w:r>
        <w:rPr>
          <w:rFonts w:hint="eastAsia" w:ascii="仿宋_GB2312" w:hAnsi="宋体" w:eastAsia="仿宋_GB2312"/>
          <w:b w:val="0"/>
          <w:bCs w:val="0"/>
          <w:color w:val="000000"/>
          <w:szCs w:val="21"/>
          <w:u w:val="single"/>
          <w:lang w:val="en-US" w:eastAsia="zh-CN"/>
        </w:rPr>
        <w:t xml:space="preserve">      </w:t>
      </w:r>
      <w:r>
        <w:rPr>
          <w:rFonts w:hint="eastAsia" w:ascii="仿宋_GB2312" w:hAnsi="宋体" w:eastAsia="仿宋_GB2312"/>
          <w:b w:val="0"/>
          <w:bCs w:val="0"/>
          <w:color w:val="000000"/>
          <w:szCs w:val="21"/>
          <w:lang w:val="en-US" w:eastAsia="zh-CN"/>
        </w:rPr>
        <w:t>公斤（净含量）</w:t>
      </w:r>
      <w:r>
        <w:rPr>
          <w:rFonts w:hint="default" w:ascii="仿宋_GB2312" w:hAnsi="宋体" w:eastAsia="仿宋_GB2312"/>
          <w:b w:val="0"/>
          <w:bCs w:val="0"/>
          <w:color w:val="000000"/>
          <w:szCs w:val="21"/>
          <w:lang w:val="en-US" w:eastAsia="zh-CN"/>
        </w:rPr>
        <w:t>气瓶，乙方向甲方提供的气瓶应符合国家和本市气瓶安全技术规范要求，且在检验周期内。气瓶须纳入北京</w:t>
      </w:r>
      <w:r>
        <w:rPr>
          <w:rFonts w:hint="eastAsia" w:ascii="仿宋_GB2312" w:hAnsi="宋体" w:eastAsia="仿宋_GB2312"/>
          <w:b w:val="0"/>
          <w:bCs w:val="0"/>
          <w:color w:val="000000"/>
          <w:szCs w:val="21"/>
          <w:lang w:val="en-US" w:eastAsia="zh-CN"/>
        </w:rPr>
        <w:t>市</w:t>
      </w:r>
      <w:r>
        <w:rPr>
          <w:rFonts w:hint="default" w:ascii="仿宋_GB2312" w:hAnsi="宋体" w:eastAsia="仿宋_GB2312"/>
          <w:b w:val="0"/>
          <w:bCs w:val="0"/>
          <w:color w:val="000000"/>
          <w:szCs w:val="21"/>
          <w:lang w:val="en-US" w:eastAsia="zh-CN"/>
        </w:rPr>
        <w:t>统一的瓶装液化气管理信息化系统，瓶身应涂敷乙方标识。乙方负责气瓶日常维护、定期检验及超期报废工作</w:t>
      </w:r>
      <w:r>
        <w:rPr>
          <w:rFonts w:hint="eastAsia" w:ascii="仿宋_GB2312" w:hAnsi="宋体" w:eastAsia="仿宋_GB2312"/>
          <w:b w:val="0"/>
          <w:bCs w:val="0"/>
          <w:color w:val="000000"/>
          <w:szCs w:val="21"/>
          <w:lang w:val="en-US" w:eastAsia="zh-CN"/>
        </w:rPr>
        <w:t>。</w:t>
      </w:r>
    </w:p>
    <w:p>
      <w:pPr>
        <w:numPr>
          <w:ilvl w:val="0"/>
          <w:numId w:val="0"/>
        </w:numPr>
        <w:spacing w:line="300" w:lineRule="exact"/>
        <w:ind w:firstLine="420" w:firstLineChars="200"/>
        <w:rPr>
          <w:rFonts w:hint="eastAsia" w:ascii="仿宋_GB2312" w:hAnsi="仿宋_GB2312" w:eastAsia="仿宋_GB2312" w:cs="仿宋_GB2312"/>
          <w:b w:val="0"/>
          <w:bCs w:val="0"/>
          <w:color w:val="000000"/>
          <w:szCs w:val="21"/>
          <w:lang w:val="en-US" w:eastAsia="zh-CN"/>
        </w:rPr>
      </w:pPr>
      <w:r>
        <w:rPr>
          <w:rFonts w:hint="default" w:ascii="仿宋_GB2312" w:hAnsi="宋体" w:eastAsia="仿宋_GB2312"/>
          <w:b w:val="0"/>
          <w:bCs w:val="0"/>
          <w:color w:val="000000"/>
          <w:szCs w:val="21"/>
          <w:lang w:val="en-US" w:eastAsia="zh-CN"/>
        </w:rPr>
        <w:t>甲方须向乙方支付气瓶押金</w:t>
      </w:r>
      <w:r>
        <w:rPr>
          <w:rFonts w:hint="eastAsia" w:ascii="仿宋_GB2312" w:hAnsi="宋体" w:eastAsia="仿宋_GB2312"/>
          <w:b w:val="0"/>
          <w:bCs w:val="0"/>
          <w:color w:val="000000"/>
          <w:szCs w:val="21"/>
          <w:lang w:val="en-US" w:eastAsia="zh-CN"/>
        </w:rPr>
        <w:t>，每瓶</w:t>
      </w:r>
      <w:r>
        <w:rPr>
          <w:rFonts w:hint="eastAsia" w:ascii="仿宋_GB2312" w:hAnsi="宋体" w:eastAsia="仿宋_GB2312"/>
          <w:b w:val="0"/>
          <w:bCs w:val="0"/>
          <w:color w:val="000000"/>
          <w:szCs w:val="21"/>
          <w:u w:val="single"/>
          <w:lang w:val="en-US" w:eastAsia="zh-CN"/>
        </w:rPr>
        <w:t xml:space="preserve">        </w:t>
      </w:r>
      <w:r>
        <w:rPr>
          <w:rFonts w:hint="eastAsia" w:ascii="仿宋_GB2312" w:hAnsi="宋体" w:eastAsia="仿宋_GB2312"/>
          <w:b w:val="0"/>
          <w:bCs w:val="0"/>
          <w:color w:val="000000"/>
          <w:szCs w:val="21"/>
          <w:u w:val="none"/>
          <w:lang w:val="en-US" w:eastAsia="zh-CN"/>
        </w:rPr>
        <w:t>元</w:t>
      </w:r>
      <w:r>
        <w:rPr>
          <w:rFonts w:hint="eastAsia" w:ascii="仿宋_GB2312" w:hAnsi="宋体" w:eastAsia="仿宋_GB2312"/>
          <w:b w:val="0"/>
          <w:bCs w:val="0"/>
          <w:color w:val="000000"/>
          <w:szCs w:val="21"/>
          <w:lang w:val="en-US" w:eastAsia="zh-CN"/>
        </w:rPr>
        <w:t>。乙方为甲方免费办理购气卡，并实行信息化管理；</w:t>
      </w:r>
      <w:r>
        <w:rPr>
          <w:rFonts w:hint="default" w:ascii="仿宋_GB2312" w:hAnsi="宋体" w:eastAsia="仿宋_GB2312"/>
          <w:b w:val="0"/>
          <w:bCs w:val="0"/>
          <w:color w:val="000000"/>
          <w:szCs w:val="21"/>
          <w:lang w:val="en-US" w:eastAsia="zh-CN"/>
        </w:rPr>
        <w:t>甲方</w:t>
      </w:r>
      <w:r>
        <w:rPr>
          <w:rFonts w:hint="eastAsia" w:ascii="仿宋_GB2312" w:hAnsi="宋体" w:eastAsia="仿宋_GB2312"/>
          <w:b w:val="0"/>
          <w:bCs w:val="0"/>
          <w:color w:val="000000"/>
          <w:szCs w:val="21"/>
          <w:lang w:val="en-US" w:eastAsia="zh-CN"/>
        </w:rPr>
        <w:t>不再用</w:t>
      </w:r>
      <w:r>
        <w:rPr>
          <w:rFonts w:hint="default" w:ascii="仿宋_GB2312" w:hAnsi="宋体" w:eastAsia="仿宋_GB2312"/>
          <w:b w:val="0"/>
          <w:bCs w:val="0"/>
          <w:color w:val="000000"/>
          <w:szCs w:val="21"/>
          <w:lang w:val="en-US" w:eastAsia="zh-CN"/>
        </w:rPr>
        <w:t>气</w:t>
      </w:r>
      <w:r>
        <w:rPr>
          <w:rFonts w:hint="eastAsia" w:ascii="仿宋_GB2312" w:hAnsi="宋体" w:eastAsia="仿宋_GB2312"/>
          <w:b w:val="0"/>
          <w:bCs w:val="0"/>
          <w:color w:val="000000"/>
          <w:szCs w:val="21"/>
          <w:lang w:val="en-US" w:eastAsia="zh-CN"/>
        </w:rPr>
        <w:t>时</w:t>
      </w:r>
      <w:r>
        <w:rPr>
          <w:rFonts w:hint="default" w:ascii="仿宋_GB2312" w:hAnsi="宋体" w:eastAsia="仿宋_GB2312"/>
          <w:b w:val="0"/>
          <w:bCs w:val="0"/>
          <w:color w:val="000000"/>
          <w:szCs w:val="21"/>
          <w:lang w:val="en-US" w:eastAsia="zh-CN"/>
        </w:rPr>
        <w:t>，应携带</w:t>
      </w:r>
      <w:r>
        <w:rPr>
          <w:rFonts w:hint="eastAsia" w:ascii="仿宋_GB2312" w:hAnsi="宋体" w:eastAsia="仿宋_GB2312"/>
          <w:b w:val="0"/>
          <w:bCs w:val="0"/>
          <w:color w:val="000000"/>
          <w:szCs w:val="21"/>
          <w:lang w:val="en-US" w:eastAsia="zh-CN"/>
        </w:rPr>
        <w:t>气</w:t>
      </w:r>
      <w:r>
        <w:rPr>
          <w:rFonts w:hint="default" w:ascii="仿宋_GB2312" w:hAnsi="宋体" w:eastAsia="仿宋_GB2312"/>
          <w:b w:val="0"/>
          <w:bCs w:val="0"/>
          <w:color w:val="000000"/>
          <w:szCs w:val="21"/>
          <w:lang w:val="en-US" w:eastAsia="zh-CN"/>
        </w:rPr>
        <w:t>瓶、购气卡</w:t>
      </w:r>
      <w:r>
        <w:rPr>
          <w:rFonts w:hint="eastAsia" w:ascii="仿宋_GB2312" w:hAnsi="宋体" w:eastAsia="仿宋_GB2312"/>
          <w:b w:val="0"/>
          <w:bCs w:val="0"/>
          <w:color w:val="000000"/>
          <w:szCs w:val="21"/>
          <w:lang w:val="en-US" w:eastAsia="zh-CN"/>
        </w:rPr>
        <w:t>、本合同原件</w:t>
      </w:r>
      <w:r>
        <w:rPr>
          <w:rFonts w:hint="eastAsia" w:ascii="仿宋_GB2312" w:hAnsi="宋体" w:eastAsia="仿宋_GB2312"/>
          <w:b w:val="0"/>
          <w:bCs w:val="0"/>
          <w:color w:val="auto"/>
          <w:szCs w:val="21"/>
          <w:lang w:val="en-US" w:eastAsia="zh-CN"/>
        </w:rPr>
        <w:t>和</w:t>
      </w:r>
      <w:r>
        <w:rPr>
          <w:rFonts w:hint="default" w:ascii="仿宋_GB2312" w:hAnsi="宋体" w:eastAsia="仿宋_GB2312"/>
          <w:b w:val="0"/>
          <w:bCs w:val="0"/>
          <w:color w:val="auto"/>
          <w:szCs w:val="21"/>
          <w:lang w:val="en-US" w:eastAsia="zh-CN"/>
        </w:rPr>
        <w:t>气瓶押金凭证</w:t>
      </w:r>
      <w:r>
        <w:rPr>
          <w:rFonts w:hint="default" w:ascii="仿宋_GB2312" w:hAnsi="宋体" w:eastAsia="仿宋_GB2312"/>
          <w:b w:val="0"/>
          <w:bCs w:val="0"/>
          <w:color w:val="000000"/>
          <w:szCs w:val="21"/>
          <w:lang w:val="en-US" w:eastAsia="zh-CN"/>
        </w:rPr>
        <w:t>，</w:t>
      </w:r>
      <w:r>
        <w:rPr>
          <w:rFonts w:hint="eastAsia" w:ascii="仿宋_GB2312" w:hAnsi="宋体" w:eastAsia="仿宋_GB2312"/>
          <w:b w:val="0"/>
          <w:bCs w:val="0"/>
          <w:color w:val="000000"/>
          <w:szCs w:val="21"/>
          <w:lang w:val="en-US" w:eastAsia="zh-CN"/>
        </w:rPr>
        <w:t>到乙方供气站点</w:t>
      </w:r>
      <w:r>
        <w:rPr>
          <w:rFonts w:hint="default" w:ascii="仿宋_GB2312" w:hAnsi="宋体" w:eastAsia="仿宋_GB2312"/>
          <w:b w:val="0"/>
          <w:bCs w:val="0"/>
          <w:color w:val="000000"/>
          <w:szCs w:val="21"/>
          <w:lang w:val="en-US" w:eastAsia="zh-CN"/>
        </w:rPr>
        <w:t>办理</w:t>
      </w:r>
      <w:r>
        <w:rPr>
          <w:rFonts w:hint="eastAsia" w:ascii="仿宋_GB2312" w:hAnsi="宋体" w:eastAsia="仿宋_GB2312"/>
          <w:b w:val="0"/>
          <w:bCs w:val="0"/>
          <w:color w:val="000000"/>
          <w:szCs w:val="21"/>
          <w:lang w:val="en-US" w:eastAsia="zh-CN"/>
        </w:rPr>
        <w:t>销户手续，并</w:t>
      </w:r>
      <w:r>
        <w:rPr>
          <w:rFonts w:hint="default" w:ascii="仿宋_GB2312" w:hAnsi="宋体" w:eastAsia="仿宋_GB2312"/>
          <w:b w:val="0"/>
          <w:bCs w:val="0"/>
          <w:color w:val="000000"/>
          <w:szCs w:val="21"/>
          <w:lang w:val="en-US" w:eastAsia="zh-CN"/>
        </w:rPr>
        <w:t>退还</w:t>
      </w:r>
      <w:r>
        <w:rPr>
          <w:rFonts w:hint="eastAsia" w:ascii="仿宋_GB2312" w:hAnsi="宋体" w:eastAsia="仿宋_GB2312"/>
          <w:b w:val="0"/>
          <w:bCs w:val="0"/>
          <w:color w:val="000000"/>
          <w:szCs w:val="21"/>
          <w:lang w:val="en-US" w:eastAsia="zh-CN"/>
        </w:rPr>
        <w:t>气瓶</w:t>
      </w:r>
      <w:r>
        <w:rPr>
          <w:rFonts w:hint="default" w:ascii="仿宋_GB2312" w:hAnsi="宋体" w:eastAsia="仿宋_GB2312"/>
          <w:b w:val="0"/>
          <w:bCs w:val="0"/>
          <w:color w:val="000000"/>
          <w:szCs w:val="21"/>
          <w:lang w:val="en-US" w:eastAsia="zh-CN"/>
        </w:rPr>
        <w:t>押金</w:t>
      </w:r>
      <w:r>
        <w:rPr>
          <w:rFonts w:hint="eastAsia" w:ascii="仿宋_GB2312" w:hAnsi="宋体" w:eastAsia="仿宋_GB2312"/>
          <w:b w:val="0"/>
          <w:bCs w:val="0"/>
          <w:color w:val="000000"/>
          <w:szCs w:val="21"/>
          <w:lang w:val="en-US" w:eastAsia="zh-CN"/>
        </w:rPr>
        <w:t>。甲方丢失购气卡后缴纳工本费，乙方予以补办。</w:t>
      </w:r>
    </w:p>
    <w:p>
      <w:pPr>
        <w:numPr>
          <w:ilvl w:val="0"/>
          <w:numId w:val="0"/>
        </w:numPr>
        <w:spacing w:line="300" w:lineRule="exact"/>
        <w:ind w:firstLine="420" w:firstLineChars="200"/>
        <w:rPr>
          <w:rFonts w:hint="default"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第四条  气体质量、供气价格</w:t>
      </w:r>
    </w:p>
    <w:p>
      <w:pPr>
        <w:numPr>
          <w:ilvl w:val="0"/>
          <w:numId w:val="0"/>
        </w:numPr>
        <w:spacing w:line="300" w:lineRule="exact"/>
        <w:ind w:firstLine="422" w:firstLineChars="200"/>
        <w:rPr>
          <w:rFonts w:hint="eastAsia" w:ascii="仿宋_GB2312" w:hAnsi="宋体" w:eastAsia="仿宋_GB2312"/>
          <w:b/>
          <w:bCs/>
          <w:color w:val="000000"/>
          <w:szCs w:val="21"/>
          <w:lang w:val="en-US" w:eastAsia="zh-CN"/>
        </w:rPr>
      </w:pPr>
      <w:r>
        <w:rPr>
          <w:rFonts w:hint="eastAsia" w:ascii="仿宋_GB2312" w:hAnsi="宋体" w:eastAsia="仿宋_GB2312"/>
          <w:b/>
          <w:bCs/>
          <w:color w:val="000000"/>
          <w:szCs w:val="21"/>
        </w:rPr>
        <w:t>1.</w:t>
      </w:r>
      <w:r>
        <w:rPr>
          <w:rFonts w:hint="eastAsia" w:ascii="仿宋_GB2312" w:hAnsi="宋体" w:eastAsia="仿宋_GB2312"/>
          <w:b/>
          <w:bCs/>
          <w:color w:val="000000"/>
          <w:szCs w:val="21"/>
          <w:lang w:val="en-US" w:eastAsia="zh-CN"/>
        </w:rPr>
        <w:t>气体质量</w:t>
      </w:r>
    </w:p>
    <w:p>
      <w:pPr>
        <w:numPr>
          <w:ilvl w:val="0"/>
          <w:numId w:val="0"/>
        </w:numPr>
        <w:spacing w:line="300" w:lineRule="exact"/>
        <w:ind w:firstLine="420" w:firstLineChars="200"/>
        <w:rPr>
          <w:rFonts w:hint="eastAsia" w:ascii="仿宋_GB2312" w:hAnsi="宋体" w:eastAsia="仿宋_GB2312"/>
          <w:b w:val="0"/>
          <w:bCs w:val="0"/>
          <w:color w:val="000000"/>
          <w:szCs w:val="21"/>
          <w:lang w:val="en-US" w:eastAsia="zh-CN"/>
        </w:rPr>
      </w:pPr>
      <w:r>
        <w:rPr>
          <w:rFonts w:hint="eastAsia" w:ascii="仿宋_GB2312" w:hAnsi="宋体" w:eastAsia="仿宋_GB2312"/>
          <w:b w:val="0"/>
          <w:bCs w:val="0"/>
          <w:color w:val="000000"/>
          <w:szCs w:val="21"/>
          <w:lang w:val="en-US" w:eastAsia="zh-CN"/>
        </w:rPr>
        <w:t>乙方供应的液化石油气组分、热值和充装量须符合国家和本市相关标准要求。</w:t>
      </w:r>
    </w:p>
    <w:p>
      <w:pPr>
        <w:numPr>
          <w:ilvl w:val="0"/>
          <w:numId w:val="0"/>
        </w:numPr>
        <w:spacing w:line="300" w:lineRule="exact"/>
        <w:ind w:firstLine="422" w:firstLineChars="200"/>
        <w:rPr>
          <w:rFonts w:hint="eastAsia" w:ascii="仿宋_GB2312" w:hAnsi="宋体" w:eastAsia="仿宋_GB2312"/>
          <w:b/>
          <w:bCs/>
          <w:color w:val="000000"/>
          <w:szCs w:val="21"/>
          <w:u w:val="none"/>
          <w:lang w:val="en-US" w:eastAsia="zh-CN"/>
        </w:rPr>
      </w:pPr>
      <w:r>
        <w:rPr>
          <w:rFonts w:hint="eastAsia" w:ascii="仿宋_GB2312" w:hAnsi="宋体" w:eastAsia="仿宋_GB2312"/>
          <w:b/>
          <w:bCs/>
          <w:color w:val="000000"/>
          <w:szCs w:val="21"/>
          <w:lang w:val="en-US" w:eastAsia="zh-CN"/>
        </w:rPr>
        <w:t>2.本合同签订时供气价格为</w:t>
      </w:r>
      <w:r>
        <w:rPr>
          <w:rFonts w:hint="eastAsia" w:ascii="仿宋_GB2312" w:hAnsi="宋体" w:eastAsia="仿宋_GB2312"/>
          <w:b/>
          <w:bCs/>
          <w:color w:val="000000"/>
          <w:szCs w:val="21"/>
          <w:u w:val="single"/>
          <w:lang w:val="en-US" w:eastAsia="zh-CN"/>
        </w:rPr>
        <w:t xml:space="preserve">       </w:t>
      </w:r>
      <w:r>
        <w:rPr>
          <w:rFonts w:hint="eastAsia" w:ascii="仿宋_GB2312" w:hAnsi="宋体" w:eastAsia="仿宋_GB2312"/>
          <w:b/>
          <w:bCs/>
          <w:color w:val="000000"/>
          <w:szCs w:val="21"/>
          <w:u w:val="none"/>
          <w:lang w:val="en-US" w:eastAsia="zh-CN"/>
        </w:rPr>
        <w:t>元、</w:t>
      </w:r>
      <w:r>
        <w:rPr>
          <w:rFonts w:hint="eastAsia" w:ascii="仿宋_GB2312" w:hAnsi="宋体" w:eastAsia="仿宋_GB2312"/>
          <w:b/>
          <w:bCs/>
          <w:color w:val="000000"/>
          <w:szCs w:val="21"/>
          <w:u w:val="single"/>
          <w:lang w:val="en-US" w:eastAsia="zh-CN"/>
        </w:rPr>
        <w:t xml:space="preserve">       </w:t>
      </w:r>
      <w:r>
        <w:rPr>
          <w:rFonts w:hint="eastAsia" w:ascii="仿宋_GB2312" w:hAnsi="宋体" w:eastAsia="仿宋_GB2312"/>
          <w:b/>
          <w:bCs/>
          <w:color w:val="000000"/>
          <w:szCs w:val="21"/>
          <w:u w:val="none"/>
          <w:lang w:val="en-US" w:eastAsia="zh-CN"/>
        </w:rPr>
        <w:t>元、</w:t>
      </w:r>
      <w:r>
        <w:rPr>
          <w:rFonts w:hint="eastAsia" w:ascii="仿宋_GB2312" w:hAnsi="宋体" w:eastAsia="仿宋_GB2312"/>
          <w:b/>
          <w:bCs/>
          <w:color w:val="000000"/>
          <w:szCs w:val="21"/>
          <w:u w:val="single"/>
          <w:lang w:val="en-US" w:eastAsia="zh-CN"/>
        </w:rPr>
        <w:t xml:space="preserve">       </w:t>
      </w:r>
      <w:r>
        <w:rPr>
          <w:rFonts w:hint="eastAsia" w:ascii="仿宋_GB2312" w:hAnsi="宋体" w:eastAsia="仿宋_GB2312"/>
          <w:b/>
          <w:bCs/>
          <w:color w:val="000000"/>
          <w:szCs w:val="21"/>
          <w:u w:val="none"/>
          <w:lang w:val="en-US" w:eastAsia="zh-CN"/>
        </w:rPr>
        <w:t>元，遇本市政策调整，按调整后政策执行。</w:t>
      </w:r>
    </w:p>
    <w:p>
      <w:pPr>
        <w:numPr>
          <w:ilvl w:val="0"/>
          <w:numId w:val="0"/>
        </w:numPr>
        <w:spacing w:line="300" w:lineRule="exact"/>
        <w:ind w:firstLine="420" w:firstLineChars="200"/>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第五条  户内燃气安全防护装置安装情况</w:t>
      </w:r>
    </w:p>
    <w:p>
      <w:pPr>
        <w:numPr>
          <w:ilvl w:val="0"/>
          <w:numId w:val="0"/>
        </w:numPr>
        <w:spacing w:line="300" w:lineRule="exact"/>
        <w:ind w:firstLine="420" w:firstLineChars="200"/>
        <w:rPr>
          <w:rFonts w:hint="eastAsia" w:ascii="仿宋_GB2312" w:hAnsi="宋体" w:eastAsia="仿宋_GB2312"/>
          <w:b/>
          <w:bCs/>
          <w:color w:val="000000"/>
          <w:szCs w:val="21"/>
          <w:u w:val="none"/>
          <w:lang w:val="en-US" w:eastAsia="zh-CN"/>
        </w:rPr>
      </w:pPr>
      <w:r>
        <w:rPr>
          <w:rFonts w:hint="eastAsia" w:ascii="仿宋_GB2312" w:hAnsi="仿宋_GB2312" w:eastAsia="仿宋_GB2312" w:cs="仿宋_GB2312"/>
          <w:b w:val="0"/>
          <w:bCs w:val="0"/>
          <w:color w:val="000000"/>
          <w:szCs w:val="21"/>
          <w:u w:val="none"/>
          <w:lang w:val="en-US" w:eastAsia="zh-CN"/>
        </w:rPr>
        <w:t>□ 液化气泄漏报警器      □ 安全型气瓶调压器       □长寿命灶具连接管</w:t>
      </w:r>
    </w:p>
    <w:p>
      <w:pPr>
        <w:spacing w:line="300" w:lineRule="exact"/>
        <w:ind w:firstLine="411" w:firstLineChars="196"/>
        <w:rPr>
          <w:rFonts w:hint="eastAsia" w:ascii="黑体" w:hAnsi="黑体" w:eastAsia="黑体" w:cs="黑体"/>
          <w:color w:val="000000"/>
          <w:szCs w:val="21"/>
        </w:rPr>
      </w:pPr>
      <w:r>
        <w:rPr>
          <w:rFonts w:hint="eastAsia" w:ascii="黑体" w:hAnsi="黑体" w:eastAsia="黑体" w:cs="黑体"/>
          <w:b w:val="0"/>
          <w:bCs/>
          <w:color w:val="000000"/>
          <w:szCs w:val="21"/>
        </w:rPr>
        <w:t>第</w:t>
      </w:r>
      <w:r>
        <w:rPr>
          <w:rFonts w:hint="eastAsia" w:ascii="黑体" w:hAnsi="黑体" w:eastAsia="黑体" w:cs="黑体"/>
          <w:b w:val="0"/>
          <w:bCs/>
          <w:color w:val="000000"/>
          <w:szCs w:val="21"/>
          <w:lang w:val="en-US" w:eastAsia="zh-CN"/>
        </w:rPr>
        <w:t>六</w:t>
      </w:r>
      <w:r>
        <w:rPr>
          <w:rFonts w:hint="eastAsia" w:ascii="黑体" w:hAnsi="黑体" w:eastAsia="黑体" w:cs="黑体"/>
          <w:b w:val="0"/>
          <w:bCs/>
          <w:color w:val="000000"/>
          <w:szCs w:val="21"/>
        </w:rPr>
        <w:t>条  其他约定</w:t>
      </w:r>
      <w:r>
        <w:rPr>
          <w:rFonts w:hint="eastAsia" w:ascii="黑体" w:hAnsi="黑体" w:eastAsia="黑体" w:cs="黑体"/>
          <w:b/>
          <w:color w:val="000000"/>
          <w:szCs w:val="21"/>
        </w:rPr>
        <w:t xml:space="preserve"> </w:t>
      </w:r>
    </w:p>
    <w:p>
      <w:pPr>
        <w:spacing w:line="300" w:lineRule="exact"/>
        <w:ind w:firstLine="420" w:firstLineChars="200"/>
        <w:rPr>
          <w:rFonts w:hint="eastAsia" w:ascii="仿宋_GB2312" w:eastAsia="仿宋_GB2312"/>
          <w:color w:val="000000"/>
          <w:szCs w:val="21"/>
        </w:rPr>
      </w:pPr>
      <w:r>
        <w:rPr>
          <w:rFonts w:hint="eastAsia" w:ascii="仿宋_GB2312" w:hAnsi="宋体" w:eastAsia="仿宋_GB2312"/>
          <w:color w:val="000000"/>
          <w:szCs w:val="21"/>
          <w:lang w:val="en-US" w:eastAsia="zh-CN"/>
        </w:rPr>
        <w:t>1</w:t>
      </w:r>
      <w:r>
        <w:rPr>
          <w:rFonts w:hint="eastAsia" w:ascii="仿宋_GB2312" w:hAnsi="宋体" w:eastAsia="仿宋_GB2312"/>
          <w:color w:val="000000"/>
          <w:szCs w:val="21"/>
        </w:rPr>
        <w:t>.</w:t>
      </w:r>
      <w:r>
        <w:rPr>
          <w:rFonts w:hint="eastAsia" w:ascii="仿宋_GB2312" w:eastAsia="仿宋_GB2312"/>
          <w:color w:val="000000"/>
          <w:szCs w:val="21"/>
        </w:rPr>
        <w:t>本合同一式</w:t>
      </w:r>
      <w:r>
        <w:rPr>
          <w:rFonts w:hint="eastAsia" w:ascii="仿宋_GB2312" w:eastAsia="仿宋_GB2312"/>
          <w:color w:val="000000"/>
          <w:szCs w:val="21"/>
          <w:u w:val="none"/>
          <w:lang w:val="en-US" w:eastAsia="zh-CN"/>
        </w:rPr>
        <w:t>两</w:t>
      </w:r>
      <w:r>
        <w:rPr>
          <w:rFonts w:hint="eastAsia" w:ascii="仿宋_GB2312" w:eastAsia="仿宋_GB2312"/>
          <w:color w:val="000000"/>
          <w:szCs w:val="21"/>
        </w:rPr>
        <w:t>份，甲乙</w:t>
      </w:r>
      <w:r>
        <w:rPr>
          <w:rFonts w:hint="eastAsia" w:ascii="仿宋_GB2312" w:eastAsia="仿宋_GB2312"/>
          <w:color w:val="000000"/>
          <w:szCs w:val="21"/>
          <w:lang w:eastAsia="zh-CN"/>
        </w:rPr>
        <w:t>双</w:t>
      </w:r>
      <w:r>
        <w:rPr>
          <w:rFonts w:hint="eastAsia" w:ascii="仿宋_GB2312" w:eastAsia="仿宋_GB2312"/>
          <w:color w:val="000000"/>
          <w:szCs w:val="21"/>
        </w:rPr>
        <w:t>方</w:t>
      </w:r>
      <w:r>
        <w:rPr>
          <w:rFonts w:hint="eastAsia" w:ascii="仿宋_GB2312" w:eastAsia="仿宋_GB2312"/>
          <w:color w:val="000000"/>
          <w:szCs w:val="21"/>
          <w:lang w:eastAsia="zh-CN"/>
        </w:rPr>
        <w:t>各执一</w:t>
      </w:r>
      <w:r>
        <w:rPr>
          <w:rFonts w:hint="eastAsia" w:ascii="仿宋_GB2312" w:eastAsia="仿宋_GB2312"/>
          <w:color w:val="000000"/>
          <w:szCs w:val="21"/>
        </w:rPr>
        <w:t>份</w:t>
      </w:r>
      <w:r>
        <w:rPr>
          <w:rFonts w:hint="eastAsia" w:ascii="仿宋_GB2312" w:eastAsia="仿宋_GB2312"/>
          <w:color w:val="000000"/>
          <w:szCs w:val="21"/>
          <w:lang w:eastAsia="zh-CN"/>
        </w:rPr>
        <w:t>，</w:t>
      </w:r>
      <w:r>
        <w:rPr>
          <w:rFonts w:hint="eastAsia" w:ascii="仿宋_GB2312" w:eastAsia="仿宋_GB2312"/>
          <w:color w:val="000000"/>
          <w:szCs w:val="21"/>
        </w:rPr>
        <w:t>自签订之日起长期有效。</w:t>
      </w:r>
    </w:p>
    <w:p>
      <w:pPr>
        <w:spacing w:line="300" w:lineRule="exact"/>
        <w:ind w:firstLine="420" w:firstLineChars="200"/>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2.</w:t>
      </w:r>
      <w:r>
        <w:rPr>
          <w:rFonts w:hint="eastAsia" w:ascii="仿宋_GB2312" w:eastAsia="仿宋_GB2312"/>
          <w:color w:val="000000"/>
          <w:szCs w:val="21"/>
        </w:rPr>
        <w:t>本合同项下发生的争议，由双方协商解决</w:t>
      </w:r>
      <w:r>
        <w:rPr>
          <w:rFonts w:hint="eastAsia" w:ascii="仿宋_GB2312" w:eastAsia="仿宋_GB2312"/>
          <w:color w:val="000000"/>
          <w:szCs w:val="21"/>
          <w:lang w:eastAsia="zh-CN"/>
        </w:rPr>
        <w:t>，</w:t>
      </w:r>
      <w:r>
        <w:rPr>
          <w:rFonts w:hint="eastAsia" w:ascii="仿宋_GB2312" w:eastAsia="仿宋_GB2312"/>
          <w:color w:val="000000"/>
          <w:szCs w:val="21"/>
        </w:rPr>
        <w:t>也可以向属地消费者协会或其他人民调解组织申请调解；协商</w:t>
      </w:r>
      <w:r>
        <w:rPr>
          <w:rFonts w:hint="eastAsia" w:ascii="仿宋_GB2312" w:eastAsia="仿宋_GB2312"/>
          <w:color w:val="000000"/>
          <w:szCs w:val="21"/>
          <w:lang w:val="en-US" w:eastAsia="zh-CN"/>
        </w:rPr>
        <w:t>或调解</w:t>
      </w:r>
      <w:r>
        <w:rPr>
          <w:rFonts w:hint="eastAsia" w:ascii="仿宋_GB2312" w:eastAsia="仿宋_GB2312"/>
          <w:color w:val="000000"/>
          <w:szCs w:val="21"/>
        </w:rPr>
        <w:t>不成的，向</w:t>
      </w:r>
      <w:r>
        <w:rPr>
          <w:rFonts w:hint="eastAsia" w:ascii="仿宋_GB2312" w:eastAsia="仿宋_GB2312"/>
          <w:color w:val="000000"/>
          <w:szCs w:val="21"/>
          <w:u w:val="single"/>
          <w:lang w:val="en-US" w:eastAsia="zh-CN"/>
        </w:rPr>
        <w:t xml:space="preserve">       </w:t>
      </w:r>
      <w:r>
        <w:rPr>
          <w:rFonts w:hint="eastAsia" w:ascii="仿宋_GB2312" w:eastAsia="仿宋_GB2312"/>
          <w:color w:val="000000"/>
          <w:szCs w:val="21"/>
        </w:rPr>
        <w:t>人民法院提起诉讼或根据双方另行达成的仲裁协议申请仲裁。</w:t>
      </w:r>
    </w:p>
    <w:p>
      <w:pPr>
        <w:spacing w:line="300" w:lineRule="exact"/>
        <w:ind w:firstLine="420" w:firstLineChars="200"/>
        <w:jc w:val="both"/>
        <w:rPr>
          <w:rFonts w:hint="default" w:ascii="仿宋_GB2312" w:hAnsi="宋体" w:eastAsia="仿宋_GB2312"/>
          <w:color w:val="000000"/>
          <w:szCs w:val="21"/>
          <w:lang w:val="en-US" w:eastAsia="zh-CN"/>
        </w:rPr>
      </w:pPr>
      <w:r>
        <w:rPr>
          <w:rFonts w:hint="eastAsia" w:ascii="仿宋_GB2312" w:hAnsi="宋体" w:eastAsia="仿宋_GB2312"/>
          <w:color w:val="000000"/>
          <w:szCs w:val="21"/>
          <w:lang w:val="en-US" w:eastAsia="zh-CN"/>
        </w:rPr>
        <w:t>3</w:t>
      </w:r>
      <w:r>
        <w:rPr>
          <w:rFonts w:hint="eastAsia" w:ascii="仿宋_GB2312" w:hAnsi="宋体" w:eastAsia="仿宋_GB2312"/>
          <w:color w:val="000000"/>
          <w:szCs w:val="21"/>
        </w:rPr>
        <w:t>.</w:t>
      </w:r>
      <w:r>
        <w:rPr>
          <w:rFonts w:hint="eastAsia" w:ascii="仿宋_GB2312" w:hAnsi="宋体" w:eastAsia="仿宋_GB2312"/>
          <w:color w:val="000000"/>
          <w:szCs w:val="21"/>
          <w:u w:val="single"/>
        </w:rPr>
        <w:t xml:space="preserve">                                                                                      </w:t>
      </w:r>
      <w:r>
        <w:rPr>
          <w:rFonts w:hint="eastAsia" w:ascii="仿宋_GB2312" w:hAnsi="宋体" w:eastAsia="仿宋_GB2312"/>
          <w:color w:val="000000"/>
          <w:szCs w:val="21"/>
        </w:rPr>
        <w:t>。</w:t>
      </w:r>
    </w:p>
    <w:p>
      <w:pPr>
        <w:spacing w:line="300" w:lineRule="exact"/>
        <w:jc w:val="center"/>
        <w:rPr>
          <w:rFonts w:hint="eastAsia" w:ascii="仿宋_GB2312" w:eastAsia="仿宋_GB2312"/>
          <w:b/>
          <w:color w:val="000000"/>
          <w:sz w:val="24"/>
          <w:u w:val="wave"/>
        </w:rPr>
      </w:pPr>
    </w:p>
    <w:p>
      <w:pPr>
        <w:spacing w:line="300" w:lineRule="exact"/>
        <w:jc w:val="center"/>
        <w:rPr>
          <w:rFonts w:hint="eastAsia" w:ascii="仿宋_GB2312" w:eastAsia="仿宋_GB2312"/>
          <w:b/>
          <w:color w:val="000000"/>
          <w:sz w:val="24"/>
          <w:u w:val="wave"/>
        </w:rPr>
      </w:pPr>
      <w:r>
        <w:rPr>
          <w:rFonts w:hint="eastAsia" w:ascii="仿宋_GB2312" w:eastAsia="仿宋_GB2312"/>
          <w:b/>
          <w:color w:val="000000"/>
          <w:sz w:val="24"/>
          <w:u w:val="wave"/>
        </w:rPr>
        <w:t>请用气人仔细阅读通用条款及供气人提供的安全用气须知，再行签署本合同。</w:t>
      </w:r>
    </w:p>
    <w:p>
      <w:pPr>
        <w:spacing w:line="300" w:lineRule="exact"/>
        <w:jc w:val="center"/>
        <w:rPr>
          <w:rFonts w:hint="eastAsia" w:ascii="仿宋_GB2312" w:eastAsia="仿宋_GB2312"/>
          <w:b/>
          <w:color w:val="000000"/>
          <w:sz w:val="24"/>
          <w:u w:val="wave"/>
        </w:rPr>
      </w:pPr>
    </w:p>
    <w:p>
      <w:pPr>
        <w:spacing w:line="300" w:lineRule="exact"/>
        <w:rPr>
          <w:rFonts w:hint="eastAsia" w:ascii="仿宋_GB2312" w:eastAsia="仿宋_GB2312"/>
          <w:color w:val="000000"/>
          <w:szCs w:val="21"/>
          <w:u w:val="single"/>
        </w:rPr>
      </w:pPr>
      <w:r>
        <w:rPr>
          <w:rFonts w:hint="eastAsia" w:ascii="仿宋_GB2312" w:eastAsia="仿宋_GB2312"/>
          <w:b/>
          <w:color w:val="000000"/>
          <w:szCs w:val="21"/>
          <w:lang w:val="en-US" w:eastAsia="zh-CN"/>
        </w:rPr>
        <w:t>用气人</w:t>
      </w:r>
      <w:r>
        <w:rPr>
          <w:rFonts w:hint="eastAsia" w:ascii="仿宋_GB2312" w:eastAsia="仿宋_GB2312"/>
          <w:b/>
          <w:color w:val="000000"/>
          <w:szCs w:val="21"/>
        </w:rPr>
        <w:t>（甲方）：</w:t>
      </w:r>
      <w:r>
        <w:rPr>
          <w:rFonts w:hint="eastAsia" w:ascii="仿宋_GB2312" w:eastAsia="仿宋_GB2312"/>
          <w:color w:val="000000"/>
          <w:szCs w:val="21"/>
        </w:rPr>
        <w:t xml:space="preserve">                              </w:t>
      </w:r>
      <w:r>
        <w:rPr>
          <w:rFonts w:hint="eastAsia" w:ascii="仿宋_GB2312" w:eastAsia="仿宋_GB2312"/>
          <w:color w:val="000000"/>
          <w:szCs w:val="21"/>
          <w:lang w:val="en-US" w:eastAsia="zh-CN"/>
        </w:rPr>
        <w:t xml:space="preserve">  </w:t>
      </w:r>
      <w:r>
        <w:rPr>
          <w:rFonts w:hint="eastAsia" w:ascii="仿宋_GB2312" w:eastAsia="仿宋_GB2312"/>
          <w:color w:val="000000"/>
          <w:szCs w:val="21"/>
        </w:rPr>
        <w:t xml:space="preserve"> </w:t>
      </w:r>
      <w:r>
        <w:rPr>
          <w:rFonts w:hint="eastAsia" w:ascii="仿宋_GB2312" w:eastAsia="仿宋_GB2312"/>
          <w:b/>
          <w:color w:val="000000"/>
          <w:szCs w:val="21"/>
          <w:lang w:val="en-US" w:eastAsia="zh-CN"/>
        </w:rPr>
        <w:t>供气人</w:t>
      </w:r>
      <w:r>
        <w:rPr>
          <w:rFonts w:hint="eastAsia" w:ascii="仿宋_GB2312" w:eastAsia="仿宋_GB2312"/>
          <w:b/>
          <w:color w:val="000000"/>
          <w:szCs w:val="21"/>
        </w:rPr>
        <w:t>（乙方</w:t>
      </w:r>
      <w:r>
        <w:rPr>
          <w:rFonts w:hint="eastAsia" w:ascii="仿宋_GB2312" w:eastAsia="仿宋_GB2312"/>
          <w:b/>
          <w:color w:val="000000"/>
          <w:szCs w:val="21"/>
          <w:lang w:val="en-US" w:eastAsia="zh-CN"/>
        </w:rPr>
        <w:t>盖章</w:t>
      </w:r>
      <w:r>
        <w:rPr>
          <w:rFonts w:hint="eastAsia" w:ascii="仿宋_GB2312" w:eastAsia="仿宋_GB2312"/>
          <w:b/>
          <w:color w:val="000000"/>
          <w:szCs w:val="21"/>
        </w:rPr>
        <w:t>）：</w:t>
      </w:r>
    </w:p>
    <w:p>
      <w:pPr>
        <w:tabs>
          <w:tab w:val="left" w:pos="4900"/>
        </w:tabs>
        <w:spacing w:line="300" w:lineRule="exact"/>
        <w:jc w:val="left"/>
        <w:rPr>
          <w:rFonts w:hint="eastAsia" w:ascii="仿宋_GB2312" w:hAnsi="宋体" w:eastAsia="仿宋_GB2312" w:cs="宋体"/>
          <w:color w:val="000000"/>
          <w:kern w:val="0"/>
          <w:szCs w:val="21"/>
        </w:rPr>
      </w:pPr>
    </w:p>
    <w:tbl>
      <w:tblPr>
        <w:tblStyle w:val="7"/>
        <w:tblW w:w="10080" w:type="dxa"/>
        <w:tblInd w:w="0" w:type="dxa"/>
        <w:tblBorders>
          <w:top w:val="single" w:color="CCE8CF" w:themeColor="background1" w:sz="4" w:space="0"/>
          <w:left w:val="single" w:color="CCE8CF" w:themeColor="background1" w:sz="4" w:space="0"/>
          <w:bottom w:val="single" w:color="CCE8CF" w:themeColor="background1" w:sz="4" w:space="0"/>
          <w:right w:val="single" w:color="CCE8CF" w:themeColor="background1" w:sz="4" w:space="0"/>
          <w:insideH w:val="single" w:color="CCE8CF" w:themeColor="background1" w:sz="4" w:space="0"/>
          <w:insideV w:val="single" w:color="CCE8CF" w:themeColor="background1" w:sz="4" w:space="0"/>
        </w:tblBorders>
        <w:tblLayout w:type="fixed"/>
        <w:tblCellMar>
          <w:top w:w="0" w:type="dxa"/>
          <w:left w:w="108" w:type="dxa"/>
          <w:bottom w:w="0" w:type="dxa"/>
          <w:right w:w="108" w:type="dxa"/>
        </w:tblCellMar>
      </w:tblPr>
      <w:tblGrid>
        <w:gridCol w:w="5040"/>
        <w:gridCol w:w="5040"/>
      </w:tblGrid>
      <w:tr>
        <w:tblPrEx>
          <w:tblBorders>
            <w:top w:val="single" w:color="CCE8CF" w:themeColor="background1" w:sz="4" w:space="0"/>
            <w:left w:val="single" w:color="CCE8CF" w:themeColor="background1" w:sz="4" w:space="0"/>
            <w:bottom w:val="single" w:color="CCE8CF" w:themeColor="background1" w:sz="4" w:space="0"/>
            <w:right w:val="single" w:color="CCE8CF" w:themeColor="background1" w:sz="4" w:space="0"/>
            <w:insideH w:val="single" w:color="CCE8CF" w:themeColor="background1" w:sz="4" w:space="0"/>
            <w:insideV w:val="single" w:color="CCE8CF" w:themeColor="background1" w:sz="4" w:space="0"/>
          </w:tblBorders>
          <w:tblLayout w:type="fixed"/>
          <w:tblCellMar>
            <w:top w:w="0" w:type="dxa"/>
            <w:left w:w="108" w:type="dxa"/>
            <w:bottom w:w="0" w:type="dxa"/>
            <w:right w:w="108" w:type="dxa"/>
          </w:tblCellMar>
        </w:tblPrEx>
        <w:trPr>
          <w:trHeight w:val="324" w:hRule="atLeast"/>
        </w:trPr>
        <w:tc>
          <w:tcPr>
            <w:tcW w:w="5040" w:type="dxa"/>
            <w:tcBorders>
              <w:tl2br w:val="nil"/>
              <w:tr2bl w:val="nil"/>
            </w:tcBorders>
            <w:vAlign w:val="top"/>
          </w:tcPr>
          <w:p>
            <w:pPr>
              <w:tabs>
                <w:tab w:val="left" w:pos="4900"/>
              </w:tabs>
              <w:spacing w:line="300" w:lineRule="exact"/>
              <w:jc w:val="left"/>
              <w:rPr>
                <w:rFonts w:hint="eastAsia" w:ascii="仿宋_GB2312" w:hAnsi="宋体" w:eastAsia="仿宋_GB2312" w:cs="宋体"/>
                <w:color w:val="000000"/>
                <w:kern w:val="0"/>
                <w:szCs w:val="21"/>
                <w:vertAlign w:val="baseline"/>
                <w:lang w:val="en-US" w:eastAsia="zh-CN"/>
              </w:rPr>
            </w:pPr>
            <w:r>
              <w:rPr>
                <w:rFonts w:hint="eastAsia" w:ascii="仿宋_GB2312" w:hAnsi="宋体" w:eastAsia="仿宋_GB2312" w:cs="宋体"/>
                <w:color w:val="000000"/>
                <w:kern w:val="0"/>
                <w:szCs w:val="21"/>
                <w:vertAlign w:val="baseline"/>
                <w:lang w:val="en-US" w:eastAsia="zh-CN"/>
              </w:rPr>
              <w:t xml:space="preserve">公民身份号码：  </w:t>
            </w:r>
          </w:p>
        </w:tc>
        <w:tc>
          <w:tcPr>
            <w:tcW w:w="5040" w:type="dxa"/>
            <w:tcBorders>
              <w:tl2br w:val="nil"/>
              <w:tr2bl w:val="nil"/>
            </w:tcBorders>
            <w:vAlign w:val="top"/>
          </w:tcPr>
          <w:p>
            <w:pPr>
              <w:tabs>
                <w:tab w:val="left" w:pos="4900"/>
              </w:tabs>
              <w:spacing w:line="300" w:lineRule="exact"/>
              <w:jc w:val="left"/>
              <w:rPr>
                <w:rFonts w:hint="default" w:ascii="仿宋_GB2312" w:hAnsi="宋体" w:eastAsia="仿宋_GB2312" w:cs="宋体"/>
                <w:color w:val="000000"/>
                <w:kern w:val="0"/>
                <w:szCs w:val="21"/>
                <w:vertAlign w:val="baseline"/>
                <w:lang w:val="en-US" w:eastAsia="zh-CN"/>
              </w:rPr>
            </w:pPr>
            <w:r>
              <w:rPr>
                <w:rFonts w:hint="eastAsia" w:ascii="仿宋_GB2312" w:hAnsi="宋体" w:eastAsia="仿宋_GB2312" w:cs="宋体"/>
                <w:color w:val="000000"/>
                <w:kern w:val="0"/>
                <w:szCs w:val="21"/>
                <w:vertAlign w:val="baseline"/>
                <w:lang w:val="en-US" w:eastAsia="zh-CN"/>
              </w:rPr>
              <w:t>统一社会信用代码：</w:t>
            </w:r>
          </w:p>
        </w:tc>
      </w:tr>
      <w:tr>
        <w:tblPrEx>
          <w:tblBorders>
            <w:top w:val="single" w:color="CCE8CF" w:themeColor="background1" w:sz="4" w:space="0"/>
            <w:left w:val="single" w:color="CCE8CF" w:themeColor="background1" w:sz="4" w:space="0"/>
            <w:bottom w:val="single" w:color="CCE8CF" w:themeColor="background1" w:sz="4" w:space="0"/>
            <w:right w:val="single" w:color="CCE8CF" w:themeColor="background1" w:sz="4" w:space="0"/>
            <w:insideH w:val="single" w:color="CCE8CF" w:themeColor="background1" w:sz="4" w:space="0"/>
            <w:insideV w:val="single" w:color="CCE8CF" w:themeColor="background1" w:sz="4" w:space="0"/>
          </w:tblBorders>
          <w:tblLayout w:type="fixed"/>
          <w:tblCellMar>
            <w:top w:w="0" w:type="dxa"/>
            <w:left w:w="108" w:type="dxa"/>
            <w:bottom w:w="0" w:type="dxa"/>
            <w:right w:w="108" w:type="dxa"/>
          </w:tblCellMar>
        </w:tblPrEx>
        <w:trPr>
          <w:trHeight w:val="324" w:hRule="atLeast"/>
        </w:trPr>
        <w:tc>
          <w:tcPr>
            <w:tcW w:w="5040" w:type="dxa"/>
            <w:tcBorders>
              <w:tl2br w:val="nil"/>
              <w:tr2bl w:val="nil"/>
            </w:tcBorders>
            <w:vAlign w:val="top"/>
          </w:tcPr>
          <w:p>
            <w:pPr>
              <w:tabs>
                <w:tab w:val="left" w:pos="4900"/>
              </w:tabs>
              <w:spacing w:line="300" w:lineRule="exact"/>
              <w:jc w:val="left"/>
              <w:rPr>
                <w:rFonts w:hint="eastAsia" w:ascii="仿宋_GB2312" w:hAnsi="宋体" w:eastAsia="仿宋_GB2312" w:cs="宋体"/>
                <w:color w:val="000000"/>
                <w:kern w:val="0"/>
                <w:szCs w:val="21"/>
                <w:vertAlign w:val="baseline"/>
                <w:lang w:val="en-US" w:eastAsia="zh-CN"/>
              </w:rPr>
            </w:pPr>
            <w:r>
              <w:rPr>
                <w:rFonts w:hint="eastAsia" w:ascii="仿宋_GB2312" w:hAnsi="宋体" w:eastAsia="仿宋_GB2312" w:cs="宋体"/>
                <w:color w:val="000000"/>
                <w:kern w:val="0"/>
                <w:szCs w:val="21"/>
                <w:vertAlign w:val="baseline"/>
                <w:lang w:val="en-US" w:eastAsia="zh-CN"/>
              </w:rPr>
              <w:t>联系电话：</w:t>
            </w:r>
          </w:p>
        </w:tc>
        <w:tc>
          <w:tcPr>
            <w:tcW w:w="5040" w:type="dxa"/>
            <w:tcBorders>
              <w:tl2br w:val="nil"/>
              <w:tr2bl w:val="nil"/>
            </w:tcBorders>
            <w:vAlign w:val="top"/>
          </w:tcPr>
          <w:p>
            <w:pPr>
              <w:tabs>
                <w:tab w:val="left" w:pos="4900"/>
              </w:tabs>
              <w:spacing w:line="300" w:lineRule="exact"/>
              <w:jc w:val="left"/>
              <w:rPr>
                <w:rFonts w:hint="default" w:ascii="仿宋_GB2312" w:hAnsi="宋体" w:eastAsia="仿宋_GB2312" w:cs="宋体"/>
                <w:color w:val="000000"/>
                <w:kern w:val="0"/>
                <w:szCs w:val="21"/>
                <w:vertAlign w:val="baseline"/>
                <w:lang w:val="en-US" w:eastAsia="zh-CN"/>
              </w:rPr>
            </w:pPr>
            <w:r>
              <w:rPr>
                <w:rFonts w:hint="eastAsia" w:ascii="仿宋_GB2312" w:hAnsi="宋体" w:eastAsia="仿宋_GB2312" w:cs="宋体"/>
                <w:color w:val="000000"/>
                <w:kern w:val="0"/>
                <w:szCs w:val="21"/>
                <w:vertAlign w:val="baseline"/>
                <w:lang w:val="en-US" w:eastAsia="zh-CN"/>
              </w:rPr>
              <w:t>服务电话：</w:t>
            </w:r>
          </w:p>
        </w:tc>
      </w:tr>
      <w:tr>
        <w:tblPrEx>
          <w:tblBorders>
            <w:top w:val="single" w:color="CCE8CF" w:themeColor="background1" w:sz="4" w:space="0"/>
            <w:left w:val="single" w:color="CCE8CF" w:themeColor="background1" w:sz="4" w:space="0"/>
            <w:bottom w:val="single" w:color="CCE8CF" w:themeColor="background1" w:sz="4" w:space="0"/>
            <w:right w:val="single" w:color="CCE8CF" w:themeColor="background1" w:sz="4" w:space="0"/>
            <w:insideH w:val="single" w:color="CCE8CF" w:themeColor="background1" w:sz="4" w:space="0"/>
            <w:insideV w:val="single" w:color="CCE8CF" w:themeColor="background1" w:sz="4" w:space="0"/>
          </w:tblBorders>
          <w:tblLayout w:type="fixed"/>
          <w:tblCellMar>
            <w:top w:w="0" w:type="dxa"/>
            <w:left w:w="108" w:type="dxa"/>
            <w:bottom w:w="0" w:type="dxa"/>
            <w:right w:w="108" w:type="dxa"/>
          </w:tblCellMar>
        </w:tblPrEx>
        <w:tc>
          <w:tcPr>
            <w:tcW w:w="5040" w:type="dxa"/>
            <w:tcBorders>
              <w:tl2br w:val="nil"/>
              <w:tr2bl w:val="nil"/>
            </w:tcBorders>
            <w:vAlign w:val="top"/>
          </w:tcPr>
          <w:p>
            <w:pPr>
              <w:tabs>
                <w:tab w:val="left" w:pos="4900"/>
              </w:tabs>
              <w:spacing w:line="300" w:lineRule="exact"/>
              <w:jc w:val="left"/>
              <w:rPr>
                <w:rFonts w:hint="eastAsia" w:ascii="仿宋_GB2312" w:hAnsi="宋体" w:eastAsia="仿宋_GB2312" w:cs="宋体"/>
                <w:color w:val="000000"/>
                <w:kern w:val="0"/>
                <w:szCs w:val="21"/>
                <w:vertAlign w:val="baseline"/>
                <w:lang w:val="en-US" w:eastAsia="zh-CN"/>
              </w:rPr>
            </w:pPr>
            <w:r>
              <w:rPr>
                <w:rFonts w:hint="eastAsia" w:ascii="仿宋_GB2312" w:hAnsi="宋体" w:eastAsia="仿宋_GB2312" w:cs="宋体"/>
                <w:color w:val="000000"/>
                <w:kern w:val="0"/>
                <w:szCs w:val="21"/>
                <w:vertAlign w:val="baseline"/>
                <w:lang w:val="en-US" w:eastAsia="zh-CN"/>
              </w:rPr>
              <w:t>应急联系人姓名及电话：</w:t>
            </w:r>
          </w:p>
        </w:tc>
        <w:tc>
          <w:tcPr>
            <w:tcW w:w="5040" w:type="dxa"/>
            <w:tcBorders>
              <w:tl2br w:val="nil"/>
              <w:tr2bl w:val="nil"/>
            </w:tcBorders>
            <w:vAlign w:val="top"/>
          </w:tcPr>
          <w:p>
            <w:pPr>
              <w:tabs>
                <w:tab w:val="left" w:pos="4900"/>
              </w:tabs>
              <w:spacing w:line="300" w:lineRule="exact"/>
              <w:jc w:val="left"/>
              <w:rPr>
                <w:rFonts w:hint="default" w:ascii="仿宋_GB2312" w:hAnsi="宋体" w:eastAsia="仿宋_GB2312" w:cs="宋体"/>
                <w:color w:val="000000"/>
                <w:kern w:val="0"/>
                <w:szCs w:val="21"/>
                <w:vertAlign w:val="baseline"/>
                <w:lang w:val="en-US" w:eastAsia="zh-CN"/>
              </w:rPr>
            </w:pPr>
            <w:r>
              <w:rPr>
                <w:rFonts w:hint="eastAsia" w:ascii="仿宋_GB2312" w:hAnsi="宋体" w:eastAsia="仿宋_GB2312" w:cs="宋体"/>
                <w:color w:val="000000"/>
                <w:kern w:val="0"/>
                <w:szCs w:val="21"/>
                <w:vertAlign w:val="baseline"/>
                <w:lang w:val="en-US" w:eastAsia="zh-CN"/>
              </w:rPr>
              <w:t>24小时报修电话：</w:t>
            </w:r>
          </w:p>
        </w:tc>
      </w:tr>
      <w:tr>
        <w:tblPrEx>
          <w:tblBorders>
            <w:top w:val="single" w:color="CCE8CF" w:themeColor="background1" w:sz="4" w:space="0"/>
            <w:left w:val="single" w:color="CCE8CF" w:themeColor="background1" w:sz="4" w:space="0"/>
            <w:bottom w:val="single" w:color="CCE8CF" w:themeColor="background1" w:sz="4" w:space="0"/>
            <w:right w:val="single" w:color="CCE8CF" w:themeColor="background1" w:sz="4" w:space="0"/>
            <w:insideH w:val="single" w:color="CCE8CF" w:themeColor="background1" w:sz="4" w:space="0"/>
            <w:insideV w:val="single" w:color="CCE8CF" w:themeColor="background1" w:sz="4" w:space="0"/>
          </w:tblBorders>
          <w:tblLayout w:type="fixed"/>
          <w:tblCellMar>
            <w:top w:w="0" w:type="dxa"/>
            <w:left w:w="108" w:type="dxa"/>
            <w:bottom w:w="0" w:type="dxa"/>
            <w:right w:w="108" w:type="dxa"/>
          </w:tblCellMar>
        </w:tblPrEx>
        <w:tc>
          <w:tcPr>
            <w:tcW w:w="5040" w:type="dxa"/>
            <w:tcBorders>
              <w:tl2br w:val="nil"/>
              <w:tr2bl w:val="nil"/>
            </w:tcBorders>
            <w:vAlign w:val="top"/>
          </w:tcPr>
          <w:p>
            <w:pPr>
              <w:tabs>
                <w:tab w:val="left" w:pos="4900"/>
              </w:tabs>
              <w:spacing w:line="300" w:lineRule="exact"/>
              <w:jc w:val="left"/>
              <w:rPr>
                <w:rFonts w:hint="default" w:ascii="仿宋_GB2312" w:hAnsi="宋体" w:eastAsia="仿宋_GB2312" w:cs="宋体"/>
                <w:color w:val="000000"/>
                <w:kern w:val="0"/>
                <w:szCs w:val="21"/>
                <w:vertAlign w:val="baseline"/>
                <w:lang w:val="en-US" w:eastAsia="zh-CN"/>
              </w:rPr>
            </w:pPr>
            <w:r>
              <w:rPr>
                <w:rFonts w:hint="eastAsia" w:ascii="仿宋_GB2312" w:hAnsi="宋体" w:eastAsia="仿宋_GB2312" w:cs="宋体"/>
                <w:color w:val="000000"/>
                <w:kern w:val="0"/>
                <w:szCs w:val="21"/>
                <w:vertAlign w:val="baseline"/>
                <w:lang w:val="en-US" w:eastAsia="zh-CN"/>
              </w:rPr>
              <w:t>电子邮件：</w:t>
            </w:r>
          </w:p>
        </w:tc>
        <w:tc>
          <w:tcPr>
            <w:tcW w:w="5040" w:type="dxa"/>
            <w:tcBorders>
              <w:tl2br w:val="nil"/>
              <w:tr2bl w:val="nil"/>
            </w:tcBorders>
            <w:vAlign w:val="top"/>
          </w:tcPr>
          <w:p>
            <w:pPr>
              <w:tabs>
                <w:tab w:val="left" w:pos="4900"/>
              </w:tabs>
              <w:spacing w:line="300" w:lineRule="exact"/>
              <w:jc w:val="left"/>
              <w:rPr>
                <w:rFonts w:hint="eastAsia" w:ascii="仿宋_GB2312" w:hAnsi="宋体" w:eastAsia="仿宋_GB2312" w:cs="宋体"/>
                <w:color w:val="000000"/>
                <w:kern w:val="0"/>
                <w:szCs w:val="21"/>
                <w:vertAlign w:val="baseline"/>
                <w:lang w:val="en-US" w:eastAsia="zh-CN"/>
              </w:rPr>
            </w:pPr>
            <w:r>
              <w:rPr>
                <w:rFonts w:hint="eastAsia" w:ascii="仿宋_GB2312" w:hAnsi="宋体" w:eastAsia="仿宋_GB2312" w:cs="宋体"/>
                <w:color w:val="000000"/>
                <w:kern w:val="0"/>
                <w:szCs w:val="21"/>
                <w:vertAlign w:val="baseline"/>
                <w:lang w:val="en-US" w:eastAsia="zh-CN"/>
              </w:rPr>
              <w:t xml:space="preserve">电子邮件：     </w:t>
            </w:r>
          </w:p>
        </w:tc>
      </w:tr>
    </w:tbl>
    <w:p>
      <w:pPr>
        <w:tabs>
          <w:tab w:val="left" w:pos="4900"/>
        </w:tabs>
        <w:spacing w:line="300" w:lineRule="exact"/>
        <w:jc w:val="center"/>
        <w:rPr>
          <w:rFonts w:hint="eastAsia" w:ascii="仿宋_GB2312" w:hAnsi="宋体" w:eastAsia="仿宋_GB2312" w:cs="宋体"/>
          <w:color w:val="000000"/>
          <w:kern w:val="0"/>
          <w:szCs w:val="21"/>
        </w:rPr>
      </w:pPr>
      <w:r>
        <w:rPr>
          <w:rFonts w:hint="eastAsia" w:ascii="仿宋_GB2312" w:hAnsi="宋体" w:eastAsia="仿宋_GB2312"/>
          <w:bCs/>
          <w:color w:val="000000"/>
          <w:szCs w:val="21"/>
          <w:lang w:val="en-US" w:eastAsia="zh-CN"/>
        </w:rPr>
        <w:t xml:space="preserve">                                             </w:t>
      </w:r>
      <w:r>
        <w:rPr>
          <w:rFonts w:hint="eastAsia" w:ascii="仿宋_GB2312" w:hAnsi="宋体" w:eastAsia="仿宋_GB2312"/>
          <w:bCs/>
          <w:color w:val="000000"/>
          <w:szCs w:val="21"/>
        </w:rPr>
        <w:t>签订时间</w:t>
      </w:r>
      <w:r>
        <w:rPr>
          <w:rFonts w:hint="eastAsia" w:ascii="仿宋_GB2312" w:hAnsi="宋体" w:eastAsia="仿宋_GB2312"/>
          <w:b/>
          <w:color w:val="000000"/>
          <w:szCs w:val="21"/>
        </w:rPr>
        <w:t xml:space="preserve">：      </w:t>
      </w:r>
      <w:r>
        <w:rPr>
          <w:rFonts w:hint="eastAsia" w:ascii="仿宋_GB2312" w:hAnsi="宋体" w:eastAsia="仿宋_GB2312"/>
          <w:color w:val="000000"/>
          <w:szCs w:val="21"/>
        </w:rPr>
        <w:t>年   月   日</w:t>
      </w:r>
      <w:r>
        <w:rPr>
          <w:rFonts w:hint="eastAsia" w:ascii="仿宋_GB2312" w:hAnsi="宋体" w:eastAsia="仿宋_GB2312"/>
          <w:color w:val="000000"/>
          <w:szCs w:val="21"/>
          <w:lang w:val="en-US" w:eastAsia="zh-CN"/>
        </w:rPr>
        <w:t xml:space="preserve">      </w:t>
      </w:r>
      <w:r>
        <w:rPr>
          <w:rFonts w:hint="eastAsia" w:ascii="仿宋_GB2312" w:hAnsi="宋体" w:eastAsia="仿宋_GB2312" w:cs="宋体"/>
          <w:color w:val="000000"/>
          <w:kern w:val="0"/>
          <w:szCs w:val="21"/>
        </w:rPr>
        <w:t xml:space="preserve">  </w:t>
      </w:r>
    </w:p>
    <w:p>
      <w:pPr>
        <w:widowControl/>
        <w:spacing w:line="300" w:lineRule="exact"/>
        <w:ind w:firstLine="1470" w:firstLineChars="700"/>
        <w:jc w:val="left"/>
        <w:rPr>
          <w:rFonts w:hint="eastAsia" w:ascii="仿宋_GB2312" w:hAnsi="宋体" w:eastAsia="仿宋_GB2312" w:cs="宋体"/>
          <w:color w:val="000000"/>
          <w:kern w:val="0"/>
          <w:szCs w:val="21"/>
          <w:u w:val="single"/>
        </w:rPr>
      </w:pPr>
      <w:r>
        <w:rPr>
          <w:rFonts w:hint="eastAsia" w:ascii="仿宋_GB2312" w:hAnsi="宋体" w:eastAsia="仿宋_GB2312" w:cs="宋体"/>
          <w:color w:val="000000"/>
          <w:kern w:val="0"/>
          <w:szCs w:val="21"/>
        </w:rPr>
        <w:t xml:space="preserve">             </w:t>
      </w:r>
      <w:r>
        <w:rPr>
          <w:rFonts w:hint="eastAsia" w:ascii="仿宋_GB2312" w:hAnsi="宋体" w:eastAsia="仿宋_GB2312" w:cs="宋体"/>
          <w:color w:val="000000"/>
          <w:kern w:val="0"/>
          <w:szCs w:val="21"/>
          <w:lang w:val="en-US" w:eastAsia="zh-CN"/>
        </w:rPr>
        <w:t xml:space="preserve"> </w:t>
      </w:r>
      <w:r>
        <w:rPr>
          <w:rFonts w:hint="eastAsia" w:ascii="仿宋_GB2312" w:hAnsi="宋体" w:eastAsia="仿宋_GB2312" w:cs="宋体"/>
          <w:color w:val="000000"/>
          <w:kern w:val="0"/>
          <w:szCs w:val="21"/>
        </w:rPr>
        <w:t xml:space="preserve"> </w:t>
      </w:r>
      <w:r>
        <w:rPr>
          <w:rFonts w:hint="eastAsia" w:ascii="仿宋_GB2312" w:hAnsi="宋体" w:eastAsia="仿宋_GB2312" w:cs="宋体"/>
          <w:color w:val="000000"/>
          <w:kern w:val="0"/>
          <w:szCs w:val="21"/>
          <w:lang w:val="en-US" w:eastAsia="zh-CN"/>
        </w:rPr>
        <w:t xml:space="preserve">                 </w:t>
      </w:r>
    </w:p>
    <w:p>
      <w:pPr>
        <w:widowControl/>
        <w:spacing w:line="300" w:lineRule="exact"/>
        <w:rPr>
          <w:rFonts w:hint="eastAsia" w:ascii="仿宋_GB2312" w:eastAsia="仿宋_GB2312"/>
          <w:b/>
          <w:color w:val="000000"/>
          <w:sz w:val="32"/>
          <w:szCs w:val="32"/>
        </w:rPr>
      </w:pPr>
      <w:r>
        <w:rPr>
          <w:rFonts w:hint="eastAsia" w:ascii="仿宋_GB2312" w:hAnsi="宋体" w:eastAsia="仿宋_GB2312"/>
          <w:color w:val="000000"/>
          <w:szCs w:val="21"/>
        </w:rPr>
        <w:t xml:space="preserve">                  </w:t>
      </w:r>
    </w:p>
    <w:p>
      <w:pPr>
        <w:jc w:val="center"/>
        <w:rPr>
          <w:rFonts w:hint="eastAsia" w:ascii="仿宋_GB2312" w:hAnsi="宋体" w:eastAsia="仿宋_GB2312"/>
          <w:b/>
          <w:color w:val="000000"/>
          <w:szCs w:val="21"/>
        </w:rPr>
      </w:pPr>
      <w:r>
        <w:rPr>
          <w:rFonts w:ascii="仿宋_GB2312" w:eastAsia="仿宋_GB2312"/>
          <w:b/>
          <w:color w:val="000000"/>
          <w:sz w:val="32"/>
          <w:szCs w:val="32"/>
        </w:rPr>
        <w:br w:type="page"/>
      </w:r>
      <w:r>
        <w:rPr>
          <w:rFonts w:hint="eastAsia" w:ascii="仿宋_GB2312" w:eastAsia="仿宋_GB2312"/>
          <w:b/>
          <w:color w:val="000000"/>
          <w:sz w:val="32"/>
          <w:szCs w:val="32"/>
        </w:rPr>
        <w:t>通用条款</w:t>
      </w:r>
    </w:p>
    <w:p>
      <w:pPr>
        <w:ind w:firstLine="413" w:firstLineChars="196"/>
        <w:rPr>
          <w:rFonts w:hint="eastAsia" w:ascii="仿宋_GB2312" w:hAnsi="宋体" w:eastAsia="仿宋_GB2312"/>
          <w:b/>
          <w:color w:val="000000"/>
          <w:szCs w:val="21"/>
        </w:rPr>
      </w:pPr>
      <w:r>
        <w:rPr>
          <w:rFonts w:hint="eastAsia" w:ascii="仿宋_GB2312" w:hAnsi="宋体" w:eastAsia="仿宋_GB2312"/>
          <w:b/>
          <w:color w:val="000000"/>
          <w:szCs w:val="21"/>
        </w:rPr>
        <w:t>一、安全和服务责任</w:t>
      </w:r>
    </w:p>
    <w:p>
      <w:pPr>
        <w:ind w:firstLine="420" w:firstLineChars="200"/>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1.甲方应了解液化气安全使用常识，对室(户)内用气场所、燃气燃烧器具进行日常检查，配合乙方的入户安全检查，及时整改安全用气隐患。</w:t>
      </w:r>
    </w:p>
    <w:p>
      <w:pPr>
        <w:ind w:firstLine="420" w:firstLineChars="200"/>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2.甲方发现室（户）内燃气泄漏等故障时先关闭气瓶角阀，并向乙方报修；乙方提供24小时应急服务。</w:t>
      </w:r>
    </w:p>
    <w:p>
      <w:pPr>
        <w:ind w:firstLine="420" w:firstLineChars="200"/>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3.甲方购气时，可以自行运送或者由乙方直接配送，乙方应每</w:t>
      </w:r>
      <w:r>
        <w:rPr>
          <w:rFonts w:hint="eastAsia" w:ascii="仿宋_GB2312" w:hAnsi="宋体" w:eastAsia="仿宋_GB2312"/>
          <w:color w:val="auto"/>
          <w:szCs w:val="21"/>
          <w:u w:val="single"/>
          <w:lang w:val="en-US" w:eastAsia="zh-CN"/>
        </w:rPr>
        <w:t xml:space="preserve">   </w:t>
      </w:r>
      <w:r>
        <w:rPr>
          <w:rFonts w:hint="eastAsia" w:ascii="仿宋_GB2312" w:hAnsi="宋体" w:eastAsia="仿宋_GB2312"/>
          <w:color w:val="auto"/>
          <w:szCs w:val="21"/>
          <w:u w:val="none"/>
          <w:lang w:val="en-US" w:eastAsia="zh-CN"/>
        </w:rPr>
        <w:t>月</w:t>
      </w:r>
      <w:r>
        <w:rPr>
          <w:rFonts w:hint="eastAsia" w:ascii="仿宋_GB2312" w:hAnsi="宋体" w:eastAsia="仿宋_GB2312"/>
          <w:color w:val="auto"/>
          <w:szCs w:val="21"/>
          <w:lang w:val="en-US" w:eastAsia="zh-CN"/>
        </w:rPr>
        <w:t>对甲方室（户）内用气场所、燃气燃烧器具进行免费入户安全检查；选择直接配送方式的，乙方应当于每次配送上门时对居民用户的用气场所、燃气燃烧器具进行安全检查。</w:t>
      </w:r>
    </w:p>
    <w:p>
      <w:pPr>
        <w:ind w:firstLine="420" w:firstLineChars="200"/>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4.甲方至乙方换气或由乙方直接配送上门时，乙方应向甲方发放安全用气须知。</w:t>
      </w:r>
    </w:p>
    <w:p>
      <w:pPr>
        <w:ind w:firstLine="420" w:firstLineChars="200"/>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5.</w:t>
      </w:r>
      <w:r>
        <w:rPr>
          <w:rFonts w:hint="default" w:ascii="仿宋_GB2312" w:hAnsi="宋体" w:eastAsia="仿宋_GB2312"/>
          <w:color w:val="auto"/>
          <w:szCs w:val="21"/>
          <w:lang w:val="en-US" w:eastAsia="zh-CN"/>
        </w:rPr>
        <w:t>因甲方原因导致气瓶毁损、丢失</w:t>
      </w:r>
      <w:r>
        <w:rPr>
          <w:rFonts w:hint="eastAsia" w:ascii="仿宋_GB2312" w:hAnsi="宋体" w:eastAsia="仿宋_GB2312"/>
          <w:color w:val="auto"/>
          <w:szCs w:val="21"/>
          <w:lang w:val="en-US" w:eastAsia="zh-CN"/>
        </w:rPr>
        <w:t>的，乙方可视情扣减气瓶押金；甲方需要继续用气的，须补足气瓶押金，乙方提供合格气瓶。</w:t>
      </w:r>
    </w:p>
    <w:p>
      <w:pPr>
        <w:ind w:firstLine="420" w:firstLineChars="200"/>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6.</w:t>
      </w:r>
      <w:r>
        <w:rPr>
          <w:rFonts w:hint="default" w:ascii="仿宋_GB2312" w:hAnsi="宋体" w:eastAsia="仿宋_GB2312"/>
          <w:color w:val="auto"/>
          <w:szCs w:val="21"/>
          <w:lang w:val="en-US" w:eastAsia="zh-CN"/>
        </w:rPr>
        <w:t>甲方</w:t>
      </w:r>
      <w:r>
        <w:rPr>
          <w:rFonts w:hint="eastAsia" w:ascii="仿宋_GB2312" w:hAnsi="宋体" w:eastAsia="仿宋_GB2312"/>
          <w:color w:val="auto"/>
          <w:szCs w:val="21"/>
          <w:lang w:val="en-US" w:eastAsia="zh-CN"/>
        </w:rPr>
        <w:t>使用</w:t>
      </w:r>
      <w:r>
        <w:rPr>
          <w:rFonts w:hint="default" w:ascii="仿宋_GB2312" w:hAnsi="宋体" w:eastAsia="仿宋_GB2312"/>
          <w:color w:val="auto"/>
          <w:szCs w:val="21"/>
          <w:lang w:val="en-US" w:eastAsia="zh-CN"/>
        </w:rPr>
        <w:t>的气瓶</w:t>
      </w:r>
      <w:r>
        <w:rPr>
          <w:rFonts w:hint="eastAsia" w:ascii="仿宋_GB2312" w:hAnsi="宋体" w:eastAsia="仿宋_GB2312"/>
          <w:color w:val="auto"/>
          <w:szCs w:val="21"/>
          <w:lang w:val="en-US" w:eastAsia="zh-CN"/>
        </w:rPr>
        <w:t>在</w:t>
      </w:r>
      <w:r>
        <w:rPr>
          <w:rFonts w:hint="default" w:ascii="仿宋_GB2312" w:hAnsi="宋体" w:eastAsia="仿宋_GB2312"/>
          <w:color w:val="auto"/>
          <w:szCs w:val="21"/>
          <w:lang w:val="en-US" w:eastAsia="zh-CN"/>
        </w:rPr>
        <w:t>检验周期、报废期限到期前</w:t>
      </w:r>
      <w:r>
        <w:rPr>
          <w:rFonts w:hint="eastAsia" w:ascii="仿宋_GB2312" w:hAnsi="宋体" w:eastAsia="仿宋_GB2312"/>
          <w:color w:val="auto"/>
          <w:szCs w:val="21"/>
          <w:lang w:val="en-US" w:eastAsia="zh-CN"/>
        </w:rPr>
        <w:t>30</w:t>
      </w:r>
      <w:r>
        <w:rPr>
          <w:rFonts w:hint="default" w:ascii="仿宋_GB2312" w:hAnsi="宋体" w:eastAsia="仿宋_GB2312"/>
          <w:color w:val="auto"/>
          <w:szCs w:val="21"/>
          <w:lang w:val="en-US" w:eastAsia="zh-CN"/>
        </w:rPr>
        <w:t>日</w:t>
      </w:r>
      <w:r>
        <w:rPr>
          <w:rFonts w:hint="eastAsia" w:ascii="仿宋_GB2312" w:hAnsi="宋体" w:eastAsia="仿宋_GB2312"/>
          <w:color w:val="auto"/>
          <w:szCs w:val="21"/>
          <w:lang w:val="en-US" w:eastAsia="zh-CN"/>
        </w:rPr>
        <w:t>的，乙方应通知甲方</w:t>
      </w:r>
      <w:r>
        <w:rPr>
          <w:rFonts w:hint="default" w:ascii="仿宋_GB2312" w:hAnsi="宋体" w:eastAsia="仿宋_GB2312"/>
          <w:color w:val="auto"/>
          <w:szCs w:val="21"/>
          <w:lang w:val="en-US" w:eastAsia="zh-CN"/>
        </w:rPr>
        <w:t>将气瓶送交乙方。</w:t>
      </w:r>
    </w:p>
    <w:p>
      <w:pPr>
        <w:ind w:firstLine="420" w:firstLineChars="200"/>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7.乙方提供24小时售气服务，在售气网点和营业场所等主动向甲方公示服务质量承诺和相关收费标准。</w:t>
      </w:r>
    </w:p>
    <w:p>
      <w:pPr>
        <w:ind w:firstLine="420" w:firstLineChars="200"/>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8.甲方至乙方购气时，乙方应登记甲方实际购气人的身份信息；乙方为甲方配送上门时，乙方应登记甲方气瓶接收人的身份信息，并实行信息化管理。</w:t>
      </w:r>
    </w:p>
    <w:p>
      <w:pPr>
        <w:ind w:firstLine="420" w:firstLineChars="200"/>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9.</w:t>
      </w:r>
      <w:r>
        <w:rPr>
          <w:rFonts w:hint="default" w:ascii="仿宋_GB2312" w:hAnsi="宋体" w:eastAsia="仿宋_GB2312"/>
          <w:color w:val="auto"/>
          <w:szCs w:val="21"/>
          <w:lang w:val="en-US" w:eastAsia="zh-CN"/>
        </w:rPr>
        <w:t>乙方发现甲方用气场所、</w:t>
      </w:r>
      <w:r>
        <w:rPr>
          <w:rFonts w:hint="eastAsia" w:ascii="仿宋_GB2312" w:hAnsi="宋体" w:eastAsia="仿宋_GB2312"/>
          <w:color w:val="auto"/>
          <w:szCs w:val="21"/>
          <w:lang w:val="en-US" w:eastAsia="zh-CN"/>
        </w:rPr>
        <w:t>燃气燃烧器具等</w:t>
      </w:r>
      <w:r>
        <w:rPr>
          <w:rFonts w:hint="default" w:ascii="仿宋_GB2312" w:hAnsi="宋体" w:eastAsia="仿宋_GB2312"/>
          <w:color w:val="auto"/>
          <w:szCs w:val="21"/>
          <w:lang w:val="en-US" w:eastAsia="zh-CN"/>
        </w:rPr>
        <w:t>存在安全隐患的，应书面告知整改建议，并应甲方要求提供相应的整改服务，甲方承担相应费用。</w:t>
      </w:r>
    </w:p>
    <w:p>
      <w:pPr>
        <w:ind w:firstLine="420" w:firstLineChars="200"/>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10.乙方可为甲方提供代办液化气综合保险业务。</w:t>
      </w:r>
    </w:p>
    <w:p>
      <w:pPr>
        <w:ind w:firstLine="420" w:firstLineChars="200"/>
        <w:rPr>
          <w:rFonts w:hint="default" w:ascii="仿宋_GB2312" w:hAnsi="宋体" w:eastAsia="仿宋_GB2312"/>
          <w:color w:val="auto"/>
          <w:szCs w:val="21"/>
          <w:lang w:val="en-US" w:eastAsia="zh-CN"/>
        </w:rPr>
      </w:pPr>
      <w:r>
        <w:rPr>
          <w:rFonts w:hint="default" w:ascii="仿宋_GB2312" w:hAnsi="宋体" w:eastAsia="仿宋_GB2312"/>
          <w:color w:val="auto"/>
          <w:szCs w:val="21"/>
          <w:lang w:val="en-US" w:eastAsia="zh-CN"/>
        </w:rPr>
        <w:t>1</w:t>
      </w:r>
      <w:r>
        <w:rPr>
          <w:rFonts w:hint="eastAsia" w:ascii="仿宋_GB2312" w:hAnsi="宋体" w:eastAsia="仿宋_GB2312"/>
          <w:color w:val="auto"/>
          <w:szCs w:val="21"/>
          <w:lang w:val="en-US" w:eastAsia="zh-CN"/>
        </w:rPr>
        <w:t>1</w:t>
      </w:r>
      <w:r>
        <w:rPr>
          <w:rFonts w:hint="default" w:ascii="仿宋_GB2312" w:hAnsi="宋体" w:eastAsia="仿宋_GB2312"/>
          <w:color w:val="auto"/>
          <w:szCs w:val="21"/>
          <w:lang w:val="en-US" w:eastAsia="zh-CN"/>
        </w:rPr>
        <w:t>.甲方禁止实施下列行为：</w:t>
      </w:r>
    </w:p>
    <w:p>
      <w:pPr>
        <w:ind w:firstLine="420" w:firstLineChars="200"/>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（1）</w:t>
      </w:r>
      <w:r>
        <w:rPr>
          <w:rFonts w:hint="default" w:ascii="仿宋_GB2312" w:hAnsi="宋体" w:eastAsia="仿宋_GB2312"/>
          <w:color w:val="auto"/>
          <w:szCs w:val="21"/>
          <w:lang w:val="en-US" w:eastAsia="zh-CN"/>
        </w:rPr>
        <w:t>利用气瓶倒装燃气</w:t>
      </w:r>
      <w:r>
        <w:rPr>
          <w:rFonts w:hint="eastAsia" w:ascii="仿宋_GB2312" w:hAnsi="宋体" w:eastAsia="仿宋_GB2312"/>
          <w:color w:val="auto"/>
          <w:szCs w:val="21"/>
          <w:lang w:val="en-US" w:eastAsia="zh-CN"/>
        </w:rPr>
        <w:t>，</w:t>
      </w:r>
      <w:r>
        <w:rPr>
          <w:rFonts w:hint="default" w:ascii="仿宋_GB2312" w:hAnsi="宋体" w:eastAsia="仿宋_GB2312"/>
          <w:color w:val="auto"/>
          <w:szCs w:val="21"/>
          <w:lang w:val="en-US" w:eastAsia="zh-CN"/>
        </w:rPr>
        <w:t>摔、砸、滚动、倒置气瓶</w:t>
      </w:r>
      <w:r>
        <w:rPr>
          <w:rFonts w:hint="eastAsia" w:ascii="仿宋_GB2312" w:hAnsi="宋体" w:eastAsia="仿宋_GB2312"/>
          <w:color w:val="auto"/>
          <w:szCs w:val="21"/>
          <w:lang w:val="en-US" w:eastAsia="zh-CN"/>
        </w:rPr>
        <w:t>，</w:t>
      </w:r>
      <w:r>
        <w:rPr>
          <w:rFonts w:hint="default" w:ascii="仿宋_GB2312" w:hAnsi="宋体" w:eastAsia="仿宋_GB2312"/>
          <w:color w:val="auto"/>
          <w:szCs w:val="21"/>
          <w:lang w:val="en-US" w:eastAsia="zh-CN"/>
        </w:rPr>
        <w:t>加热气瓶、倾倒瓶内残液或者拆修瓶阀等附件；</w:t>
      </w:r>
    </w:p>
    <w:p>
      <w:pPr>
        <w:ind w:firstLine="420" w:firstLineChars="200"/>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（2）</w:t>
      </w:r>
      <w:r>
        <w:rPr>
          <w:rFonts w:hint="default" w:ascii="仿宋_GB2312" w:hAnsi="宋体" w:eastAsia="仿宋_GB2312"/>
          <w:color w:val="auto"/>
          <w:szCs w:val="21"/>
          <w:lang w:val="en-US" w:eastAsia="zh-CN"/>
        </w:rPr>
        <w:t>发现燃气设施或者</w:t>
      </w:r>
      <w:r>
        <w:rPr>
          <w:rFonts w:hint="eastAsia" w:ascii="仿宋_GB2312" w:hAnsi="宋体" w:eastAsia="仿宋_GB2312"/>
          <w:color w:val="auto"/>
          <w:szCs w:val="21"/>
          <w:lang w:val="en-US" w:eastAsia="zh-CN"/>
        </w:rPr>
        <w:t>燃气燃烧器具</w:t>
      </w:r>
      <w:r>
        <w:rPr>
          <w:rFonts w:hint="default" w:ascii="仿宋_GB2312" w:hAnsi="宋体" w:eastAsia="仿宋_GB2312"/>
          <w:color w:val="auto"/>
          <w:szCs w:val="21"/>
          <w:lang w:val="en-US" w:eastAsia="zh-CN"/>
        </w:rPr>
        <w:t>异常、燃气泄漏时，在现场使用明火、开关电器或者拨打电话；</w:t>
      </w:r>
    </w:p>
    <w:p>
      <w:pPr>
        <w:ind w:firstLine="420" w:firstLineChars="200"/>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（3）</w:t>
      </w:r>
      <w:r>
        <w:rPr>
          <w:rFonts w:hint="default" w:ascii="仿宋_GB2312" w:hAnsi="宋体" w:eastAsia="仿宋_GB2312"/>
          <w:color w:val="auto"/>
          <w:szCs w:val="21"/>
          <w:lang w:val="en-US" w:eastAsia="zh-CN"/>
        </w:rPr>
        <w:t>无正当理由拒绝入户安全检查，或者拒不整改用气安全隐患；</w:t>
      </w:r>
    </w:p>
    <w:p>
      <w:pPr>
        <w:ind w:firstLine="420" w:firstLineChars="200"/>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（4）</w:t>
      </w:r>
      <w:r>
        <w:rPr>
          <w:rFonts w:hint="default" w:ascii="仿宋_GB2312" w:hAnsi="宋体" w:eastAsia="仿宋_GB2312"/>
          <w:color w:val="auto"/>
          <w:szCs w:val="21"/>
          <w:lang w:val="en-US" w:eastAsia="zh-CN"/>
        </w:rPr>
        <w:t>安装、使用</w:t>
      </w:r>
      <w:r>
        <w:rPr>
          <w:rFonts w:hint="eastAsia" w:ascii="仿宋_GB2312" w:hAnsi="宋体" w:eastAsia="仿宋_GB2312"/>
          <w:color w:val="auto"/>
          <w:szCs w:val="21"/>
          <w:lang w:val="en-US" w:eastAsia="zh-CN"/>
        </w:rPr>
        <w:t>不带熄火保护功能或使用期限超过8年</w:t>
      </w:r>
      <w:r>
        <w:rPr>
          <w:rFonts w:hint="default" w:ascii="仿宋_GB2312" w:hAnsi="宋体" w:eastAsia="仿宋_GB2312"/>
          <w:color w:val="auto"/>
          <w:szCs w:val="21"/>
          <w:lang w:val="en-US" w:eastAsia="zh-CN"/>
        </w:rPr>
        <w:t>的</w:t>
      </w:r>
      <w:r>
        <w:rPr>
          <w:rFonts w:hint="eastAsia" w:ascii="仿宋_GB2312" w:hAnsi="宋体" w:eastAsia="仿宋_GB2312"/>
          <w:color w:val="auto"/>
          <w:szCs w:val="21"/>
          <w:lang w:val="en-US" w:eastAsia="zh-CN"/>
        </w:rPr>
        <w:t>燃气燃烧器具；</w:t>
      </w:r>
    </w:p>
    <w:p>
      <w:pPr>
        <w:ind w:firstLine="420" w:firstLineChars="200"/>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（5）</w:t>
      </w:r>
      <w:r>
        <w:rPr>
          <w:rFonts w:hint="default" w:ascii="仿宋_GB2312" w:hAnsi="宋体" w:eastAsia="仿宋_GB2312"/>
          <w:color w:val="auto"/>
          <w:szCs w:val="21"/>
          <w:lang w:val="en-US" w:eastAsia="zh-CN"/>
        </w:rPr>
        <w:t>严禁在同一房间内同时使用液化气和其</w:t>
      </w:r>
      <w:r>
        <w:rPr>
          <w:rFonts w:hint="eastAsia" w:ascii="仿宋_GB2312" w:hAnsi="宋体" w:eastAsia="仿宋_GB2312"/>
          <w:color w:val="auto"/>
          <w:szCs w:val="21"/>
          <w:lang w:val="en-US" w:eastAsia="zh-CN"/>
        </w:rPr>
        <w:t>他</w:t>
      </w:r>
      <w:r>
        <w:rPr>
          <w:rFonts w:hint="default" w:ascii="仿宋_GB2312" w:hAnsi="宋体" w:eastAsia="仿宋_GB2312"/>
          <w:color w:val="auto"/>
          <w:szCs w:val="21"/>
          <w:lang w:val="en-US" w:eastAsia="zh-CN"/>
        </w:rPr>
        <w:t>明火（如煤火、</w:t>
      </w:r>
      <w:r>
        <w:rPr>
          <w:rFonts w:hint="eastAsia" w:ascii="仿宋_GB2312" w:hAnsi="宋体" w:eastAsia="仿宋_GB2312"/>
          <w:color w:val="auto"/>
          <w:szCs w:val="21"/>
          <w:lang w:val="en-US" w:eastAsia="zh-CN"/>
        </w:rPr>
        <w:t>柴火</w:t>
      </w:r>
      <w:r>
        <w:rPr>
          <w:rFonts w:hint="default" w:ascii="仿宋_GB2312" w:hAnsi="宋体" w:eastAsia="仿宋_GB2312"/>
          <w:color w:val="auto"/>
          <w:szCs w:val="21"/>
          <w:lang w:val="en-US" w:eastAsia="zh-CN"/>
        </w:rPr>
        <w:t>等）</w:t>
      </w:r>
      <w:r>
        <w:rPr>
          <w:rFonts w:hint="eastAsia" w:ascii="仿宋_GB2312" w:hAnsi="宋体" w:eastAsia="仿宋_GB2312"/>
          <w:color w:val="auto"/>
          <w:szCs w:val="21"/>
          <w:lang w:val="en-US" w:eastAsia="zh-CN"/>
        </w:rPr>
        <w:t>；</w:t>
      </w:r>
    </w:p>
    <w:p>
      <w:pPr>
        <w:ind w:firstLine="420" w:firstLineChars="200"/>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（6）</w:t>
      </w:r>
      <w:r>
        <w:rPr>
          <w:rFonts w:hint="default" w:ascii="仿宋_GB2312" w:hAnsi="宋体" w:eastAsia="仿宋_GB2312"/>
          <w:color w:val="auto"/>
          <w:szCs w:val="21"/>
          <w:lang w:val="en-US" w:eastAsia="zh-CN"/>
        </w:rPr>
        <w:t>禁止在地下、半地下空间内</w:t>
      </w:r>
      <w:r>
        <w:rPr>
          <w:rFonts w:hint="eastAsia" w:ascii="仿宋_GB2312" w:hAnsi="宋体" w:eastAsia="仿宋_GB2312"/>
          <w:color w:val="auto"/>
          <w:szCs w:val="21"/>
          <w:lang w:val="en-US" w:eastAsia="zh-CN"/>
        </w:rPr>
        <w:t>和</w:t>
      </w:r>
      <w:r>
        <w:rPr>
          <w:rFonts w:hint="default" w:ascii="仿宋_GB2312" w:hAnsi="宋体" w:eastAsia="仿宋_GB2312"/>
          <w:color w:val="auto"/>
          <w:szCs w:val="21"/>
          <w:lang w:val="en-US" w:eastAsia="zh-CN"/>
        </w:rPr>
        <w:t>有人员</w:t>
      </w:r>
      <w:r>
        <w:rPr>
          <w:rFonts w:hint="eastAsia" w:ascii="仿宋_GB2312" w:hAnsi="宋体" w:eastAsia="仿宋_GB2312"/>
          <w:color w:val="auto"/>
          <w:szCs w:val="21"/>
          <w:lang w:val="en-US" w:eastAsia="zh-CN"/>
        </w:rPr>
        <w:t>居住的</w:t>
      </w:r>
      <w:r>
        <w:rPr>
          <w:rFonts w:hint="default" w:ascii="仿宋_GB2312" w:hAnsi="宋体" w:eastAsia="仿宋_GB2312"/>
          <w:color w:val="auto"/>
          <w:szCs w:val="21"/>
          <w:lang w:val="en-US" w:eastAsia="zh-CN"/>
        </w:rPr>
        <w:t>房间内使用液化石油气</w:t>
      </w:r>
      <w:r>
        <w:rPr>
          <w:rFonts w:hint="eastAsia" w:ascii="仿宋_GB2312" w:hAnsi="宋体" w:eastAsia="仿宋_GB2312"/>
          <w:color w:val="auto"/>
          <w:szCs w:val="21"/>
          <w:lang w:val="en-US" w:eastAsia="zh-CN"/>
        </w:rPr>
        <w:t>。</w:t>
      </w:r>
    </w:p>
    <w:p>
      <w:pPr>
        <w:ind w:firstLine="422" w:firstLineChars="200"/>
        <w:rPr>
          <w:rFonts w:hint="eastAsia" w:ascii="仿宋_GB2312" w:hAnsi="宋体" w:eastAsia="仿宋_GB2312"/>
          <w:b/>
          <w:color w:val="000000"/>
          <w:szCs w:val="21"/>
        </w:rPr>
      </w:pPr>
      <w:r>
        <w:rPr>
          <w:rFonts w:hint="eastAsia" w:ascii="仿宋_GB2312" w:hAnsi="宋体" w:eastAsia="仿宋_GB2312"/>
          <w:b/>
          <w:color w:val="000000"/>
          <w:szCs w:val="21"/>
        </w:rPr>
        <w:t>二、</w:t>
      </w:r>
      <w:r>
        <w:rPr>
          <w:rFonts w:hint="eastAsia" w:ascii="仿宋_GB2312" w:hAnsi="宋体" w:eastAsia="仿宋_GB2312"/>
          <w:b/>
          <w:color w:val="000000"/>
          <w:szCs w:val="21"/>
          <w:lang w:eastAsia="zh-CN"/>
        </w:rPr>
        <w:t>违约</w:t>
      </w:r>
      <w:r>
        <w:rPr>
          <w:rFonts w:hint="eastAsia" w:ascii="仿宋_GB2312" w:hAnsi="宋体" w:eastAsia="仿宋_GB2312"/>
          <w:b/>
          <w:color w:val="000000"/>
          <w:szCs w:val="21"/>
        </w:rPr>
        <w:t>责任</w:t>
      </w:r>
    </w:p>
    <w:p>
      <w:pPr>
        <w:adjustRightInd w:val="0"/>
        <w:ind w:right="50" w:rightChars="24" w:firstLine="420" w:firstLineChars="200"/>
        <w:rPr>
          <w:rFonts w:hint="eastAsia" w:ascii="仿宋_GB2312" w:hAnsi="宋体" w:eastAsia="仿宋_GB2312"/>
          <w:b w:val="0"/>
          <w:bCs/>
          <w:color w:val="000000"/>
          <w:szCs w:val="21"/>
        </w:rPr>
      </w:pPr>
      <w:r>
        <w:rPr>
          <w:rFonts w:hint="eastAsia" w:ascii="仿宋_GB2312" w:hAnsi="宋体" w:eastAsia="仿宋_GB2312"/>
          <w:b w:val="0"/>
          <w:bCs/>
          <w:color w:val="000000"/>
          <w:szCs w:val="21"/>
        </w:rPr>
        <w:t>1.甲方拒绝乙方入户安全检查</w:t>
      </w:r>
      <w:r>
        <w:rPr>
          <w:rFonts w:hint="eastAsia" w:ascii="仿宋_GB2312" w:hAnsi="宋体" w:eastAsia="仿宋_GB2312"/>
          <w:b w:val="0"/>
          <w:bCs/>
          <w:color w:val="000000"/>
          <w:szCs w:val="21"/>
          <w:lang w:eastAsia="zh-CN"/>
        </w:rPr>
        <w:t>、</w:t>
      </w:r>
      <w:r>
        <w:rPr>
          <w:rFonts w:hint="eastAsia" w:ascii="仿宋_GB2312" w:hAnsi="宋体" w:eastAsia="仿宋_GB2312"/>
          <w:b w:val="0"/>
          <w:bCs/>
          <w:color w:val="000000"/>
          <w:szCs w:val="21"/>
        </w:rPr>
        <w:t>拒不整改危及公共安全的燃气隐患并经劝阻无效的，乙方在履行书面告知义务后</w:t>
      </w:r>
      <w:r>
        <w:rPr>
          <w:rFonts w:hint="eastAsia" w:ascii="仿宋_GB2312" w:hAnsi="宋体" w:eastAsia="仿宋_GB2312"/>
          <w:b w:val="0"/>
          <w:bCs/>
          <w:color w:val="000000"/>
          <w:szCs w:val="21"/>
          <w:lang w:eastAsia="zh-CN"/>
        </w:rPr>
        <w:t>，可</w:t>
      </w:r>
      <w:r>
        <w:rPr>
          <w:rFonts w:hint="eastAsia" w:ascii="仿宋_GB2312" w:hAnsi="宋体" w:eastAsia="仿宋_GB2312"/>
          <w:b w:val="0"/>
          <w:bCs/>
          <w:color w:val="000000"/>
          <w:szCs w:val="21"/>
        </w:rPr>
        <w:t>暂停</w:t>
      </w:r>
      <w:r>
        <w:rPr>
          <w:rFonts w:hint="eastAsia" w:ascii="仿宋_GB2312" w:hAnsi="宋体" w:eastAsia="仿宋_GB2312"/>
          <w:b w:val="0"/>
          <w:bCs/>
          <w:color w:val="000000"/>
          <w:szCs w:val="21"/>
          <w:lang w:eastAsia="zh-CN"/>
        </w:rPr>
        <w:t>售</w:t>
      </w:r>
      <w:r>
        <w:rPr>
          <w:rFonts w:hint="eastAsia" w:ascii="仿宋_GB2312" w:hAnsi="宋体" w:eastAsia="仿宋_GB2312"/>
          <w:b w:val="0"/>
          <w:bCs/>
          <w:color w:val="000000"/>
          <w:szCs w:val="21"/>
        </w:rPr>
        <w:t>气。</w:t>
      </w:r>
    </w:p>
    <w:p>
      <w:pPr>
        <w:adjustRightInd w:val="0"/>
        <w:ind w:right="50" w:rightChars="24" w:firstLine="420" w:firstLineChars="200"/>
        <w:rPr>
          <w:rFonts w:hint="eastAsia" w:ascii="仿宋_GB2312" w:hAnsi="宋体" w:eastAsia="仿宋_GB2312"/>
          <w:b w:val="0"/>
          <w:bCs/>
          <w:color w:val="000000"/>
          <w:szCs w:val="21"/>
        </w:rPr>
      </w:pPr>
      <w:r>
        <w:rPr>
          <w:rFonts w:hint="eastAsia" w:ascii="仿宋_GB2312" w:hAnsi="宋体" w:eastAsia="仿宋_GB2312"/>
          <w:b w:val="0"/>
          <w:bCs/>
          <w:color w:val="000000"/>
          <w:szCs w:val="21"/>
          <w:lang w:val="en-US" w:eastAsia="zh-CN"/>
        </w:rPr>
        <w:t>2</w:t>
      </w:r>
      <w:r>
        <w:rPr>
          <w:rFonts w:hint="eastAsia" w:ascii="仿宋_GB2312" w:hAnsi="宋体" w:eastAsia="仿宋_GB2312"/>
          <w:b w:val="0"/>
          <w:bCs/>
          <w:color w:val="000000"/>
          <w:szCs w:val="21"/>
        </w:rPr>
        <w:t>.甲方违反法律法规、标准规范、安全用气须知以及本合同规定使用液化气造成事故的，由甲方承担责任；给其他方造成损失的，甲方应承担赔偿责任。</w:t>
      </w:r>
    </w:p>
    <w:p>
      <w:pPr>
        <w:adjustRightInd w:val="0"/>
        <w:ind w:right="50" w:rightChars="24" w:firstLine="420" w:firstLineChars="200"/>
        <w:rPr>
          <w:rFonts w:hint="eastAsia" w:ascii="仿宋_GB2312" w:hAnsi="宋体" w:eastAsia="仿宋_GB2312"/>
          <w:b w:val="0"/>
          <w:bCs/>
          <w:color w:val="000000"/>
          <w:szCs w:val="21"/>
        </w:rPr>
      </w:pPr>
      <w:r>
        <w:rPr>
          <w:rFonts w:hint="eastAsia" w:ascii="仿宋_GB2312" w:hAnsi="宋体" w:eastAsia="仿宋_GB2312"/>
          <w:b w:val="0"/>
          <w:bCs/>
          <w:color w:val="000000"/>
          <w:szCs w:val="21"/>
          <w:lang w:val="en-US" w:eastAsia="zh-CN"/>
        </w:rPr>
        <w:t>3</w:t>
      </w:r>
      <w:r>
        <w:rPr>
          <w:rFonts w:hint="eastAsia" w:ascii="仿宋_GB2312" w:hAnsi="宋体" w:eastAsia="仿宋_GB2312"/>
          <w:b w:val="0"/>
          <w:bCs/>
          <w:color w:val="000000"/>
          <w:szCs w:val="21"/>
        </w:rPr>
        <w:t>.乙方未按照约定周期及作业内容进行安全巡检、发现甲方</w:t>
      </w:r>
      <w:r>
        <w:rPr>
          <w:rFonts w:hint="eastAsia" w:ascii="仿宋_GB2312" w:hAnsi="宋体" w:eastAsia="仿宋_GB2312"/>
          <w:b w:val="0"/>
          <w:bCs/>
          <w:color w:val="000000"/>
          <w:szCs w:val="21"/>
          <w:lang w:eastAsia="zh-CN"/>
        </w:rPr>
        <w:t>用气场所</w:t>
      </w:r>
      <w:r>
        <w:rPr>
          <w:rFonts w:hint="eastAsia" w:ascii="仿宋_GB2312" w:hAnsi="宋体" w:eastAsia="仿宋_GB2312"/>
          <w:b w:val="0"/>
          <w:bCs/>
          <w:color w:val="000000"/>
          <w:szCs w:val="21"/>
        </w:rPr>
        <w:t>和燃气燃烧器具存在安全隐患未向甲方书面告知，导致发生燃气安全事故，给甲方和其他方造成损失的，乙方应承担相应赔偿责任。</w:t>
      </w:r>
    </w:p>
    <w:p>
      <w:pPr>
        <w:adjustRightInd w:val="0"/>
        <w:ind w:right="50" w:rightChars="24" w:firstLine="420" w:firstLineChars="200"/>
        <w:rPr>
          <w:rFonts w:hint="eastAsia" w:ascii="仿宋_GB2312" w:hAnsi="宋体" w:eastAsia="仿宋_GB2312"/>
          <w:b w:val="0"/>
          <w:bCs/>
          <w:color w:val="000000"/>
          <w:szCs w:val="21"/>
          <w:lang w:val="en-US" w:eastAsia="zh-CN"/>
        </w:rPr>
      </w:pPr>
      <w:r>
        <w:rPr>
          <w:rFonts w:hint="eastAsia" w:ascii="仿宋_GB2312" w:hAnsi="宋体" w:eastAsia="仿宋_GB2312"/>
          <w:b w:val="0"/>
          <w:bCs/>
          <w:color w:val="000000"/>
          <w:szCs w:val="21"/>
          <w:lang w:val="en-US" w:eastAsia="zh-CN"/>
        </w:rPr>
        <w:t>4.甲方向本合同约定以外的单位或个人购买液化石油气的，本合同自动解除，乙方同时向甲方所在的街道乡镇报告，产生的后果由甲方承担。因乙方提供的燃气不符合国家标准，导致甲方在用气过程中产生安全事故，造成人身伤害或死亡的，由乙方承担全部责任，并赔偿相应损失。</w:t>
      </w:r>
    </w:p>
    <w:p>
      <w:pPr>
        <w:ind w:firstLine="413" w:firstLineChars="196"/>
        <w:rPr>
          <w:rFonts w:hint="eastAsia" w:ascii="仿宋_GB2312" w:hAnsi="宋体" w:eastAsia="仿宋_GB2312"/>
          <w:b/>
          <w:color w:val="000000"/>
          <w:szCs w:val="21"/>
        </w:rPr>
      </w:pPr>
      <w:r>
        <w:rPr>
          <w:rFonts w:hint="eastAsia" w:ascii="仿宋_GB2312" w:hAnsi="宋体" w:eastAsia="仿宋_GB2312"/>
          <w:b/>
          <w:color w:val="000000"/>
          <w:szCs w:val="21"/>
        </w:rPr>
        <w:t>三、合同解除</w:t>
      </w:r>
    </w:p>
    <w:p>
      <w:pPr>
        <w:ind w:firstLine="420" w:firstLineChars="200"/>
        <w:textAlignment w:val="baseline"/>
        <w:rPr>
          <w:rFonts w:hint="eastAsia" w:ascii="仿宋_GB2312" w:eastAsia="仿宋_GB2312"/>
          <w:color w:val="000000"/>
          <w:szCs w:val="21"/>
        </w:rPr>
      </w:pPr>
      <w:r>
        <w:rPr>
          <w:rFonts w:hint="eastAsia" w:ascii="仿宋_GB2312" w:hAnsi="宋体" w:eastAsia="仿宋_GB2312"/>
          <w:color w:val="auto"/>
          <w:szCs w:val="21"/>
        </w:rPr>
        <w:t>履行期内甲方可随时</w:t>
      </w:r>
      <w:r>
        <w:rPr>
          <w:rFonts w:hint="eastAsia" w:ascii="仿宋_GB2312" w:hAnsi="宋体" w:eastAsia="仿宋_GB2312"/>
          <w:color w:val="auto"/>
          <w:szCs w:val="21"/>
          <w:lang w:val="en-US" w:eastAsia="zh-CN"/>
        </w:rPr>
        <w:t>要求</w:t>
      </w:r>
      <w:r>
        <w:rPr>
          <w:rFonts w:hint="eastAsia" w:ascii="仿宋_GB2312" w:hAnsi="宋体" w:eastAsia="仿宋_GB2312"/>
          <w:color w:val="auto"/>
          <w:szCs w:val="21"/>
        </w:rPr>
        <w:t>终止协议。</w:t>
      </w:r>
    </w:p>
    <w:sectPr>
      <w:footerReference r:id="rId3" w:type="default"/>
      <w:footerReference r:id="rId4" w:type="even"/>
      <w:pgSz w:w="11906" w:h="16838"/>
      <w:pgMar w:top="964" w:right="1021" w:bottom="964" w:left="102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ind w:firstLine="3960" w:firstLineChars="220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B1BF8"/>
    <w:rsid w:val="001B1572"/>
    <w:rsid w:val="00271D72"/>
    <w:rsid w:val="00400BEB"/>
    <w:rsid w:val="004D388A"/>
    <w:rsid w:val="006E6196"/>
    <w:rsid w:val="013335E3"/>
    <w:rsid w:val="014C7654"/>
    <w:rsid w:val="0196792D"/>
    <w:rsid w:val="01B84033"/>
    <w:rsid w:val="01CF617D"/>
    <w:rsid w:val="02211E3D"/>
    <w:rsid w:val="02310916"/>
    <w:rsid w:val="03F35D2D"/>
    <w:rsid w:val="042B2451"/>
    <w:rsid w:val="042C2EA5"/>
    <w:rsid w:val="04442473"/>
    <w:rsid w:val="045C3A38"/>
    <w:rsid w:val="07E71237"/>
    <w:rsid w:val="08452012"/>
    <w:rsid w:val="08A76926"/>
    <w:rsid w:val="0905532D"/>
    <w:rsid w:val="0AA57732"/>
    <w:rsid w:val="0B525FB9"/>
    <w:rsid w:val="0BCB3FC0"/>
    <w:rsid w:val="0BD54444"/>
    <w:rsid w:val="0C1C415D"/>
    <w:rsid w:val="0CB72EBF"/>
    <w:rsid w:val="0D4A6151"/>
    <w:rsid w:val="0D8476F6"/>
    <w:rsid w:val="0D9D0E05"/>
    <w:rsid w:val="0E3A35C0"/>
    <w:rsid w:val="0E4F7CC3"/>
    <w:rsid w:val="0ED7274F"/>
    <w:rsid w:val="0FC107BD"/>
    <w:rsid w:val="101A5A3C"/>
    <w:rsid w:val="10734017"/>
    <w:rsid w:val="11611B42"/>
    <w:rsid w:val="119E07BF"/>
    <w:rsid w:val="11B32B09"/>
    <w:rsid w:val="122F18CE"/>
    <w:rsid w:val="12433321"/>
    <w:rsid w:val="12BB04AC"/>
    <w:rsid w:val="136B6E9F"/>
    <w:rsid w:val="1604675F"/>
    <w:rsid w:val="16C77F4F"/>
    <w:rsid w:val="16F317C2"/>
    <w:rsid w:val="1AE80191"/>
    <w:rsid w:val="1AF93B41"/>
    <w:rsid w:val="1B2B008F"/>
    <w:rsid w:val="1B6C607A"/>
    <w:rsid w:val="1BCA40CA"/>
    <w:rsid w:val="1C291F56"/>
    <w:rsid w:val="1C3E7770"/>
    <w:rsid w:val="1C4F2916"/>
    <w:rsid w:val="1CF72EA3"/>
    <w:rsid w:val="1D083965"/>
    <w:rsid w:val="1D3E45EF"/>
    <w:rsid w:val="1D7A6E38"/>
    <w:rsid w:val="1D7E2ED8"/>
    <w:rsid w:val="1E0D4541"/>
    <w:rsid w:val="1E8871E3"/>
    <w:rsid w:val="1EEE2ACC"/>
    <w:rsid w:val="1F266D14"/>
    <w:rsid w:val="1FC84850"/>
    <w:rsid w:val="2029646E"/>
    <w:rsid w:val="20410B45"/>
    <w:rsid w:val="208C2C75"/>
    <w:rsid w:val="20C56EDC"/>
    <w:rsid w:val="20E47B65"/>
    <w:rsid w:val="228710A3"/>
    <w:rsid w:val="234400EA"/>
    <w:rsid w:val="23AD756B"/>
    <w:rsid w:val="23CC4702"/>
    <w:rsid w:val="2455431B"/>
    <w:rsid w:val="248F23FE"/>
    <w:rsid w:val="24A03DB1"/>
    <w:rsid w:val="24AA4E0A"/>
    <w:rsid w:val="24B86504"/>
    <w:rsid w:val="24CE74D6"/>
    <w:rsid w:val="256B2CE9"/>
    <w:rsid w:val="25801C3E"/>
    <w:rsid w:val="25C04668"/>
    <w:rsid w:val="261B15A4"/>
    <w:rsid w:val="264D3F8C"/>
    <w:rsid w:val="26B91105"/>
    <w:rsid w:val="273F7FDA"/>
    <w:rsid w:val="274C5CFA"/>
    <w:rsid w:val="277D5AB8"/>
    <w:rsid w:val="278370D3"/>
    <w:rsid w:val="279F03A4"/>
    <w:rsid w:val="27EB74C1"/>
    <w:rsid w:val="27F804D6"/>
    <w:rsid w:val="285C600C"/>
    <w:rsid w:val="28F2250D"/>
    <w:rsid w:val="28F26EFD"/>
    <w:rsid w:val="293A24C4"/>
    <w:rsid w:val="29832451"/>
    <w:rsid w:val="29F53428"/>
    <w:rsid w:val="29FB622D"/>
    <w:rsid w:val="2A3645AA"/>
    <w:rsid w:val="2A5732C4"/>
    <w:rsid w:val="2A85279F"/>
    <w:rsid w:val="2A86579B"/>
    <w:rsid w:val="2AFE4742"/>
    <w:rsid w:val="2B2A6656"/>
    <w:rsid w:val="2B2D4C85"/>
    <w:rsid w:val="2B851318"/>
    <w:rsid w:val="2BB51589"/>
    <w:rsid w:val="2BCD705C"/>
    <w:rsid w:val="2C580CE1"/>
    <w:rsid w:val="2C6D7741"/>
    <w:rsid w:val="2C734721"/>
    <w:rsid w:val="2C7D5451"/>
    <w:rsid w:val="2D0320E2"/>
    <w:rsid w:val="2D0750C2"/>
    <w:rsid w:val="2D4B1502"/>
    <w:rsid w:val="2D4E4ED2"/>
    <w:rsid w:val="2DD32E91"/>
    <w:rsid w:val="2E4B6E78"/>
    <w:rsid w:val="2E745A16"/>
    <w:rsid w:val="2EA47876"/>
    <w:rsid w:val="2EAB7AC0"/>
    <w:rsid w:val="2F2921AC"/>
    <w:rsid w:val="2FC95524"/>
    <w:rsid w:val="2FCD24A8"/>
    <w:rsid w:val="300C0CE8"/>
    <w:rsid w:val="30FF61FD"/>
    <w:rsid w:val="31211947"/>
    <w:rsid w:val="3184141F"/>
    <w:rsid w:val="3199220B"/>
    <w:rsid w:val="32502F08"/>
    <w:rsid w:val="32567BFE"/>
    <w:rsid w:val="32B36EE0"/>
    <w:rsid w:val="33633588"/>
    <w:rsid w:val="33E8158A"/>
    <w:rsid w:val="340B36E8"/>
    <w:rsid w:val="346B102D"/>
    <w:rsid w:val="3481631E"/>
    <w:rsid w:val="348D1912"/>
    <w:rsid w:val="34967B29"/>
    <w:rsid w:val="355B5F64"/>
    <w:rsid w:val="35FB2056"/>
    <w:rsid w:val="365C7120"/>
    <w:rsid w:val="36603DD0"/>
    <w:rsid w:val="37E26E67"/>
    <w:rsid w:val="388C19B1"/>
    <w:rsid w:val="38B704C2"/>
    <w:rsid w:val="38C32616"/>
    <w:rsid w:val="394E26B7"/>
    <w:rsid w:val="39620A11"/>
    <w:rsid w:val="3A625A91"/>
    <w:rsid w:val="3A974AC7"/>
    <w:rsid w:val="3A986BB5"/>
    <w:rsid w:val="3BF472C3"/>
    <w:rsid w:val="3C09349B"/>
    <w:rsid w:val="3C612D43"/>
    <w:rsid w:val="3DFC574A"/>
    <w:rsid w:val="3E52160A"/>
    <w:rsid w:val="3E7B313A"/>
    <w:rsid w:val="3E7F2CFE"/>
    <w:rsid w:val="3F1C0306"/>
    <w:rsid w:val="3FA22404"/>
    <w:rsid w:val="3FDC3A0F"/>
    <w:rsid w:val="40202718"/>
    <w:rsid w:val="407C376F"/>
    <w:rsid w:val="41700E92"/>
    <w:rsid w:val="41A254F7"/>
    <w:rsid w:val="43083A0E"/>
    <w:rsid w:val="44013864"/>
    <w:rsid w:val="45835166"/>
    <w:rsid w:val="459B2B76"/>
    <w:rsid w:val="46171370"/>
    <w:rsid w:val="46D31D1D"/>
    <w:rsid w:val="46FA2A0A"/>
    <w:rsid w:val="47830AD3"/>
    <w:rsid w:val="47ED7174"/>
    <w:rsid w:val="47F4539D"/>
    <w:rsid w:val="4884472F"/>
    <w:rsid w:val="48D8021E"/>
    <w:rsid w:val="492F1B9A"/>
    <w:rsid w:val="49404965"/>
    <w:rsid w:val="49E0325C"/>
    <w:rsid w:val="4A2C5FBD"/>
    <w:rsid w:val="4A8864FD"/>
    <w:rsid w:val="4B994A2E"/>
    <w:rsid w:val="4BB43A92"/>
    <w:rsid w:val="4C1774C3"/>
    <w:rsid w:val="4D8328CA"/>
    <w:rsid w:val="4E8C0675"/>
    <w:rsid w:val="4EBC1818"/>
    <w:rsid w:val="4F330104"/>
    <w:rsid w:val="4F9C1018"/>
    <w:rsid w:val="51DC47F2"/>
    <w:rsid w:val="524D60CB"/>
    <w:rsid w:val="528801BD"/>
    <w:rsid w:val="52897F32"/>
    <w:rsid w:val="53E74FB8"/>
    <w:rsid w:val="549D500B"/>
    <w:rsid w:val="55895FEC"/>
    <w:rsid w:val="566E71BC"/>
    <w:rsid w:val="56970F53"/>
    <w:rsid w:val="57026758"/>
    <w:rsid w:val="5710322D"/>
    <w:rsid w:val="5738017F"/>
    <w:rsid w:val="57A42581"/>
    <w:rsid w:val="57AA0DDE"/>
    <w:rsid w:val="57C65C91"/>
    <w:rsid w:val="584F6E19"/>
    <w:rsid w:val="599253BF"/>
    <w:rsid w:val="59A37C2B"/>
    <w:rsid w:val="59AA4526"/>
    <w:rsid w:val="5AAE66AF"/>
    <w:rsid w:val="5BA241EF"/>
    <w:rsid w:val="5C236BBD"/>
    <w:rsid w:val="5CED395F"/>
    <w:rsid w:val="5DE21660"/>
    <w:rsid w:val="5E241FB5"/>
    <w:rsid w:val="5E3D3BFC"/>
    <w:rsid w:val="5E952745"/>
    <w:rsid w:val="5EA85FD0"/>
    <w:rsid w:val="5EBA752F"/>
    <w:rsid w:val="5EE461F6"/>
    <w:rsid w:val="60021748"/>
    <w:rsid w:val="60342CA1"/>
    <w:rsid w:val="60A85F50"/>
    <w:rsid w:val="60AF182B"/>
    <w:rsid w:val="617E5229"/>
    <w:rsid w:val="625A7D45"/>
    <w:rsid w:val="629636A5"/>
    <w:rsid w:val="629B6470"/>
    <w:rsid w:val="62A63C1E"/>
    <w:rsid w:val="63A1260B"/>
    <w:rsid w:val="63A845F3"/>
    <w:rsid w:val="63B553B5"/>
    <w:rsid w:val="63F03548"/>
    <w:rsid w:val="649163A7"/>
    <w:rsid w:val="64982DEE"/>
    <w:rsid w:val="64E65BE1"/>
    <w:rsid w:val="660B4C30"/>
    <w:rsid w:val="66576B84"/>
    <w:rsid w:val="66692141"/>
    <w:rsid w:val="66DF602C"/>
    <w:rsid w:val="66FB5125"/>
    <w:rsid w:val="67063615"/>
    <w:rsid w:val="67327424"/>
    <w:rsid w:val="67475163"/>
    <w:rsid w:val="68020EC7"/>
    <w:rsid w:val="68EA22D8"/>
    <w:rsid w:val="6988749D"/>
    <w:rsid w:val="69921AD2"/>
    <w:rsid w:val="69B40A44"/>
    <w:rsid w:val="69C307F3"/>
    <w:rsid w:val="6A147C47"/>
    <w:rsid w:val="6A4C5794"/>
    <w:rsid w:val="6A9B16A1"/>
    <w:rsid w:val="6B2323EB"/>
    <w:rsid w:val="6B3647A1"/>
    <w:rsid w:val="6B4D55FC"/>
    <w:rsid w:val="6B6A3270"/>
    <w:rsid w:val="6B9E2647"/>
    <w:rsid w:val="6C2C101F"/>
    <w:rsid w:val="6CE93A52"/>
    <w:rsid w:val="6D056918"/>
    <w:rsid w:val="6D43415C"/>
    <w:rsid w:val="6D98181E"/>
    <w:rsid w:val="6D997990"/>
    <w:rsid w:val="6DF642E7"/>
    <w:rsid w:val="6E0D2F76"/>
    <w:rsid w:val="6EA25FFE"/>
    <w:rsid w:val="6F1A3675"/>
    <w:rsid w:val="6F1B3EA3"/>
    <w:rsid w:val="6FEB1BF8"/>
    <w:rsid w:val="6FFF3D75"/>
    <w:rsid w:val="708D129B"/>
    <w:rsid w:val="70B8450A"/>
    <w:rsid w:val="71186C05"/>
    <w:rsid w:val="714D156E"/>
    <w:rsid w:val="71FA5A76"/>
    <w:rsid w:val="72921BCE"/>
    <w:rsid w:val="72C532C4"/>
    <w:rsid w:val="72F4777D"/>
    <w:rsid w:val="73196065"/>
    <w:rsid w:val="731F3529"/>
    <w:rsid w:val="739317CC"/>
    <w:rsid w:val="73982EEE"/>
    <w:rsid w:val="744E4BAE"/>
    <w:rsid w:val="74967368"/>
    <w:rsid w:val="74B65B17"/>
    <w:rsid w:val="74BE5920"/>
    <w:rsid w:val="74DB1B97"/>
    <w:rsid w:val="74DE05B2"/>
    <w:rsid w:val="74E02873"/>
    <w:rsid w:val="75146CEE"/>
    <w:rsid w:val="753A0039"/>
    <w:rsid w:val="756564E8"/>
    <w:rsid w:val="757602D3"/>
    <w:rsid w:val="7594227D"/>
    <w:rsid w:val="75EB7F15"/>
    <w:rsid w:val="75FC4ED4"/>
    <w:rsid w:val="760C1FC4"/>
    <w:rsid w:val="76100099"/>
    <w:rsid w:val="76BB3E1E"/>
    <w:rsid w:val="76C065CE"/>
    <w:rsid w:val="76D71137"/>
    <w:rsid w:val="76D92C9B"/>
    <w:rsid w:val="77005025"/>
    <w:rsid w:val="77746D4F"/>
    <w:rsid w:val="779426F5"/>
    <w:rsid w:val="78827D78"/>
    <w:rsid w:val="79373D02"/>
    <w:rsid w:val="79AA7E4E"/>
    <w:rsid w:val="79FB5ADE"/>
    <w:rsid w:val="7A043EA6"/>
    <w:rsid w:val="7A721B18"/>
    <w:rsid w:val="7AB96DB5"/>
    <w:rsid w:val="7B41654F"/>
    <w:rsid w:val="7B941E8E"/>
    <w:rsid w:val="7BF73830"/>
    <w:rsid w:val="7BFD32B8"/>
    <w:rsid w:val="7C18254B"/>
    <w:rsid w:val="7C884F91"/>
    <w:rsid w:val="7CD24F25"/>
    <w:rsid w:val="7D1F2FDB"/>
    <w:rsid w:val="7D2873E8"/>
    <w:rsid w:val="7D8D66A4"/>
    <w:rsid w:val="7D901A0B"/>
    <w:rsid w:val="7DB41E2B"/>
    <w:rsid w:val="7DFA2051"/>
    <w:rsid w:val="7E553290"/>
    <w:rsid w:val="7E935037"/>
    <w:rsid w:val="7FD96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link w:val="4"/>
    <w:semiHidden/>
    <w:qFormat/>
    <w:uiPriority w:val="0"/>
    <w:rPr>
      <w:rFonts w:ascii="Tahoma" w:hAnsi="Tahoma"/>
      <w:sz w:val="24"/>
      <w:szCs w:val="20"/>
    </w:rPr>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4">
    <w:name w:val="Char"/>
    <w:basedOn w:val="1"/>
    <w:link w:val="3"/>
    <w:qFormat/>
    <w:uiPriority w:val="0"/>
    <w:pPr>
      <w:spacing w:line="360" w:lineRule="auto"/>
      <w:jc w:val="left"/>
    </w:pPr>
    <w:rPr>
      <w:rFonts w:ascii="Tahoma" w:hAnsi="Tahoma"/>
      <w:sz w:val="24"/>
      <w:szCs w:val="20"/>
    </w:rPr>
  </w:style>
  <w:style w:type="character" w:styleId="5">
    <w:name w:val="page number"/>
    <w:basedOn w:val="3"/>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2020-10-19T02:27:00Z</dcterms:created>
  <dc:creator>zc</dc:creator>
  <cp:lastModifiedBy>张洪涛</cp:lastModifiedBy>
  <dcterms:modified xsi:type="dcterms:W3CDTF">2020-11-17T03:16:09Z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