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p>
      <w:pPr>
        <w:tabs>
          <w:tab w:val="left" w:pos="7515"/>
        </w:tabs>
        <w:spacing w:line="560" w:lineRule="exact"/>
        <w:ind w:right="25" w:rightChars="12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p>
      <w:pPr>
        <w:spacing w:line="620" w:lineRule="exact"/>
        <w:jc w:val="center"/>
        <w:rPr>
          <w:rFonts w:hint="eastAsia" w:ascii="仿宋_GB2312" w:eastAsia="仿宋_GB2312"/>
          <w:sz w:val="32"/>
        </w:rPr>
      </w:pPr>
      <w:r>
        <w:rPr>
          <w:rFonts w:hint="eastAsia" w:ascii="方正小标宋简体" w:eastAsia="方正小标宋简体"/>
          <w:color w:val="FFFFFF"/>
          <w:spacing w:val="23"/>
          <w:w w:val="66"/>
          <w:sz w:val="90"/>
          <w:szCs w:val="90"/>
        </w:rPr>
        <w:t>以条</w:t>
      </w:r>
      <w:bookmarkStart w:id="0" w:name="docsendnum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eastAsia="仿宋_GB2312"/>
          <w:sz w:val="32"/>
        </w:rPr>
      </w:pP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简体" w:hAnsi="华文中宋" w:eastAsia="方正小标宋简体" w:cs="方正小标宋简体"/>
          <w:w w:val="90"/>
          <w:sz w:val="44"/>
          <w:szCs w:val="44"/>
        </w:rPr>
      </w:pPr>
      <w:r>
        <w:rPr>
          <w:rFonts w:hint="eastAsia" w:ascii="方正小标宋简体" w:hAnsi="华文中宋" w:eastAsia="方正小标宋简体" w:cs="方正小标宋简体"/>
          <w:w w:val="90"/>
          <w:sz w:val="44"/>
          <w:szCs w:val="44"/>
        </w:rPr>
        <w:t>北京市粮食</w:t>
      </w:r>
      <w:r>
        <w:rPr>
          <w:rFonts w:hint="eastAsia" w:ascii="方正小标宋简体" w:hAnsi="华文中宋" w:eastAsia="方正小标宋简体" w:cs="方正小标宋简体"/>
          <w:w w:val="90"/>
          <w:sz w:val="44"/>
          <w:szCs w:val="44"/>
          <w:lang w:eastAsia="zh-CN"/>
        </w:rPr>
        <w:t>领域</w:t>
      </w:r>
      <w:r>
        <w:rPr>
          <w:rFonts w:hint="eastAsia" w:ascii="方正小标宋简体" w:hAnsi="华文中宋" w:eastAsia="方正小标宋简体" w:cs="方正小标宋简体"/>
          <w:w w:val="90"/>
          <w:sz w:val="44"/>
          <w:szCs w:val="44"/>
        </w:rPr>
        <w:t>行政处罚裁量</w:t>
      </w:r>
      <w:r>
        <w:rPr>
          <w:rFonts w:hint="eastAsia" w:ascii="方正小标宋简体" w:hAnsi="华文中宋" w:eastAsia="方正小标宋简体" w:cs="方正小标宋简体"/>
          <w:w w:val="90"/>
          <w:sz w:val="44"/>
          <w:szCs w:val="44"/>
          <w:lang w:eastAsia="zh-CN"/>
        </w:rPr>
        <w:t>权</w:t>
      </w:r>
      <w:r>
        <w:rPr>
          <w:rFonts w:hint="eastAsia" w:ascii="方正小标宋简体" w:hAnsi="华文中宋" w:eastAsia="方正小标宋简体" w:cs="方正小标宋简体"/>
          <w:w w:val="90"/>
          <w:sz w:val="44"/>
          <w:szCs w:val="44"/>
        </w:rPr>
        <w:t>基准</w:t>
      </w:r>
    </w:p>
    <w:p>
      <w:pPr>
        <w:pStyle w:val="2"/>
        <w:ind w:firstLine="2772" w:firstLineChars="700"/>
        <w:rPr>
          <w:rFonts w:hint="eastAsia" w:eastAsia="方正小标宋简体"/>
          <w:lang w:val="en-US" w:eastAsia="zh-CN"/>
        </w:rPr>
      </w:pPr>
      <w:r>
        <w:rPr>
          <w:rFonts w:hint="eastAsia" w:ascii="方正小标宋简体" w:hAnsi="华文中宋" w:eastAsia="方正小标宋简体" w:cs="方正小标宋简体"/>
          <w:w w:val="90"/>
          <w:sz w:val="44"/>
          <w:szCs w:val="44"/>
          <w:lang w:eastAsia="zh-CN"/>
        </w:rPr>
        <w:t>（征求意见稿）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ascii="仿宋_GB2312" w:eastAsia="仿宋_GB2312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第一条</w:t>
      </w:r>
      <w:r>
        <w:rPr>
          <w:rFonts w:hint="eastAsia" w:ascii="仿宋_GB2312" w:hAnsi="仿宋" w:eastAsia="仿宋_GB2312" w:cs="仿宋_GB2312"/>
          <w:sz w:val="32"/>
          <w:szCs w:val="32"/>
        </w:rPr>
        <w:t xml:space="preserve"> 为规范本市各级粮食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行政处罚</w:t>
      </w:r>
      <w:r>
        <w:rPr>
          <w:rFonts w:hint="eastAsia" w:ascii="仿宋_GB2312" w:hAnsi="仿宋" w:eastAsia="仿宋_GB2312" w:cs="仿宋_GB2312"/>
          <w:sz w:val="32"/>
          <w:szCs w:val="32"/>
        </w:rPr>
        <w:t>部门的行政执法行为，正确行使行政处罚自由裁量权，根据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中华人民共和国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eastAsia="zh-CN"/>
        </w:rPr>
        <w:t>粮食安全保障法》</w:t>
      </w:r>
      <w:r>
        <w:rPr>
          <w:rFonts w:hint="eastAsia" w:ascii="仿宋_GB2312" w:hAnsi="仿宋" w:eastAsia="仿宋_GB2312" w:cs="仿宋_GB2312"/>
          <w:sz w:val="32"/>
          <w:szCs w:val="32"/>
        </w:rPr>
        <w:t>《中华人民共和国行政处罚法》《退耕还林条例》《粮食流通管理条例》《粮油仓储管理办法》《北京市储备粮管理办法》《国有粮油仓储物流设施保护办法》《粮食质量安全监管办法》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政府粮食储备安全风险事项报告管理办法（试行）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eastAsia="zh-CN"/>
        </w:rPr>
        <w:t>》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等法</w:t>
      </w:r>
      <w:r>
        <w:rPr>
          <w:rFonts w:hint="eastAsia" w:ascii="仿宋_GB2312" w:hAnsi="仿宋" w:eastAsia="仿宋_GB2312" w:cs="仿宋_GB2312"/>
          <w:sz w:val="32"/>
          <w:szCs w:val="32"/>
        </w:rPr>
        <w:t>律、法规和规章，按照原市政府法制办</w:t>
      </w:r>
      <w:r>
        <w:rPr>
          <w:rFonts w:hint="eastAsia" w:ascii="仿宋_GB2312" w:eastAsia="仿宋_GB2312" w:cs="仿宋_GB2312"/>
          <w:sz w:val="32"/>
          <w:szCs w:val="32"/>
        </w:rPr>
        <w:t>《关于规范实施行政处罚裁量基准制度的若干指导意见》（京政法制发〔</w:t>
      </w:r>
      <w:r>
        <w:rPr>
          <w:rFonts w:ascii="仿宋_GB2312" w:eastAsia="仿宋_GB2312" w:cs="仿宋_GB2312"/>
          <w:sz w:val="32"/>
          <w:szCs w:val="32"/>
        </w:rPr>
        <w:t>2015</w:t>
      </w:r>
      <w:r>
        <w:rPr>
          <w:rFonts w:hint="eastAsia" w:ascii="仿宋_GB2312" w:eastAsia="仿宋_GB2312" w:cs="仿宋_GB2312"/>
          <w:sz w:val="32"/>
          <w:szCs w:val="32"/>
        </w:rPr>
        <w:t>〕</w:t>
      </w:r>
      <w:r>
        <w:rPr>
          <w:rFonts w:ascii="仿宋_GB2312" w:eastAsia="仿宋_GB2312" w:cs="仿宋_GB2312"/>
          <w:sz w:val="32"/>
          <w:szCs w:val="32"/>
        </w:rPr>
        <w:t>16</w:t>
      </w:r>
      <w:r>
        <w:rPr>
          <w:rFonts w:hint="eastAsia" w:ascii="仿宋_GB2312" w:eastAsia="仿宋_GB2312" w:cs="仿宋_GB2312"/>
          <w:sz w:val="32"/>
          <w:szCs w:val="32"/>
        </w:rPr>
        <w:t>号）要求，</w:t>
      </w:r>
      <w:r>
        <w:rPr>
          <w:rFonts w:hint="eastAsia" w:ascii="仿宋_GB2312" w:hAnsi="仿宋" w:eastAsia="仿宋_GB2312" w:cs="仿宋_GB2312"/>
          <w:sz w:val="32"/>
          <w:szCs w:val="32"/>
        </w:rPr>
        <w:t>结合粮食行政执法实际，制定本基准。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36"/>
        <w:jc w:val="left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第二条</w:t>
      </w:r>
      <w:r>
        <w:rPr>
          <w:rFonts w:hint="eastAsia" w:ascii="仿宋_GB2312" w:hAnsi="仿宋" w:eastAsia="仿宋_GB2312" w:cs="仿宋_GB2312"/>
          <w:sz w:val="32"/>
          <w:szCs w:val="32"/>
        </w:rPr>
        <w:t xml:space="preserve"> 本市各级粮食行政处罚部门在本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" w:eastAsia="仿宋_GB2312" w:cs="仿宋_GB2312"/>
          <w:sz w:val="32"/>
          <w:szCs w:val="32"/>
        </w:rPr>
        <w:t>行政区域内实施行政处罚时适用本基准。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36"/>
        <w:jc w:val="left"/>
        <w:textAlignment w:val="auto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第三条</w:t>
      </w:r>
      <w:r>
        <w:rPr>
          <w:rFonts w:hint="eastAsia" w:ascii="仿宋_GB2312" w:hAnsi="仿宋" w:eastAsia="仿宋_GB2312" w:cs="仿宋_GB2312"/>
          <w:sz w:val="32"/>
          <w:szCs w:val="32"/>
        </w:rPr>
        <w:t xml:space="preserve"> 本基准所称各级粮食行政处罚部门，是指市级粮食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和储备</w:t>
      </w:r>
      <w:r>
        <w:rPr>
          <w:rFonts w:hint="eastAsia" w:ascii="仿宋_GB2312" w:hAnsi="仿宋" w:eastAsia="仿宋_GB2312" w:cs="仿宋_GB2312"/>
          <w:sz w:val="32"/>
          <w:szCs w:val="32"/>
        </w:rPr>
        <w:t>行政管理部门和各区市场监督管理部门。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36"/>
        <w:jc w:val="left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第四条</w:t>
      </w:r>
      <w:r>
        <w:rPr>
          <w:rFonts w:hint="eastAsia" w:ascii="仿宋_GB2312" w:hAnsi="仿宋" w:eastAsia="仿宋_GB2312" w:cs="仿宋_GB2312"/>
          <w:sz w:val="32"/>
          <w:szCs w:val="32"/>
        </w:rPr>
        <w:t xml:space="preserve"> 本基准中各类违法行为依据社会危害性划定为</w:t>
      </w:r>
      <w:r>
        <w:rPr>
          <w:rFonts w:ascii="仿宋_GB2312" w:hAnsi="仿宋" w:eastAsia="仿宋_GB2312" w:cs="仿宋_GB2312"/>
          <w:sz w:val="32"/>
          <w:szCs w:val="32"/>
        </w:rPr>
        <w:t>A</w:t>
      </w:r>
      <w:r>
        <w:rPr>
          <w:rFonts w:hint="eastAsia" w:ascii="仿宋_GB2312" w:hAnsi="仿宋" w:eastAsia="仿宋_GB2312" w:cs="仿宋_GB2312"/>
          <w:sz w:val="32"/>
          <w:szCs w:val="32"/>
        </w:rPr>
        <w:t>、</w:t>
      </w:r>
      <w:r>
        <w:rPr>
          <w:rFonts w:ascii="仿宋_GB2312" w:hAnsi="仿宋" w:eastAsia="仿宋_GB2312" w:cs="仿宋_GB2312"/>
          <w:sz w:val="32"/>
          <w:szCs w:val="32"/>
        </w:rPr>
        <w:t>B</w:t>
      </w:r>
      <w:r>
        <w:rPr>
          <w:rFonts w:hint="eastAsia" w:ascii="仿宋_GB2312" w:hAnsi="仿宋" w:eastAsia="仿宋_GB2312" w:cs="仿宋_GB2312"/>
          <w:sz w:val="32"/>
          <w:szCs w:val="32"/>
        </w:rPr>
        <w:t>、</w:t>
      </w:r>
      <w:r>
        <w:rPr>
          <w:rFonts w:ascii="仿宋_GB2312" w:hAnsi="仿宋" w:eastAsia="仿宋_GB2312" w:cs="仿宋_GB2312"/>
          <w:sz w:val="32"/>
          <w:szCs w:val="32"/>
        </w:rPr>
        <w:t>C</w:t>
      </w:r>
      <w:r>
        <w:rPr>
          <w:rFonts w:hint="eastAsia" w:ascii="仿宋_GB2312" w:hAnsi="仿宋" w:eastAsia="仿宋_GB2312" w:cs="仿宋_GB2312"/>
          <w:sz w:val="32"/>
          <w:szCs w:val="32"/>
        </w:rPr>
        <w:t>三个基础裁量档次。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其中，“</w:t>
      </w:r>
      <w:r>
        <w:rPr>
          <w:rFonts w:hint="eastAsia" w:ascii="仿宋_GB2312" w:hAnsi="仿宋" w:eastAsia="仿宋_GB2312" w:cs="仿宋_GB2312"/>
          <w:sz w:val="32"/>
          <w:szCs w:val="32"/>
        </w:rPr>
        <w:t>违法行为本身社会危害性严重的”对应</w:t>
      </w:r>
      <w:r>
        <w:rPr>
          <w:rFonts w:ascii="仿宋_GB2312" w:hAnsi="仿宋" w:eastAsia="仿宋_GB2312" w:cs="仿宋_GB2312"/>
          <w:sz w:val="32"/>
          <w:szCs w:val="32"/>
        </w:rPr>
        <w:t>A</w:t>
      </w:r>
      <w:r>
        <w:rPr>
          <w:rFonts w:hint="eastAsia" w:ascii="仿宋_GB2312" w:hAnsi="仿宋" w:eastAsia="仿宋_GB2312" w:cs="仿宋_GB2312"/>
          <w:sz w:val="32"/>
          <w:szCs w:val="32"/>
        </w:rPr>
        <w:t>档，“违法行为本身社会危害性一般的”对应</w:t>
      </w:r>
      <w:r>
        <w:rPr>
          <w:rFonts w:ascii="仿宋_GB2312" w:hAnsi="仿宋" w:eastAsia="仿宋_GB2312" w:cs="仿宋_GB2312"/>
          <w:sz w:val="32"/>
          <w:szCs w:val="32"/>
        </w:rPr>
        <w:t>B</w:t>
      </w:r>
      <w:r>
        <w:rPr>
          <w:rFonts w:hint="eastAsia" w:ascii="仿宋_GB2312" w:hAnsi="仿宋" w:eastAsia="仿宋_GB2312" w:cs="仿宋_GB2312"/>
          <w:sz w:val="32"/>
          <w:szCs w:val="32"/>
        </w:rPr>
        <w:t>档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，“</w:t>
      </w:r>
      <w:r>
        <w:rPr>
          <w:rFonts w:hint="eastAsia" w:ascii="仿宋_GB2312" w:hAnsi="仿宋" w:eastAsia="仿宋_GB2312" w:cs="仿宋_GB2312"/>
          <w:sz w:val="32"/>
          <w:szCs w:val="32"/>
        </w:rPr>
        <w:t>违法行为本身社会危害性轻微的”对应</w:t>
      </w:r>
      <w:r>
        <w:rPr>
          <w:rFonts w:ascii="仿宋_GB2312" w:hAnsi="仿宋" w:eastAsia="仿宋_GB2312" w:cs="仿宋_GB2312"/>
          <w:sz w:val="32"/>
          <w:szCs w:val="32"/>
        </w:rPr>
        <w:t>C</w:t>
      </w:r>
      <w:r>
        <w:rPr>
          <w:rFonts w:hint="eastAsia" w:ascii="仿宋_GB2312" w:hAnsi="仿宋" w:eastAsia="仿宋_GB2312" w:cs="仿宋_GB2312"/>
          <w:sz w:val="32"/>
          <w:szCs w:val="32"/>
        </w:rPr>
        <w:t>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36"/>
        <w:jc w:val="left"/>
        <w:textAlignment w:val="auto"/>
        <w:rPr>
          <w:rFonts w:ascii="仿宋_GB2312" w:hAnsi="仿宋" w:eastAsia="仿宋_GB2312" w:cs="Times New Roman"/>
          <w:b/>
          <w:bCs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第五条</w:t>
      </w:r>
      <w:r>
        <w:rPr>
          <w:rFonts w:hint="eastAsia" w:ascii="仿宋_GB2312" w:hAnsi="仿宋" w:eastAsia="仿宋_GB2312" w:cs="仿宋_GB2312"/>
          <w:sz w:val="32"/>
          <w:szCs w:val="32"/>
        </w:rPr>
        <w:t xml:space="preserve"> 本基准中，裁量档内根据违法情节轻重划分多个处罚裁量阶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次</w:t>
      </w:r>
      <w:r>
        <w:rPr>
          <w:rFonts w:hint="eastAsia" w:ascii="仿宋_GB2312" w:hAnsi="仿宋" w:eastAsia="仿宋_GB2312" w:cs="仿宋_GB2312"/>
          <w:sz w:val="32"/>
          <w:szCs w:val="32"/>
        </w:rPr>
        <w:t>，分阶编号01、02、03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04</w:t>
      </w:r>
      <w:r>
        <w:rPr>
          <w:rFonts w:hint="eastAsia" w:ascii="仿宋_GB2312" w:hAnsi="仿宋" w:eastAsia="仿宋_GB2312" w:cs="仿宋_GB2312"/>
          <w:sz w:val="32"/>
          <w:szCs w:val="32"/>
        </w:rPr>
        <w:t>代表违法情节由轻到重、处罚阶次由低到高。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</w:pPr>
      <w:r>
        <w:rPr>
          <w:rFonts w:hint="eastAsia" w:ascii="黑体" w:hAnsi="黑体" w:eastAsia="黑体" w:cs="仿宋_GB2312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仿宋_GB2312"/>
          <w:sz w:val="32"/>
          <w:szCs w:val="32"/>
          <w:highlight w:val="none"/>
          <w:lang w:eastAsia="zh-CN"/>
        </w:rPr>
        <w:t>六</w:t>
      </w:r>
      <w:r>
        <w:rPr>
          <w:rFonts w:hint="eastAsia" w:ascii="黑体" w:hAnsi="黑体" w:eastAsia="黑体" w:cs="仿宋_GB2312"/>
          <w:sz w:val="32"/>
          <w:szCs w:val="32"/>
          <w:highlight w:val="none"/>
        </w:rPr>
        <w:t>条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hAnsi="仿宋" w:eastAsia="仿宋_GB2312" w:cs="仿宋_GB2312"/>
          <w:sz w:val="32"/>
          <w:szCs w:val="32"/>
        </w:rPr>
        <w:t>各级粮食行政处罚部门</w:t>
      </w:r>
      <w:r>
        <w:rPr>
          <w:rFonts w:ascii="仿宋_GB2312" w:hAnsi="仿宋_GB2312" w:eastAsia="仿宋_GB2312" w:cs="仿宋_GB2312"/>
          <w:sz w:val="32"/>
        </w:rPr>
        <w:t>实施行政处罚时，应当责令当事人改正或者限期改正违法行为。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</w:pPr>
      <w:r>
        <w:rPr>
          <w:rFonts w:ascii="仿宋_GB2312" w:hAnsi="仿宋_GB2312" w:eastAsia="仿宋_GB2312" w:cs="仿宋_GB2312"/>
          <w:sz w:val="32"/>
        </w:rPr>
        <w:t>当事人有违法所得，除依法应当退赔的外，应当予以没收。违法所得是指实施违法行为所取得的款项。法律、行政法规、部门规章对违法所得的计算另有规定的，从其规定。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</w:pPr>
      <w:r>
        <w:rPr>
          <w:rFonts w:hint="eastAsia" w:ascii="黑体" w:hAnsi="黑体" w:eastAsia="黑体" w:cs="仿宋_GB2312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仿宋_GB2312"/>
          <w:sz w:val="32"/>
          <w:szCs w:val="32"/>
          <w:highlight w:val="none"/>
          <w:lang w:eastAsia="zh-CN"/>
        </w:rPr>
        <w:t>七</w:t>
      </w:r>
      <w:r>
        <w:rPr>
          <w:rFonts w:hint="eastAsia" w:ascii="黑体" w:hAnsi="黑体" w:eastAsia="黑体" w:cs="仿宋_GB2312"/>
          <w:sz w:val="32"/>
          <w:szCs w:val="32"/>
          <w:highlight w:val="none"/>
        </w:rPr>
        <w:t>条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</w:rPr>
        <w:t xml:space="preserve"> </w:t>
      </w:r>
      <w:r>
        <w:rPr>
          <w:rFonts w:ascii="仿宋_GB2312" w:hAnsi="仿宋_GB2312" w:eastAsia="仿宋_GB2312" w:cs="仿宋_GB2312"/>
          <w:sz w:val="32"/>
        </w:rPr>
        <w:t>对当事人的同一个违法行为，不得给予两次以上罚款的行政处罚。同一个违法行为违反多个法律规范应当给予罚款处罚的，按照罚款数额高的规定处罚。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仿宋_GB2312"/>
          <w:sz w:val="32"/>
          <w:szCs w:val="32"/>
          <w:highlight w:val="none"/>
          <w:lang w:eastAsia="zh-CN"/>
        </w:rPr>
        <w:t>八</w:t>
      </w:r>
      <w:r>
        <w:rPr>
          <w:rFonts w:hint="eastAsia" w:ascii="黑体" w:hAnsi="黑体" w:eastAsia="黑体" w:cs="仿宋_GB2312"/>
          <w:sz w:val="32"/>
          <w:szCs w:val="32"/>
          <w:highlight w:val="none"/>
        </w:rPr>
        <w:t>条</w:t>
      </w:r>
      <w:r>
        <w:rPr>
          <w:rFonts w:hint="eastAsia" w:ascii="黑体" w:hAnsi="黑体" w:eastAsia="黑体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" w:eastAsia="仿宋_GB2312" w:cs="仿宋_GB2312"/>
          <w:sz w:val="32"/>
          <w:szCs w:val="32"/>
        </w:rPr>
        <w:t>当事人有下列情形之一，应当依法从轻或者减轻行政处罚：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（一）主动消除或者减轻违法行为危害后果的；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</w:pPr>
      <w:r>
        <w:rPr>
          <w:rFonts w:ascii="仿宋_GB2312" w:hAnsi="仿宋_GB2312" w:eastAsia="仿宋_GB2312" w:cs="仿宋_GB2312"/>
          <w:sz w:val="32"/>
        </w:rPr>
        <w:t>（二）受他人胁迫或者诱骗实施违法行为的；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</w:pPr>
      <w:r>
        <w:rPr>
          <w:rFonts w:ascii="仿宋_GB2312" w:hAnsi="仿宋_GB2312" w:eastAsia="仿宋_GB2312" w:cs="仿宋_GB2312"/>
          <w:sz w:val="32"/>
        </w:rPr>
        <w:t>（三）主动供述行政机关尚未掌握的违法行为的；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</w:pPr>
      <w:r>
        <w:rPr>
          <w:rFonts w:ascii="仿宋_GB2312" w:hAnsi="仿宋_GB2312" w:eastAsia="仿宋_GB2312" w:cs="仿宋_GB2312"/>
          <w:sz w:val="32"/>
        </w:rPr>
        <w:t>（四）配合行政机关查处违法行为有立功表现的；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</w:pPr>
      <w:r>
        <w:rPr>
          <w:rFonts w:ascii="仿宋_GB2312" w:hAnsi="仿宋_GB2312" w:eastAsia="仿宋_GB2312" w:cs="仿宋_GB2312"/>
          <w:sz w:val="32"/>
        </w:rPr>
        <w:t>（五）法律、法规、规章规定其他应当从轻或者减轻行政处罚的。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</w:pPr>
      <w:r>
        <w:rPr>
          <w:rFonts w:hint="eastAsia" w:ascii="黑体" w:hAnsi="黑体" w:eastAsia="黑体" w:cs="仿宋_GB2312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仿宋_GB2312"/>
          <w:sz w:val="32"/>
          <w:szCs w:val="32"/>
          <w:highlight w:val="none"/>
          <w:lang w:eastAsia="zh-CN"/>
        </w:rPr>
        <w:t>九</w:t>
      </w:r>
      <w:r>
        <w:rPr>
          <w:rFonts w:hint="eastAsia" w:ascii="黑体" w:hAnsi="黑体" w:eastAsia="黑体" w:cs="仿宋_GB2312"/>
          <w:sz w:val="32"/>
          <w:szCs w:val="32"/>
          <w:highlight w:val="none"/>
        </w:rPr>
        <w:t>条</w:t>
      </w:r>
      <w:r>
        <w:rPr>
          <w:rFonts w:hint="eastAsia" w:ascii="黑体" w:hAnsi="黑体" w:eastAsia="黑体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sz w:val="32"/>
        </w:rPr>
        <w:t>违法行为轻微并及时改正，没有造成危害后果的，不予行政处罚。初次违法且危害后果轻微并及时改正的，可以不予行政处罚。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</w:pPr>
      <w:r>
        <w:rPr>
          <w:rFonts w:ascii="仿宋_GB2312" w:hAnsi="仿宋_GB2312" w:eastAsia="仿宋_GB2312" w:cs="仿宋_GB2312"/>
          <w:sz w:val="32"/>
        </w:rPr>
        <w:t>当事人有证据足以证明没有主观过错的，不予行政处罚。法律、行政法规另有规定的，从其规定。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  <w:rPr>
          <w:rFonts w:ascii="仿宋_GB2312" w:hAnsi="仿宋_GB2312" w:eastAsia="仿宋_GB2312" w:cs="仿宋_GB2312"/>
          <w:sz w:val="32"/>
        </w:rPr>
      </w:pPr>
      <w:r>
        <w:rPr>
          <w:rFonts w:ascii="仿宋_GB2312" w:hAnsi="仿宋_GB2312" w:eastAsia="仿宋_GB2312" w:cs="仿宋_GB2312"/>
          <w:sz w:val="32"/>
        </w:rPr>
        <w:t>对当事人的违法行为依法不予行政处罚的，应当对当事人进行教育。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</w:pPr>
      <w:r>
        <w:rPr>
          <w:rFonts w:hint="eastAsia" w:ascii="黑体" w:hAnsi="黑体" w:eastAsia="黑体" w:cs="仿宋_GB2312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仿宋_GB2312"/>
          <w:sz w:val="32"/>
          <w:szCs w:val="32"/>
          <w:highlight w:val="none"/>
          <w:lang w:eastAsia="zh-CN"/>
        </w:rPr>
        <w:t>十</w:t>
      </w:r>
      <w:r>
        <w:rPr>
          <w:rFonts w:hint="eastAsia" w:ascii="黑体" w:hAnsi="黑体" w:eastAsia="黑体" w:cs="仿宋_GB2312"/>
          <w:sz w:val="32"/>
          <w:szCs w:val="32"/>
          <w:highlight w:val="none"/>
        </w:rPr>
        <w:t>条</w:t>
      </w:r>
      <w:r>
        <w:rPr>
          <w:rFonts w:hint="eastAsia" w:ascii="黑体" w:hAnsi="黑体" w:eastAsia="黑体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sz w:val="32"/>
        </w:rPr>
        <w:t>实施行政处罚，适用违法行为发生时的法律、法规、规章的规定。但是，作出行政处罚决定时，法律、法规、规章已被修改或者废止，且新的规定处罚较轻或者不认为是违法的，适用新的规定。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  <w:rPr>
          <w:rFonts w:ascii="仿宋_GB2312" w:hAnsi="仿宋_GB2312" w:eastAsia="仿宋_GB2312" w:cs="仿宋_GB2312"/>
          <w:sz w:val="32"/>
        </w:rPr>
      </w:pPr>
      <w:r>
        <w:rPr>
          <w:rFonts w:hint="eastAsia" w:ascii="黑体" w:hAnsi="黑体" w:eastAsia="黑体" w:cs="仿宋_GB2312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仿宋_GB2312"/>
          <w:sz w:val="32"/>
          <w:szCs w:val="32"/>
          <w:highlight w:val="none"/>
          <w:lang w:eastAsia="zh-CN"/>
        </w:rPr>
        <w:t>十一</w:t>
      </w:r>
      <w:r>
        <w:rPr>
          <w:rFonts w:hint="eastAsia" w:ascii="黑体" w:hAnsi="黑体" w:eastAsia="黑体" w:cs="仿宋_GB2312"/>
          <w:sz w:val="32"/>
          <w:szCs w:val="32"/>
          <w:highlight w:val="none"/>
        </w:rPr>
        <w:t>条</w:t>
      </w:r>
      <w:r>
        <w:rPr>
          <w:rFonts w:hint="eastAsia" w:ascii="黑体" w:hAnsi="黑体" w:eastAsia="黑体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" w:eastAsia="仿宋_GB2312" w:cs="仿宋_GB2312"/>
          <w:sz w:val="32"/>
          <w:szCs w:val="32"/>
        </w:rPr>
        <w:t>各级粮食行政处罚部门</w:t>
      </w:r>
      <w:r>
        <w:rPr>
          <w:rFonts w:ascii="仿宋_GB2312" w:hAnsi="仿宋_GB2312" w:eastAsia="仿宋_GB2312" w:cs="仿宋_GB2312"/>
          <w:sz w:val="32"/>
        </w:rPr>
        <w:t>在作出行政处罚决定之前，应当告知当事人拟作出的行政处罚内容及事实、理由、依据，并告知当事人依法享有的陈述、申辩、要求听证等权利。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  <w:rPr>
          <w:rFonts w:hint="eastAsia" w:ascii="仿宋_GB2312" w:hAnsi="仿宋_GB2312" w:eastAsia="黑体" w:cs="仿宋_GB2312"/>
          <w:sz w:val="32"/>
          <w:lang w:val="en-US" w:eastAsia="zh-CN"/>
        </w:rPr>
      </w:pPr>
      <w:r>
        <w:rPr>
          <w:rFonts w:hint="eastAsia" w:ascii="黑体" w:hAnsi="黑体" w:eastAsia="黑体" w:cs="仿宋_GB2312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仿宋_GB2312"/>
          <w:sz w:val="32"/>
          <w:szCs w:val="32"/>
          <w:highlight w:val="none"/>
          <w:lang w:eastAsia="zh-CN"/>
        </w:rPr>
        <w:t>十二</w:t>
      </w:r>
      <w:r>
        <w:rPr>
          <w:rFonts w:hint="eastAsia" w:ascii="黑体" w:hAnsi="黑体" w:eastAsia="黑体" w:cs="仿宋_GB2312"/>
          <w:sz w:val="32"/>
          <w:szCs w:val="32"/>
          <w:highlight w:val="none"/>
        </w:rPr>
        <w:t>条</w:t>
      </w:r>
      <w:r>
        <w:rPr>
          <w:rFonts w:hint="eastAsia" w:ascii="黑体" w:hAnsi="黑体" w:eastAsia="黑体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" w:eastAsia="仿宋_GB2312" w:cs="仿宋_GB2312"/>
          <w:sz w:val="32"/>
          <w:szCs w:val="32"/>
        </w:rPr>
        <w:t>各级粮食行政处罚部门</w:t>
      </w:r>
      <w:r>
        <w:rPr>
          <w:rFonts w:ascii="仿宋_GB2312" w:hAnsi="仿宋_GB2312" w:eastAsia="仿宋_GB2312" w:cs="仿宋_GB2312"/>
          <w:sz w:val="32"/>
        </w:rPr>
        <w:t>必须充分听取当事人的陈述和申辩意见，对当事人提出的事实、理由和证据，应当进行复核；当事人提出的事实、理由或者证据成立的，应当采纳。不得因当事人陈述、申辩而给予更重的处罚。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</w:pPr>
      <w:r>
        <w:rPr>
          <w:rFonts w:hint="eastAsia" w:ascii="黑体" w:hAnsi="黑体" w:eastAsia="黑体" w:cs="仿宋_GB2312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仿宋_GB2312"/>
          <w:sz w:val="32"/>
          <w:szCs w:val="32"/>
          <w:highlight w:val="none"/>
          <w:lang w:eastAsia="zh-CN"/>
        </w:rPr>
        <w:t>十三</w:t>
      </w:r>
      <w:r>
        <w:rPr>
          <w:rFonts w:hint="eastAsia" w:ascii="黑体" w:hAnsi="黑体" w:eastAsia="黑体" w:cs="仿宋_GB2312"/>
          <w:sz w:val="32"/>
          <w:szCs w:val="32"/>
          <w:highlight w:val="none"/>
        </w:rPr>
        <w:t>条</w:t>
      </w:r>
      <w:r>
        <w:rPr>
          <w:rFonts w:hint="eastAsia" w:ascii="黑体" w:hAnsi="黑体" w:eastAsia="黑体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sz w:val="32"/>
        </w:rPr>
        <w:t>发生重大传染病疫情等突发事件，为了控制、减轻和消除突发事件引起的社会危害，对违反突发事件应对措施的行为，依法快速、从重处罚。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6"/>
        <w:jc w:val="left"/>
        <w:textAlignment w:val="auto"/>
        <w:rPr>
          <w:rFonts w:hint="eastAsia" w:ascii="仿宋_GB2312" w:hAnsi="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黑体" w:hAnsi="黑体" w:eastAsia="黑体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十四</w:t>
      </w:r>
      <w:r>
        <w:rPr>
          <w:rFonts w:hint="eastAsia" w:ascii="黑体" w:hAnsi="黑体" w:eastAsia="黑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sz w:val="32"/>
        </w:rPr>
        <w:t>本基准中涉及“以上”的含本数、涉及“以下”的不含本数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违法涉案粮食货值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，按其违法行为发生地当月的市场平均价格计算。</w:t>
      </w:r>
      <w:r>
        <w:rPr>
          <w:rFonts w:hint="eastAsia" w:ascii="仿宋_GB2312" w:hAnsi="仿宋_GB2312" w:eastAsia="仿宋_GB2312" w:cs="仿宋_GB2312"/>
          <w:sz w:val="32"/>
        </w:rPr>
        <w:t>相关制度另有规定的，从其规定。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6"/>
        <w:jc w:val="both"/>
        <w:textAlignment w:val="auto"/>
        <w:rPr>
          <w:rFonts w:ascii="仿宋_GB2312" w:hAnsi="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sz w:val="32"/>
          <w:szCs w:val="32"/>
        </w:rPr>
        <w:t>第</w:t>
      </w:r>
      <w:r>
        <w:rPr>
          <w:rFonts w:hint="eastAsia" w:ascii="黑体" w:hAnsi="黑体" w:eastAsia="黑体" w:cs="仿宋_GB2312"/>
          <w:sz w:val="32"/>
          <w:szCs w:val="32"/>
          <w:lang w:eastAsia="zh-CN"/>
        </w:rPr>
        <w:t>十五</w:t>
      </w:r>
      <w:r>
        <w:rPr>
          <w:rFonts w:hint="eastAsia" w:ascii="黑体" w:hAnsi="黑体" w:eastAsia="黑体" w:cs="仿宋_GB2312"/>
          <w:sz w:val="32"/>
          <w:szCs w:val="32"/>
        </w:rPr>
        <w:t>条</w:t>
      </w:r>
      <w:r>
        <w:rPr>
          <w:rFonts w:hint="eastAsia" w:ascii="仿宋_GB2312" w:hAnsi="仿宋" w:eastAsia="仿宋_GB2312" w:cs="仿宋_GB2312"/>
          <w:sz w:val="32"/>
          <w:szCs w:val="32"/>
        </w:rPr>
        <w:t xml:space="preserve"> 本基准及对应的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" w:eastAsia="仿宋_GB2312" w:cs="仿宋_GB2312"/>
          <w:sz w:val="32"/>
          <w:szCs w:val="32"/>
        </w:rPr>
        <w:t>北京市粮食领域行政处罚裁量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权</w:t>
      </w:r>
      <w:r>
        <w:rPr>
          <w:rFonts w:hint="eastAsia" w:ascii="仿宋_GB2312" w:hAnsi="仿宋" w:eastAsia="仿宋_GB2312" w:cs="仿宋_GB2312"/>
          <w:sz w:val="32"/>
          <w:szCs w:val="32"/>
        </w:rPr>
        <w:t>基准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表</w:t>
      </w:r>
      <w:r>
        <w:rPr>
          <w:rFonts w:hint="eastAsia" w:ascii="仿宋_GB2312" w:hAnsi="仿宋" w:eastAsia="仿宋_GB2312" w:cs="仿宋_GB2312"/>
          <w:sz w:val="32"/>
          <w:szCs w:val="32"/>
        </w:rPr>
        <w:t>及处罚公示期限目录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" w:eastAsia="仿宋_GB2312" w:cs="仿宋_GB2312"/>
          <w:sz w:val="32"/>
          <w:szCs w:val="32"/>
        </w:rPr>
        <w:t>自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2026年 月  日</w:t>
      </w:r>
      <w:r>
        <w:rPr>
          <w:rFonts w:hint="eastAsia" w:ascii="仿宋_GB2312" w:hAnsi="仿宋" w:eastAsia="仿宋_GB2312" w:cs="仿宋_GB2312"/>
          <w:sz w:val="32"/>
          <w:szCs w:val="32"/>
        </w:rPr>
        <w:t>起施行。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原《北京市粮食和物资储备局关于印发&lt;北京市粮食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领域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行政处罚裁量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权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基准&gt;&lt;北京市粮食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领域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行政处罚裁量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权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基准表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及处罚公示期限目录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&gt;的通知》（京粮发〔20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号）同时废止。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</w:pP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附件：《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北京市粮食领域行政处罚裁量权基准表及处罚公示期限目录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（征求意见稿）</w:t>
      </w:r>
      <w:bookmarkStart w:id="1" w:name="_GoBack"/>
      <w:bookmarkEnd w:id="1"/>
    </w:p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10E"/>
    <w:rsid w:val="00180465"/>
    <w:rsid w:val="002A2296"/>
    <w:rsid w:val="004D3892"/>
    <w:rsid w:val="00613959"/>
    <w:rsid w:val="00751773"/>
    <w:rsid w:val="009157F6"/>
    <w:rsid w:val="00925879"/>
    <w:rsid w:val="009E6AD7"/>
    <w:rsid w:val="00B14E76"/>
    <w:rsid w:val="00C87DD8"/>
    <w:rsid w:val="00CF26A2"/>
    <w:rsid w:val="00DB210E"/>
    <w:rsid w:val="00E3025F"/>
    <w:rsid w:val="00ED0F6B"/>
    <w:rsid w:val="00F92B03"/>
    <w:rsid w:val="01001A02"/>
    <w:rsid w:val="016A23DD"/>
    <w:rsid w:val="020B640F"/>
    <w:rsid w:val="03117041"/>
    <w:rsid w:val="035B342C"/>
    <w:rsid w:val="04B00522"/>
    <w:rsid w:val="05AC1E17"/>
    <w:rsid w:val="070D0CF2"/>
    <w:rsid w:val="070D4DBB"/>
    <w:rsid w:val="08B5414C"/>
    <w:rsid w:val="08B565A0"/>
    <w:rsid w:val="09CD7A25"/>
    <w:rsid w:val="0A616AD2"/>
    <w:rsid w:val="0A7BF0EF"/>
    <w:rsid w:val="0BFB4A8D"/>
    <w:rsid w:val="0C8D692D"/>
    <w:rsid w:val="0D0116AB"/>
    <w:rsid w:val="0E53087E"/>
    <w:rsid w:val="0EE25119"/>
    <w:rsid w:val="0F7729A5"/>
    <w:rsid w:val="100E5B54"/>
    <w:rsid w:val="1114424D"/>
    <w:rsid w:val="11C53515"/>
    <w:rsid w:val="130E1AF8"/>
    <w:rsid w:val="13ABA1D4"/>
    <w:rsid w:val="144926BA"/>
    <w:rsid w:val="14EC1B47"/>
    <w:rsid w:val="15A253C0"/>
    <w:rsid w:val="16A07414"/>
    <w:rsid w:val="16B759AD"/>
    <w:rsid w:val="16E051FE"/>
    <w:rsid w:val="17C63E55"/>
    <w:rsid w:val="17FEB801"/>
    <w:rsid w:val="19464EA3"/>
    <w:rsid w:val="1A5F5E79"/>
    <w:rsid w:val="1A630160"/>
    <w:rsid w:val="1A8D3974"/>
    <w:rsid w:val="1AB60B7D"/>
    <w:rsid w:val="1AE75225"/>
    <w:rsid w:val="1AF749C7"/>
    <w:rsid w:val="1C3D5BC4"/>
    <w:rsid w:val="1D3B42B8"/>
    <w:rsid w:val="1DB6C40E"/>
    <w:rsid w:val="1DDBE1BE"/>
    <w:rsid w:val="1E990B37"/>
    <w:rsid w:val="1E9B3263"/>
    <w:rsid w:val="1FB96C25"/>
    <w:rsid w:val="1FFB205C"/>
    <w:rsid w:val="207E2ACC"/>
    <w:rsid w:val="20CA62F9"/>
    <w:rsid w:val="23EA5726"/>
    <w:rsid w:val="26154D9F"/>
    <w:rsid w:val="27A319E0"/>
    <w:rsid w:val="27CFE921"/>
    <w:rsid w:val="27FD4F21"/>
    <w:rsid w:val="287C7715"/>
    <w:rsid w:val="29E71BFF"/>
    <w:rsid w:val="2A3DB07A"/>
    <w:rsid w:val="2A9346FC"/>
    <w:rsid w:val="2AB2132F"/>
    <w:rsid w:val="2AFFB0A6"/>
    <w:rsid w:val="2BA23CA7"/>
    <w:rsid w:val="2BFB4B84"/>
    <w:rsid w:val="2CF42A5A"/>
    <w:rsid w:val="2CFF439E"/>
    <w:rsid w:val="2D2F3278"/>
    <w:rsid w:val="2DD39DB5"/>
    <w:rsid w:val="2DDA2958"/>
    <w:rsid w:val="2DFB202A"/>
    <w:rsid w:val="2E7BDD47"/>
    <w:rsid w:val="2EF76C3D"/>
    <w:rsid w:val="2F6A4D09"/>
    <w:rsid w:val="2FDBC434"/>
    <w:rsid w:val="2FFD77EA"/>
    <w:rsid w:val="2FFEFA52"/>
    <w:rsid w:val="3077FBE8"/>
    <w:rsid w:val="30FC2354"/>
    <w:rsid w:val="3206066B"/>
    <w:rsid w:val="32D6F975"/>
    <w:rsid w:val="32F698FE"/>
    <w:rsid w:val="3365562A"/>
    <w:rsid w:val="33BC9E69"/>
    <w:rsid w:val="34336C43"/>
    <w:rsid w:val="34945ACB"/>
    <w:rsid w:val="355E0F76"/>
    <w:rsid w:val="35EC98EA"/>
    <w:rsid w:val="36CF2A92"/>
    <w:rsid w:val="377DC1E4"/>
    <w:rsid w:val="37EC9344"/>
    <w:rsid w:val="37F80854"/>
    <w:rsid w:val="37FD10A9"/>
    <w:rsid w:val="3825CC28"/>
    <w:rsid w:val="387B2BE2"/>
    <w:rsid w:val="391F6084"/>
    <w:rsid w:val="39FC654B"/>
    <w:rsid w:val="3B7E4185"/>
    <w:rsid w:val="3BBF23C7"/>
    <w:rsid w:val="3BBF6A46"/>
    <w:rsid w:val="3BED018E"/>
    <w:rsid w:val="3BEF8E5C"/>
    <w:rsid w:val="3CE56D2A"/>
    <w:rsid w:val="3D53D13D"/>
    <w:rsid w:val="3D696DC7"/>
    <w:rsid w:val="3D93D0D8"/>
    <w:rsid w:val="3DA63591"/>
    <w:rsid w:val="3DBE87BC"/>
    <w:rsid w:val="3DEF2403"/>
    <w:rsid w:val="3DFD0EFD"/>
    <w:rsid w:val="3DFF9589"/>
    <w:rsid w:val="3EDB79FB"/>
    <w:rsid w:val="3EFB41F2"/>
    <w:rsid w:val="3EFBE478"/>
    <w:rsid w:val="3F141A27"/>
    <w:rsid w:val="3F1FAAF0"/>
    <w:rsid w:val="3F3BA69A"/>
    <w:rsid w:val="3F7E7AC1"/>
    <w:rsid w:val="3F8E7AD2"/>
    <w:rsid w:val="3FA6994C"/>
    <w:rsid w:val="3FBEF5CF"/>
    <w:rsid w:val="3FBF6191"/>
    <w:rsid w:val="3FDB7207"/>
    <w:rsid w:val="3FE2A840"/>
    <w:rsid w:val="3FE346FA"/>
    <w:rsid w:val="3FEF9CB8"/>
    <w:rsid w:val="3FFED615"/>
    <w:rsid w:val="3FFFAF49"/>
    <w:rsid w:val="403F3C5F"/>
    <w:rsid w:val="40AC0320"/>
    <w:rsid w:val="416C6D06"/>
    <w:rsid w:val="441C29D3"/>
    <w:rsid w:val="464F6423"/>
    <w:rsid w:val="469D4E78"/>
    <w:rsid w:val="47BFC4C9"/>
    <w:rsid w:val="47F62F88"/>
    <w:rsid w:val="486B6CD5"/>
    <w:rsid w:val="487E4E61"/>
    <w:rsid w:val="4A9FDF69"/>
    <w:rsid w:val="4ADFEA18"/>
    <w:rsid w:val="4AFF4593"/>
    <w:rsid w:val="4B417B71"/>
    <w:rsid w:val="4B6E1B60"/>
    <w:rsid w:val="4B9B94B9"/>
    <w:rsid w:val="4BEDE35A"/>
    <w:rsid w:val="4BFF2C1C"/>
    <w:rsid w:val="4CD7BBB4"/>
    <w:rsid w:val="4D11650B"/>
    <w:rsid w:val="4D8FBA0B"/>
    <w:rsid w:val="4DEE94FC"/>
    <w:rsid w:val="4DFFB5DC"/>
    <w:rsid w:val="4E005326"/>
    <w:rsid w:val="4E7E20D4"/>
    <w:rsid w:val="4EF68057"/>
    <w:rsid w:val="4F6F5983"/>
    <w:rsid w:val="4FA7A12B"/>
    <w:rsid w:val="4FBD11B5"/>
    <w:rsid w:val="4FDD04CF"/>
    <w:rsid w:val="4FF98912"/>
    <w:rsid w:val="51FED7AB"/>
    <w:rsid w:val="527FDDF3"/>
    <w:rsid w:val="52821976"/>
    <w:rsid w:val="52DF9396"/>
    <w:rsid w:val="52E42DD4"/>
    <w:rsid w:val="532FD89B"/>
    <w:rsid w:val="535E51D5"/>
    <w:rsid w:val="53651C7A"/>
    <w:rsid w:val="5367005E"/>
    <w:rsid w:val="539DCDE7"/>
    <w:rsid w:val="53B761C2"/>
    <w:rsid w:val="53DA2CCD"/>
    <w:rsid w:val="547F8494"/>
    <w:rsid w:val="54B84515"/>
    <w:rsid w:val="553441B2"/>
    <w:rsid w:val="55934569"/>
    <w:rsid w:val="55B7CB8A"/>
    <w:rsid w:val="55BE1278"/>
    <w:rsid w:val="55CAC2B5"/>
    <w:rsid w:val="55D775B5"/>
    <w:rsid w:val="56F1A809"/>
    <w:rsid w:val="56FDAC83"/>
    <w:rsid w:val="57DFB868"/>
    <w:rsid w:val="57F6D7B7"/>
    <w:rsid w:val="57F8F778"/>
    <w:rsid w:val="587FF25E"/>
    <w:rsid w:val="58FE23A2"/>
    <w:rsid w:val="599CE2CD"/>
    <w:rsid w:val="59B30062"/>
    <w:rsid w:val="59BB48E8"/>
    <w:rsid w:val="5A7E6152"/>
    <w:rsid w:val="5A9DC452"/>
    <w:rsid w:val="5AB86F66"/>
    <w:rsid w:val="5AE67F76"/>
    <w:rsid w:val="5AF26ECA"/>
    <w:rsid w:val="5AFC81C5"/>
    <w:rsid w:val="5AFF91B2"/>
    <w:rsid w:val="5B5F84C6"/>
    <w:rsid w:val="5BD462C2"/>
    <w:rsid w:val="5BD75DB0"/>
    <w:rsid w:val="5BFF3E16"/>
    <w:rsid w:val="5CBA6849"/>
    <w:rsid w:val="5D7A5079"/>
    <w:rsid w:val="5DDD9C73"/>
    <w:rsid w:val="5DDE9894"/>
    <w:rsid w:val="5DFB5BC2"/>
    <w:rsid w:val="5DFC9BE1"/>
    <w:rsid w:val="5E3C7CAF"/>
    <w:rsid w:val="5E4DA575"/>
    <w:rsid w:val="5E7E07C4"/>
    <w:rsid w:val="5ED3213A"/>
    <w:rsid w:val="5EDA00F4"/>
    <w:rsid w:val="5EDB752B"/>
    <w:rsid w:val="5EFA7CCD"/>
    <w:rsid w:val="5F476563"/>
    <w:rsid w:val="5F53B5C0"/>
    <w:rsid w:val="5F5D5269"/>
    <w:rsid w:val="5F65CF32"/>
    <w:rsid w:val="5F7AFB66"/>
    <w:rsid w:val="5F7B5849"/>
    <w:rsid w:val="5F9B5FAE"/>
    <w:rsid w:val="5FB7EE78"/>
    <w:rsid w:val="5FBF4C04"/>
    <w:rsid w:val="5FBFC83E"/>
    <w:rsid w:val="5FDFCCAA"/>
    <w:rsid w:val="5FE8F10E"/>
    <w:rsid w:val="5FFCDF2C"/>
    <w:rsid w:val="5FFCFEB2"/>
    <w:rsid w:val="5FFD8B8C"/>
    <w:rsid w:val="60BD1497"/>
    <w:rsid w:val="6125790B"/>
    <w:rsid w:val="614B1F20"/>
    <w:rsid w:val="61BFA387"/>
    <w:rsid w:val="61FFA47A"/>
    <w:rsid w:val="62B05E0E"/>
    <w:rsid w:val="62BA8425"/>
    <w:rsid w:val="63FB0090"/>
    <w:rsid w:val="64BC53E6"/>
    <w:rsid w:val="653DB430"/>
    <w:rsid w:val="6557D0C1"/>
    <w:rsid w:val="65AE411C"/>
    <w:rsid w:val="65C168BC"/>
    <w:rsid w:val="65FD0343"/>
    <w:rsid w:val="666F0421"/>
    <w:rsid w:val="66E534CF"/>
    <w:rsid w:val="67511516"/>
    <w:rsid w:val="676E9336"/>
    <w:rsid w:val="67BDAA07"/>
    <w:rsid w:val="67FF53EA"/>
    <w:rsid w:val="680F4F96"/>
    <w:rsid w:val="682A27CA"/>
    <w:rsid w:val="682F4805"/>
    <w:rsid w:val="68FD6E7B"/>
    <w:rsid w:val="69F7CAAE"/>
    <w:rsid w:val="6A154EFE"/>
    <w:rsid w:val="6A225C03"/>
    <w:rsid w:val="6A351EDA"/>
    <w:rsid w:val="6A490568"/>
    <w:rsid w:val="6A591742"/>
    <w:rsid w:val="6A7D07C3"/>
    <w:rsid w:val="6AC0151D"/>
    <w:rsid w:val="6AEC5376"/>
    <w:rsid w:val="6B3536BF"/>
    <w:rsid w:val="6B810977"/>
    <w:rsid w:val="6BA53A54"/>
    <w:rsid w:val="6BBFA819"/>
    <w:rsid w:val="6BF6A92A"/>
    <w:rsid w:val="6BF99BE3"/>
    <w:rsid w:val="6BFB3F9D"/>
    <w:rsid w:val="6BFE23C0"/>
    <w:rsid w:val="6CC7CD92"/>
    <w:rsid w:val="6CFF13B4"/>
    <w:rsid w:val="6CFFBCD6"/>
    <w:rsid w:val="6D7346A3"/>
    <w:rsid w:val="6DE32C41"/>
    <w:rsid w:val="6DE92931"/>
    <w:rsid w:val="6DEC2388"/>
    <w:rsid w:val="6DF7404F"/>
    <w:rsid w:val="6DF78EAA"/>
    <w:rsid w:val="6DFBCC87"/>
    <w:rsid w:val="6DFFFBAF"/>
    <w:rsid w:val="6E6D3E92"/>
    <w:rsid w:val="6E75EA55"/>
    <w:rsid w:val="6E7FB0BD"/>
    <w:rsid w:val="6E9E5964"/>
    <w:rsid w:val="6EBFC237"/>
    <w:rsid w:val="6EC31393"/>
    <w:rsid w:val="6EF10E2C"/>
    <w:rsid w:val="6F3FED1D"/>
    <w:rsid w:val="6F5F6DF4"/>
    <w:rsid w:val="6F6D87A4"/>
    <w:rsid w:val="6F6EA8E7"/>
    <w:rsid w:val="6F6FEE97"/>
    <w:rsid w:val="6F713999"/>
    <w:rsid w:val="6F7F719F"/>
    <w:rsid w:val="6F8C797B"/>
    <w:rsid w:val="6F919BD2"/>
    <w:rsid w:val="6F96DB82"/>
    <w:rsid w:val="6FAF002C"/>
    <w:rsid w:val="6FAF8616"/>
    <w:rsid w:val="6FAFB822"/>
    <w:rsid w:val="6FB7D747"/>
    <w:rsid w:val="6FBB27F8"/>
    <w:rsid w:val="6FBF629D"/>
    <w:rsid w:val="6FF6C99C"/>
    <w:rsid w:val="6FF962DA"/>
    <w:rsid w:val="6FFE30F9"/>
    <w:rsid w:val="6FFE42D6"/>
    <w:rsid w:val="6FFF0252"/>
    <w:rsid w:val="6FFF15DD"/>
    <w:rsid w:val="6FFF438D"/>
    <w:rsid w:val="6FFF5554"/>
    <w:rsid w:val="6FFFD59F"/>
    <w:rsid w:val="6FFFF42E"/>
    <w:rsid w:val="7034683F"/>
    <w:rsid w:val="703EFA35"/>
    <w:rsid w:val="726C284B"/>
    <w:rsid w:val="72B36220"/>
    <w:rsid w:val="72BBB2CF"/>
    <w:rsid w:val="72F077C1"/>
    <w:rsid w:val="72FF39A7"/>
    <w:rsid w:val="72FFF92E"/>
    <w:rsid w:val="733F38EC"/>
    <w:rsid w:val="73755347"/>
    <w:rsid w:val="737FF4C0"/>
    <w:rsid w:val="73B37201"/>
    <w:rsid w:val="73D3A114"/>
    <w:rsid w:val="73DF007C"/>
    <w:rsid w:val="73F7FA68"/>
    <w:rsid w:val="7445043E"/>
    <w:rsid w:val="74512603"/>
    <w:rsid w:val="753FE43F"/>
    <w:rsid w:val="757647F4"/>
    <w:rsid w:val="75766150"/>
    <w:rsid w:val="757DE146"/>
    <w:rsid w:val="75AE79FD"/>
    <w:rsid w:val="75C7A9BC"/>
    <w:rsid w:val="75ED5D32"/>
    <w:rsid w:val="75F408E9"/>
    <w:rsid w:val="75FCB8F0"/>
    <w:rsid w:val="765F8FF3"/>
    <w:rsid w:val="769E7B3E"/>
    <w:rsid w:val="76DB2A9E"/>
    <w:rsid w:val="76DF0F3C"/>
    <w:rsid w:val="76FB03D9"/>
    <w:rsid w:val="76FFCFA4"/>
    <w:rsid w:val="772FE8C4"/>
    <w:rsid w:val="77774F67"/>
    <w:rsid w:val="77778DDF"/>
    <w:rsid w:val="777DBFD5"/>
    <w:rsid w:val="777F37F2"/>
    <w:rsid w:val="778F79A6"/>
    <w:rsid w:val="77A5306D"/>
    <w:rsid w:val="77AF68FF"/>
    <w:rsid w:val="77B70250"/>
    <w:rsid w:val="77BF9DD0"/>
    <w:rsid w:val="77D5332D"/>
    <w:rsid w:val="77DB8086"/>
    <w:rsid w:val="77DF9B17"/>
    <w:rsid w:val="77EEBF39"/>
    <w:rsid w:val="77F9EEB6"/>
    <w:rsid w:val="77FD4DC4"/>
    <w:rsid w:val="77FF1D2F"/>
    <w:rsid w:val="78293A96"/>
    <w:rsid w:val="78AB4BDB"/>
    <w:rsid w:val="78EEF927"/>
    <w:rsid w:val="797F6958"/>
    <w:rsid w:val="79BAD126"/>
    <w:rsid w:val="79BB38B9"/>
    <w:rsid w:val="79BE087C"/>
    <w:rsid w:val="79C7C3E5"/>
    <w:rsid w:val="79F769E9"/>
    <w:rsid w:val="79FBD886"/>
    <w:rsid w:val="79FEB521"/>
    <w:rsid w:val="79FF0F33"/>
    <w:rsid w:val="79FF2C72"/>
    <w:rsid w:val="7A378B29"/>
    <w:rsid w:val="7A5A4E6D"/>
    <w:rsid w:val="7A5FFF1D"/>
    <w:rsid w:val="7ABF326F"/>
    <w:rsid w:val="7AEBEAD5"/>
    <w:rsid w:val="7AEC944A"/>
    <w:rsid w:val="7AF72BB9"/>
    <w:rsid w:val="7AFB25B6"/>
    <w:rsid w:val="7AFB8B21"/>
    <w:rsid w:val="7B1706E8"/>
    <w:rsid w:val="7B1F1D7E"/>
    <w:rsid w:val="7B575CF9"/>
    <w:rsid w:val="7B6B4F3D"/>
    <w:rsid w:val="7B6EF8F5"/>
    <w:rsid w:val="7B719B6D"/>
    <w:rsid w:val="7B762CF6"/>
    <w:rsid w:val="7BB77848"/>
    <w:rsid w:val="7BBB6E6B"/>
    <w:rsid w:val="7BD7E85F"/>
    <w:rsid w:val="7BDD13F7"/>
    <w:rsid w:val="7BDD976E"/>
    <w:rsid w:val="7BE703BF"/>
    <w:rsid w:val="7BE74774"/>
    <w:rsid w:val="7BE74F34"/>
    <w:rsid w:val="7BEB880E"/>
    <w:rsid w:val="7BEFB791"/>
    <w:rsid w:val="7BF9CA10"/>
    <w:rsid w:val="7BFB8592"/>
    <w:rsid w:val="7BFBFD89"/>
    <w:rsid w:val="7C176C82"/>
    <w:rsid w:val="7C712344"/>
    <w:rsid w:val="7C7B8556"/>
    <w:rsid w:val="7CA5C7A5"/>
    <w:rsid w:val="7CB326E8"/>
    <w:rsid w:val="7CBF69DE"/>
    <w:rsid w:val="7CCE3C7C"/>
    <w:rsid w:val="7CD2C51B"/>
    <w:rsid w:val="7CF55A9E"/>
    <w:rsid w:val="7CF70C3D"/>
    <w:rsid w:val="7CFFA933"/>
    <w:rsid w:val="7D3B9FF5"/>
    <w:rsid w:val="7D4F8DA8"/>
    <w:rsid w:val="7D5DED9A"/>
    <w:rsid w:val="7D6BFCE0"/>
    <w:rsid w:val="7D7FE918"/>
    <w:rsid w:val="7D7FEE33"/>
    <w:rsid w:val="7D942692"/>
    <w:rsid w:val="7DA7CAF2"/>
    <w:rsid w:val="7DAFD8D2"/>
    <w:rsid w:val="7DB03D44"/>
    <w:rsid w:val="7DBF667E"/>
    <w:rsid w:val="7DC394DF"/>
    <w:rsid w:val="7DCF13CE"/>
    <w:rsid w:val="7DDF816E"/>
    <w:rsid w:val="7DEF48A0"/>
    <w:rsid w:val="7DF17BE0"/>
    <w:rsid w:val="7DF579A0"/>
    <w:rsid w:val="7DF6AEBC"/>
    <w:rsid w:val="7DF92336"/>
    <w:rsid w:val="7DFB6D79"/>
    <w:rsid w:val="7DFBEFE6"/>
    <w:rsid w:val="7DFF8A44"/>
    <w:rsid w:val="7DFFBC11"/>
    <w:rsid w:val="7DFFD9AA"/>
    <w:rsid w:val="7DFFFA35"/>
    <w:rsid w:val="7E3E5F35"/>
    <w:rsid w:val="7E78DA4E"/>
    <w:rsid w:val="7E7F13DF"/>
    <w:rsid w:val="7E7F1CA5"/>
    <w:rsid w:val="7EAD57DE"/>
    <w:rsid w:val="7EBD4F6A"/>
    <w:rsid w:val="7EBF0D90"/>
    <w:rsid w:val="7EBFF52E"/>
    <w:rsid w:val="7EDF4F9F"/>
    <w:rsid w:val="7EDF802D"/>
    <w:rsid w:val="7EEBA858"/>
    <w:rsid w:val="7EEEC2F2"/>
    <w:rsid w:val="7EF33D52"/>
    <w:rsid w:val="7EF7164B"/>
    <w:rsid w:val="7EF7ACA9"/>
    <w:rsid w:val="7EFFCDF8"/>
    <w:rsid w:val="7F178481"/>
    <w:rsid w:val="7F1FED4C"/>
    <w:rsid w:val="7F256B0C"/>
    <w:rsid w:val="7F2D8BFF"/>
    <w:rsid w:val="7F37326E"/>
    <w:rsid w:val="7F3B2F6B"/>
    <w:rsid w:val="7F3E5B02"/>
    <w:rsid w:val="7F3F6D98"/>
    <w:rsid w:val="7F4B0ED6"/>
    <w:rsid w:val="7F596A36"/>
    <w:rsid w:val="7F635BEC"/>
    <w:rsid w:val="7F6DBCC5"/>
    <w:rsid w:val="7F6F8797"/>
    <w:rsid w:val="7F7D58EC"/>
    <w:rsid w:val="7F7E622D"/>
    <w:rsid w:val="7F8E75CB"/>
    <w:rsid w:val="7F979402"/>
    <w:rsid w:val="7F9DC1FE"/>
    <w:rsid w:val="7FA169FF"/>
    <w:rsid w:val="7FA5B32F"/>
    <w:rsid w:val="7FA7AFF6"/>
    <w:rsid w:val="7FB1C5AF"/>
    <w:rsid w:val="7FB96FFE"/>
    <w:rsid w:val="7FBBB557"/>
    <w:rsid w:val="7FBD0719"/>
    <w:rsid w:val="7FBF6045"/>
    <w:rsid w:val="7FCA336C"/>
    <w:rsid w:val="7FCF1F29"/>
    <w:rsid w:val="7FCF90C1"/>
    <w:rsid w:val="7FCFE816"/>
    <w:rsid w:val="7FD5F4B8"/>
    <w:rsid w:val="7FD6570E"/>
    <w:rsid w:val="7FDBAD76"/>
    <w:rsid w:val="7FDFB663"/>
    <w:rsid w:val="7FDFCFFA"/>
    <w:rsid w:val="7FE89452"/>
    <w:rsid w:val="7FEB0B41"/>
    <w:rsid w:val="7FEBD2C8"/>
    <w:rsid w:val="7FEBF835"/>
    <w:rsid w:val="7FEC40F4"/>
    <w:rsid w:val="7FEFD6F1"/>
    <w:rsid w:val="7FEFE770"/>
    <w:rsid w:val="7FF10994"/>
    <w:rsid w:val="7FF7AFE1"/>
    <w:rsid w:val="7FF9ADBF"/>
    <w:rsid w:val="7FF9C881"/>
    <w:rsid w:val="7FFB28D2"/>
    <w:rsid w:val="7FFCCDDA"/>
    <w:rsid w:val="7FFDFA4D"/>
    <w:rsid w:val="7FFE4C02"/>
    <w:rsid w:val="7FFEF5FF"/>
    <w:rsid w:val="7FFF0449"/>
    <w:rsid w:val="7FFF10B0"/>
    <w:rsid w:val="7FFF1669"/>
    <w:rsid w:val="7FFF1EF8"/>
    <w:rsid w:val="7FFF9330"/>
    <w:rsid w:val="7FFFACFD"/>
    <w:rsid w:val="83E7E733"/>
    <w:rsid w:val="84EF66BB"/>
    <w:rsid w:val="8BD9392E"/>
    <w:rsid w:val="8CBD18F6"/>
    <w:rsid w:val="8CF9434C"/>
    <w:rsid w:val="8CFFBDAB"/>
    <w:rsid w:val="8EDF7461"/>
    <w:rsid w:val="8F6F314C"/>
    <w:rsid w:val="8FF340B1"/>
    <w:rsid w:val="8FFF0752"/>
    <w:rsid w:val="95FEA41D"/>
    <w:rsid w:val="97DA6A67"/>
    <w:rsid w:val="9AFFB165"/>
    <w:rsid w:val="9BD50EE1"/>
    <w:rsid w:val="9BD7A035"/>
    <w:rsid w:val="9BE3D14D"/>
    <w:rsid w:val="9BFCD59E"/>
    <w:rsid w:val="9BFF730D"/>
    <w:rsid w:val="9C9F10B7"/>
    <w:rsid w:val="9D4B5CFF"/>
    <w:rsid w:val="9DB69370"/>
    <w:rsid w:val="9DD61A83"/>
    <w:rsid w:val="9EBE769B"/>
    <w:rsid w:val="9F7997C4"/>
    <w:rsid w:val="9F7AE4E1"/>
    <w:rsid w:val="9F7B05F2"/>
    <w:rsid w:val="9F9B839F"/>
    <w:rsid w:val="9FBB9869"/>
    <w:rsid w:val="9FD32C04"/>
    <w:rsid w:val="9FEFE18E"/>
    <w:rsid w:val="9FFB4497"/>
    <w:rsid w:val="9FFD0A30"/>
    <w:rsid w:val="A17534D1"/>
    <w:rsid w:val="A3567C1A"/>
    <w:rsid w:val="A3EF315A"/>
    <w:rsid w:val="A3EF59C5"/>
    <w:rsid w:val="A6BB07A2"/>
    <w:rsid w:val="A7F728E9"/>
    <w:rsid w:val="A9FF5396"/>
    <w:rsid w:val="AA3F95E5"/>
    <w:rsid w:val="AB716051"/>
    <w:rsid w:val="ABBC6905"/>
    <w:rsid w:val="ABFBFA02"/>
    <w:rsid w:val="AD375D27"/>
    <w:rsid w:val="ADAFC1B1"/>
    <w:rsid w:val="AEEF5803"/>
    <w:rsid w:val="AF5FE7D8"/>
    <w:rsid w:val="AF8663E9"/>
    <w:rsid w:val="AFAA658D"/>
    <w:rsid w:val="AFB74597"/>
    <w:rsid w:val="AFDC93D3"/>
    <w:rsid w:val="AFE9A1CC"/>
    <w:rsid w:val="AFFE7B02"/>
    <w:rsid w:val="B33FB105"/>
    <w:rsid w:val="B3B7D4D2"/>
    <w:rsid w:val="B3DDF11B"/>
    <w:rsid w:val="B5765EAE"/>
    <w:rsid w:val="B6D7F142"/>
    <w:rsid w:val="B7DC1029"/>
    <w:rsid w:val="B7EECE3F"/>
    <w:rsid w:val="B7FEEC38"/>
    <w:rsid w:val="B7FF2195"/>
    <w:rsid w:val="B86EBD32"/>
    <w:rsid w:val="B95F4700"/>
    <w:rsid w:val="B9DF16CD"/>
    <w:rsid w:val="BA1F84EF"/>
    <w:rsid w:val="BA7B23C6"/>
    <w:rsid w:val="BA7FFA6E"/>
    <w:rsid w:val="BB7B746E"/>
    <w:rsid w:val="BBE7BF90"/>
    <w:rsid w:val="BD7F59BF"/>
    <w:rsid w:val="BDCB2BE5"/>
    <w:rsid w:val="BDFBF583"/>
    <w:rsid w:val="BDFDBECD"/>
    <w:rsid w:val="BE8FB294"/>
    <w:rsid w:val="BEBF4111"/>
    <w:rsid w:val="BED5F874"/>
    <w:rsid w:val="BED8CE5D"/>
    <w:rsid w:val="BF1706B6"/>
    <w:rsid w:val="BF32AD2B"/>
    <w:rsid w:val="BF3F7F43"/>
    <w:rsid w:val="BF6A58A3"/>
    <w:rsid w:val="BFA7A57D"/>
    <w:rsid w:val="BFABEB50"/>
    <w:rsid w:val="BFAF1B39"/>
    <w:rsid w:val="BFBF0A45"/>
    <w:rsid w:val="BFCE0B39"/>
    <w:rsid w:val="BFDF80CA"/>
    <w:rsid w:val="BFDFA908"/>
    <w:rsid w:val="BFED132D"/>
    <w:rsid w:val="BFEEFBEF"/>
    <w:rsid w:val="BFEF71F0"/>
    <w:rsid w:val="BFF79B8E"/>
    <w:rsid w:val="BFFF2688"/>
    <w:rsid w:val="C7BBEE8B"/>
    <w:rsid w:val="C7FF7BA6"/>
    <w:rsid w:val="CAE9CE71"/>
    <w:rsid w:val="CB7D6125"/>
    <w:rsid w:val="CCFE59A4"/>
    <w:rsid w:val="CDFBAED2"/>
    <w:rsid w:val="CEF5E032"/>
    <w:rsid w:val="CEFB3713"/>
    <w:rsid w:val="CF8F38E7"/>
    <w:rsid w:val="CFCD2ACE"/>
    <w:rsid w:val="CFF7BEE0"/>
    <w:rsid w:val="CFFF6DC8"/>
    <w:rsid w:val="CFFF7263"/>
    <w:rsid w:val="D1D32E8E"/>
    <w:rsid w:val="D32FCAAB"/>
    <w:rsid w:val="D52F75E8"/>
    <w:rsid w:val="D5BB9F38"/>
    <w:rsid w:val="D5BFC7AB"/>
    <w:rsid w:val="D5FD2F80"/>
    <w:rsid w:val="D66FFDF0"/>
    <w:rsid w:val="D6BB110E"/>
    <w:rsid w:val="D6FE2F3F"/>
    <w:rsid w:val="D78BE8A3"/>
    <w:rsid w:val="D7B5C29F"/>
    <w:rsid w:val="D7B739A0"/>
    <w:rsid w:val="D7BF500D"/>
    <w:rsid w:val="D7D3E638"/>
    <w:rsid w:val="D7D3FAD9"/>
    <w:rsid w:val="D7E7BF01"/>
    <w:rsid w:val="D7EDD3C5"/>
    <w:rsid w:val="D7FB1B04"/>
    <w:rsid w:val="D89B2A04"/>
    <w:rsid w:val="D8DDA242"/>
    <w:rsid w:val="D9B746DC"/>
    <w:rsid w:val="D9FB2D78"/>
    <w:rsid w:val="DBE75E2A"/>
    <w:rsid w:val="DBEA59F1"/>
    <w:rsid w:val="DBF28F79"/>
    <w:rsid w:val="DBFB5C2D"/>
    <w:rsid w:val="DBFE2AF4"/>
    <w:rsid w:val="DCF47AF3"/>
    <w:rsid w:val="DD738447"/>
    <w:rsid w:val="DDA93767"/>
    <w:rsid w:val="DDDBEFDA"/>
    <w:rsid w:val="DDEF0C66"/>
    <w:rsid w:val="DDEFCA96"/>
    <w:rsid w:val="DE6DB783"/>
    <w:rsid w:val="DE7C3754"/>
    <w:rsid w:val="DE7F2E25"/>
    <w:rsid w:val="DEDD68A1"/>
    <w:rsid w:val="DEE3E1A5"/>
    <w:rsid w:val="DEF7AF93"/>
    <w:rsid w:val="DEFAD993"/>
    <w:rsid w:val="DEFF3B25"/>
    <w:rsid w:val="DF1960D4"/>
    <w:rsid w:val="DF2FE7B5"/>
    <w:rsid w:val="DF36F0C9"/>
    <w:rsid w:val="DF4593AF"/>
    <w:rsid w:val="DF559B5E"/>
    <w:rsid w:val="DF5D3661"/>
    <w:rsid w:val="DF737B6B"/>
    <w:rsid w:val="DF7EE745"/>
    <w:rsid w:val="DFAADD0A"/>
    <w:rsid w:val="DFBD42FB"/>
    <w:rsid w:val="DFDF7858"/>
    <w:rsid w:val="DFEFD79F"/>
    <w:rsid w:val="DFF62DB9"/>
    <w:rsid w:val="DFF67D09"/>
    <w:rsid w:val="DFF7A407"/>
    <w:rsid w:val="DFF7E9E8"/>
    <w:rsid w:val="DFFAC6FC"/>
    <w:rsid w:val="DFFB8DC1"/>
    <w:rsid w:val="DFFBD067"/>
    <w:rsid w:val="DFFDCDF2"/>
    <w:rsid w:val="DFFEC483"/>
    <w:rsid w:val="DFFF0521"/>
    <w:rsid w:val="DFFF9968"/>
    <w:rsid w:val="E1FF6B4A"/>
    <w:rsid w:val="E27FA0E2"/>
    <w:rsid w:val="E39E1448"/>
    <w:rsid w:val="E3CCCC72"/>
    <w:rsid w:val="E3D7D0CD"/>
    <w:rsid w:val="E3E7702F"/>
    <w:rsid w:val="E3FAAAEB"/>
    <w:rsid w:val="E5F2B96E"/>
    <w:rsid w:val="E5F52A48"/>
    <w:rsid w:val="E5FA76D9"/>
    <w:rsid w:val="E5FB0F9B"/>
    <w:rsid w:val="E6DAC838"/>
    <w:rsid w:val="E6E76C9F"/>
    <w:rsid w:val="E6FE6BD7"/>
    <w:rsid w:val="E75E0BD2"/>
    <w:rsid w:val="E7DB2F65"/>
    <w:rsid w:val="E7E7B957"/>
    <w:rsid w:val="E7E94B81"/>
    <w:rsid w:val="E8F75B11"/>
    <w:rsid w:val="E93EB176"/>
    <w:rsid w:val="E99FBE0B"/>
    <w:rsid w:val="E9BF7120"/>
    <w:rsid w:val="E9DDD057"/>
    <w:rsid w:val="E9F71EFB"/>
    <w:rsid w:val="EAEDA4DE"/>
    <w:rsid w:val="EAFA0FCC"/>
    <w:rsid w:val="EBB53D24"/>
    <w:rsid w:val="EBD70FAA"/>
    <w:rsid w:val="EBFD19F9"/>
    <w:rsid w:val="EBFE231B"/>
    <w:rsid w:val="EC4D5431"/>
    <w:rsid w:val="ECB3BAC3"/>
    <w:rsid w:val="ECDF9A47"/>
    <w:rsid w:val="ED76B02C"/>
    <w:rsid w:val="ED8FFEF5"/>
    <w:rsid w:val="EDB7BE3D"/>
    <w:rsid w:val="EDBEDE18"/>
    <w:rsid w:val="EDDEB416"/>
    <w:rsid w:val="EDDF1141"/>
    <w:rsid w:val="EDEF8704"/>
    <w:rsid w:val="EDEFE3AB"/>
    <w:rsid w:val="EDF02D54"/>
    <w:rsid w:val="EDFF46F5"/>
    <w:rsid w:val="EE2E6C9B"/>
    <w:rsid w:val="EECEFE48"/>
    <w:rsid w:val="EEF64E48"/>
    <w:rsid w:val="EEF76BFB"/>
    <w:rsid w:val="EEFFC8B1"/>
    <w:rsid w:val="EF1BCB22"/>
    <w:rsid w:val="EF3FEBE4"/>
    <w:rsid w:val="EF6BA892"/>
    <w:rsid w:val="EF7B8B59"/>
    <w:rsid w:val="EF7F07A3"/>
    <w:rsid w:val="EF7FD278"/>
    <w:rsid w:val="EF9E4E4A"/>
    <w:rsid w:val="EF9FDA85"/>
    <w:rsid w:val="EFA61026"/>
    <w:rsid w:val="EFB600CC"/>
    <w:rsid w:val="EFDF01F8"/>
    <w:rsid w:val="EFDFA832"/>
    <w:rsid w:val="EFE6ECFC"/>
    <w:rsid w:val="EFE771CC"/>
    <w:rsid w:val="EFEA78D7"/>
    <w:rsid w:val="EFF782FB"/>
    <w:rsid w:val="EFF7845E"/>
    <w:rsid w:val="EFFA3EE5"/>
    <w:rsid w:val="EFFDD542"/>
    <w:rsid w:val="EFFF46F2"/>
    <w:rsid w:val="EFFF5B93"/>
    <w:rsid w:val="EFFFAA9B"/>
    <w:rsid w:val="EFFFE867"/>
    <w:rsid w:val="F1BD8A45"/>
    <w:rsid w:val="F1FDAC42"/>
    <w:rsid w:val="F24B09E6"/>
    <w:rsid w:val="F33B3C5E"/>
    <w:rsid w:val="F34F8F33"/>
    <w:rsid w:val="F35FD65B"/>
    <w:rsid w:val="F3B6C4E8"/>
    <w:rsid w:val="F3B7252E"/>
    <w:rsid w:val="F3DFC792"/>
    <w:rsid w:val="F3EAD5C1"/>
    <w:rsid w:val="F3F722DE"/>
    <w:rsid w:val="F3FF1518"/>
    <w:rsid w:val="F59888D6"/>
    <w:rsid w:val="F5CA79B4"/>
    <w:rsid w:val="F5F71886"/>
    <w:rsid w:val="F5F924CC"/>
    <w:rsid w:val="F5FE487F"/>
    <w:rsid w:val="F619EDFA"/>
    <w:rsid w:val="F63C00F6"/>
    <w:rsid w:val="F65409BD"/>
    <w:rsid w:val="F6CA2AB5"/>
    <w:rsid w:val="F6CFEE84"/>
    <w:rsid w:val="F6FE2D54"/>
    <w:rsid w:val="F6FE66BE"/>
    <w:rsid w:val="F77DE027"/>
    <w:rsid w:val="F7A78C67"/>
    <w:rsid w:val="F7AF10FE"/>
    <w:rsid w:val="F7EB0BA0"/>
    <w:rsid w:val="F7EEE0F1"/>
    <w:rsid w:val="F7EF44B7"/>
    <w:rsid w:val="F7EF70D9"/>
    <w:rsid w:val="F7F32454"/>
    <w:rsid w:val="F7F78AB1"/>
    <w:rsid w:val="F7FA1278"/>
    <w:rsid w:val="F7FABE3C"/>
    <w:rsid w:val="F7FBAEBE"/>
    <w:rsid w:val="F7FD4E7F"/>
    <w:rsid w:val="F89E48F2"/>
    <w:rsid w:val="F8B50713"/>
    <w:rsid w:val="F8BFCC14"/>
    <w:rsid w:val="F8E728CC"/>
    <w:rsid w:val="F8FFAB32"/>
    <w:rsid w:val="F96FD9B8"/>
    <w:rsid w:val="F97DC362"/>
    <w:rsid w:val="F9B9B9DD"/>
    <w:rsid w:val="F9C5C791"/>
    <w:rsid w:val="F9DAE166"/>
    <w:rsid w:val="F9DF745F"/>
    <w:rsid w:val="F9E6A9E3"/>
    <w:rsid w:val="F9FF4806"/>
    <w:rsid w:val="FA2EA89B"/>
    <w:rsid w:val="FAEBC37A"/>
    <w:rsid w:val="FAF72404"/>
    <w:rsid w:val="FAFBD93A"/>
    <w:rsid w:val="FAFEE55A"/>
    <w:rsid w:val="FB3E1552"/>
    <w:rsid w:val="FB6D49DD"/>
    <w:rsid w:val="FB6E079A"/>
    <w:rsid w:val="FB73ABDE"/>
    <w:rsid w:val="FB75DF27"/>
    <w:rsid w:val="FB77E818"/>
    <w:rsid w:val="FB7E255A"/>
    <w:rsid w:val="FBD306EB"/>
    <w:rsid w:val="FBDEB854"/>
    <w:rsid w:val="FBED89B6"/>
    <w:rsid w:val="FBEF0400"/>
    <w:rsid w:val="FBEF0A3C"/>
    <w:rsid w:val="FBEFB3C1"/>
    <w:rsid w:val="FBF97CDD"/>
    <w:rsid w:val="FBFC8A57"/>
    <w:rsid w:val="FBFC99FC"/>
    <w:rsid w:val="FBFE7F1E"/>
    <w:rsid w:val="FBFF2F91"/>
    <w:rsid w:val="FBFF3FBF"/>
    <w:rsid w:val="FC45E45C"/>
    <w:rsid w:val="FC7F8FD9"/>
    <w:rsid w:val="FCBFE967"/>
    <w:rsid w:val="FCBFFD5C"/>
    <w:rsid w:val="FCEC66CC"/>
    <w:rsid w:val="FCF6BCC0"/>
    <w:rsid w:val="FCFCD46E"/>
    <w:rsid w:val="FCFF330D"/>
    <w:rsid w:val="FD6ED48B"/>
    <w:rsid w:val="FD776E14"/>
    <w:rsid w:val="FD7B30A3"/>
    <w:rsid w:val="FD7F7444"/>
    <w:rsid w:val="FD9B9B5E"/>
    <w:rsid w:val="FD9CE9F0"/>
    <w:rsid w:val="FDAFAE30"/>
    <w:rsid w:val="FDDD8C9F"/>
    <w:rsid w:val="FDDF2EF2"/>
    <w:rsid w:val="FDDFDAFC"/>
    <w:rsid w:val="FDEA2873"/>
    <w:rsid w:val="FDEBD2FC"/>
    <w:rsid w:val="FDEE15ED"/>
    <w:rsid w:val="FDFB2796"/>
    <w:rsid w:val="FDFE5C10"/>
    <w:rsid w:val="FE258EE8"/>
    <w:rsid w:val="FE2F3771"/>
    <w:rsid w:val="FE5C45E4"/>
    <w:rsid w:val="FE675DAF"/>
    <w:rsid w:val="FE734873"/>
    <w:rsid w:val="FE7E8EA0"/>
    <w:rsid w:val="FE7F6307"/>
    <w:rsid w:val="FEB7F8DF"/>
    <w:rsid w:val="FEBF7968"/>
    <w:rsid w:val="FEBFC87B"/>
    <w:rsid w:val="FEBFD283"/>
    <w:rsid w:val="FED6E7A4"/>
    <w:rsid w:val="FEDE9870"/>
    <w:rsid w:val="FEDF7BE7"/>
    <w:rsid w:val="FEEDE313"/>
    <w:rsid w:val="FEF6B538"/>
    <w:rsid w:val="FEFAE655"/>
    <w:rsid w:val="FEFF5182"/>
    <w:rsid w:val="FEFFA6C2"/>
    <w:rsid w:val="FF2ECD2D"/>
    <w:rsid w:val="FF3701DD"/>
    <w:rsid w:val="FF3EEB04"/>
    <w:rsid w:val="FF4EBFA9"/>
    <w:rsid w:val="FF575D16"/>
    <w:rsid w:val="FF5DA042"/>
    <w:rsid w:val="FF5FA237"/>
    <w:rsid w:val="FF5FEEE1"/>
    <w:rsid w:val="FF6FB375"/>
    <w:rsid w:val="FF7198C6"/>
    <w:rsid w:val="FF76B109"/>
    <w:rsid w:val="FF7AA987"/>
    <w:rsid w:val="FF7BA860"/>
    <w:rsid w:val="FF7DBA31"/>
    <w:rsid w:val="FF7F8987"/>
    <w:rsid w:val="FF7FB8A6"/>
    <w:rsid w:val="FF9B256E"/>
    <w:rsid w:val="FF9CB9AE"/>
    <w:rsid w:val="FFABD316"/>
    <w:rsid w:val="FFAE11E5"/>
    <w:rsid w:val="FFAF3E74"/>
    <w:rsid w:val="FFB79200"/>
    <w:rsid w:val="FFB9BB01"/>
    <w:rsid w:val="FFBB58BA"/>
    <w:rsid w:val="FFBD46BC"/>
    <w:rsid w:val="FFBDE9AC"/>
    <w:rsid w:val="FFBE472D"/>
    <w:rsid w:val="FFBEA076"/>
    <w:rsid w:val="FFBF5480"/>
    <w:rsid w:val="FFBFB5FA"/>
    <w:rsid w:val="FFCEB320"/>
    <w:rsid w:val="FFD7B257"/>
    <w:rsid w:val="FFDD2999"/>
    <w:rsid w:val="FFDEF381"/>
    <w:rsid w:val="FFDFA2F2"/>
    <w:rsid w:val="FFDFC233"/>
    <w:rsid w:val="FFE15027"/>
    <w:rsid w:val="FFE3918A"/>
    <w:rsid w:val="FFE5E6E5"/>
    <w:rsid w:val="FFE80617"/>
    <w:rsid w:val="FFEF6922"/>
    <w:rsid w:val="FFEF72B4"/>
    <w:rsid w:val="FFEF8779"/>
    <w:rsid w:val="FFEF9525"/>
    <w:rsid w:val="FFF1F5A6"/>
    <w:rsid w:val="FFF3E4D2"/>
    <w:rsid w:val="FFF7DD94"/>
    <w:rsid w:val="FFF98D1B"/>
    <w:rsid w:val="FFFAC590"/>
    <w:rsid w:val="FFFD2C14"/>
    <w:rsid w:val="FFFDB078"/>
    <w:rsid w:val="FFFDCEAA"/>
    <w:rsid w:val="FFFDE581"/>
    <w:rsid w:val="FFFE73D4"/>
    <w:rsid w:val="FFFECD8B"/>
    <w:rsid w:val="FFFEEB6F"/>
    <w:rsid w:val="FFFEEC10"/>
    <w:rsid w:val="FFFF0D26"/>
    <w:rsid w:val="FFFF49D1"/>
    <w:rsid w:val="FFFF984A"/>
    <w:rsid w:val="FFFF9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adjustRightInd w:val="0"/>
      <w:snapToGrid w:val="0"/>
      <w:spacing w:line="440" w:lineRule="atLeast"/>
      <w:ind w:left="0" w:leftChars="0" w:firstLine="420" w:firstLineChars="200"/>
    </w:pPr>
    <w:rPr>
      <w:sz w:val="30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4">
    <w:name w:val="Body Text"/>
    <w:basedOn w:val="1"/>
    <w:next w:val="5"/>
    <w:qFormat/>
    <w:uiPriority w:val="0"/>
    <w:pPr>
      <w:widowControl w:val="0"/>
      <w:snapToGrid/>
      <w:spacing w:after="0"/>
      <w:jc w:val="center"/>
    </w:pPr>
    <w:rPr>
      <w:rFonts w:ascii="方正小标宋_GBK" w:hAnsi="Times New Roman" w:eastAsia="方正小标宋_GBK" w:cs="方正小标宋_GBK"/>
      <w:b/>
      <w:bCs/>
      <w:snapToGrid/>
      <w:kern w:val="2"/>
      <w:sz w:val="36"/>
      <w:szCs w:val="24"/>
      <w:lang w:val="en-US" w:eastAsia="zh-CN" w:bidi="ar-SA"/>
    </w:rPr>
  </w:style>
  <w:style w:type="paragraph" w:customStyle="1" w:styleId="5">
    <w:name w:val="Body Text 21"/>
    <w:basedOn w:val="1"/>
    <w:qFormat/>
    <w:uiPriority w:val="0"/>
    <w:pPr>
      <w:spacing w:after="120" w:afterLines="0" w:line="480" w:lineRule="auto"/>
    </w:pPr>
    <w:rPr>
      <w:rFonts w:ascii="Arial" w:hAnsi="Arial" w:cs="Times New Roman"/>
    </w:rPr>
  </w:style>
  <w:style w:type="paragraph" w:styleId="6">
    <w:name w:val="Balloon Text"/>
    <w:basedOn w:val="1"/>
    <w:link w:val="16"/>
    <w:semiHidden/>
    <w:qFormat/>
    <w:uiPriority w:val="99"/>
    <w:rPr>
      <w:rFonts w:ascii="Calibri" w:hAnsi="Calibri" w:eastAsia="宋体" w:cs="Calibri"/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Emphasis"/>
    <w:qFormat/>
    <w:uiPriority w:val="0"/>
    <w:rPr>
      <w:i/>
    </w:rPr>
  </w:style>
  <w:style w:type="paragraph" w:customStyle="1" w:styleId="12">
    <w:name w:val="BodyText1I2"/>
    <w:semiHidden/>
    <w:qFormat/>
    <w:uiPriority w:val="0"/>
    <w:pPr>
      <w:spacing w:after="120"/>
      <w:ind w:left="420" w:leftChars="200" w:firstLine="420" w:firstLineChars="200"/>
      <w:jc w:val="both"/>
      <w:textAlignment w:val="baseline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13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customStyle="1" w:styleId="14">
    <w:name w:val="页眉 Char"/>
    <w:basedOn w:val="10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7"/>
    <w:qFormat/>
    <w:uiPriority w:val="99"/>
    <w:rPr>
      <w:sz w:val="18"/>
      <w:szCs w:val="18"/>
    </w:rPr>
  </w:style>
  <w:style w:type="character" w:customStyle="1" w:styleId="16">
    <w:name w:val="批注框文本 Char"/>
    <w:basedOn w:val="10"/>
    <w:link w:val="6"/>
    <w:semiHidden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52</Pages>
  <Words>3893</Words>
  <Characters>22196</Characters>
  <Lines>184</Lines>
  <Paragraphs>52</Paragraphs>
  <TotalTime>0</TotalTime>
  <ScaleCrop>false</ScaleCrop>
  <LinksUpToDate>false</LinksUpToDate>
  <CharactersWithSpaces>26037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2020-02-05T09:25:00Z</dcterms:created>
  <dc:creator>胡蕴桐</dc:creator>
  <cp:lastModifiedBy> </cp:lastModifiedBy>
  <cp:lastPrinted>2026-04-28T10:44:00Z</cp:lastPrinted>
  <dcterms:modified xsi:type="dcterms:W3CDTF">2026-06-01T14:24:26Z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