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方正黑体_GBK" w:hAnsi="方正黑体_GBK" w:eastAsia="方正黑体_GBK" w:cs="方正黑体_GBK"/>
          <w:sz w:val="28"/>
          <w:szCs w:val="28"/>
          <w:lang w:val="en-US" w:eastAsia="zh-CN"/>
        </w:rPr>
      </w:pPr>
      <w:r>
        <w:rPr>
          <w:rFonts w:hint="eastAsia" w:ascii="方正黑体_GBK" w:hAnsi="方正黑体_GBK" w:eastAsia="方正黑体_GBK" w:cs="方正黑体_GBK"/>
          <w:sz w:val="28"/>
          <w:szCs w:val="28"/>
          <w:lang w:eastAsia="zh-CN"/>
        </w:rPr>
        <w:t>附件</w:t>
      </w:r>
      <w:r>
        <w:rPr>
          <w:rFonts w:hint="eastAsia" w:ascii="方正黑体_GBK" w:hAnsi="方正黑体_GBK" w:eastAsia="方正黑体_GBK" w:cs="方正黑体_GBK"/>
          <w:sz w:val="28"/>
          <w:szCs w:val="28"/>
          <w:lang w:val="en-US" w:eastAsia="zh-CN"/>
        </w:rPr>
        <w:t>1</w:t>
      </w:r>
    </w:p>
    <w:p>
      <w:pPr>
        <w:spacing w:line="560" w:lineRule="exact"/>
        <w:jc w:val="center"/>
        <w:rPr>
          <w:rFonts w:hint="eastAsia" w:ascii="方正小标宋简体" w:hAnsi="Calibri" w:eastAsia="方正小标宋简体"/>
          <w:bCs/>
          <w:color w:val="000000"/>
          <w:sz w:val="44"/>
          <w:szCs w:val="44"/>
        </w:rPr>
      </w:pPr>
    </w:p>
    <w:p>
      <w:pPr>
        <w:spacing w:line="560" w:lineRule="exact"/>
        <w:jc w:val="center"/>
        <w:rPr>
          <w:rFonts w:hint="eastAsia" w:ascii="方正小标宋简体" w:hAnsi="Calibri" w:eastAsia="方正小标宋简体"/>
          <w:bCs/>
          <w:color w:val="000000"/>
          <w:sz w:val="44"/>
          <w:szCs w:val="44"/>
          <w:lang w:eastAsia="zh-CN"/>
        </w:rPr>
      </w:pPr>
      <w:r>
        <w:rPr>
          <w:rFonts w:hint="eastAsia" w:ascii="方正小标宋简体" w:hAnsi="Calibri" w:eastAsia="方正小标宋简体"/>
          <w:bCs/>
          <w:color w:val="000000"/>
          <w:sz w:val="44"/>
          <w:szCs w:val="44"/>
        </w:rPr>
        <w:t>北京市发展改革部门行政处罚裁量基准</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（征求意见稿）</w:t>
      </w:r>
    </w:p>
    <w:p>
      <w:pPr>
        <w:spacing w:line="560" w:lineRule="exact"/>
        <w:ind w:firstLine="642" w:firstLineChars="200"/>
        <w:rPr>
          <w:rFonts w:hint="eastAsia" w:ascii="仿宋_GB2312" w:hAnsi="Calibri"/>
          <w:b/>
          <w:color w:val="000000"/>
          <w:szCs w:val="32"/>
        </w:rPr>
      </w:pPr>
    </w:p>
    <w:p>
      <w:pPr>
        <w:spacing w:line="560" w:lineRule="exact"/>
        <w:ind w:firstLine="642" w:firstLineChars="200"/>
        <w:rPr>
          <w:rFonts w:ascii="仿宋_GB2312" w:hAnsi="Calibri"/>
          <w:color w:val="000000"/>
          <w:szCs w:val="32"/>
        </w:rPr>
      </w:pPr>
      <w:r>
        <w:rPr>
          <w:rFonts w:hint="eastAsia" w:ascii="仿宋_GB2312" w:hAnsi="Calibri"/>
          <w:b/>
          <w:color w:val="000000"/>
          <w:szCs w:val="32"/>
        </w:rPr>
        <w:t xml:space="preserve">第一条 </w:t>
      </w:r>
      <w:r>
        <w:rPr>
          <w:rFonts w:hint="eastAsia" w:ascii="仿宋_GB2312" w:hAnsi="Calibri"/>
          <w:color w:val="000000"/>
          <w:szCs w:val="32"/>
        </w:rPr>
        <w:t>为规范本市发展改革部门各执法领域违法行为的行政处罚裁量权，依据国家、本市相关法律法规规章和有关文件规定，结合本市发展改革部门工作实际，</w:t>
      </w:r>
      <w:r>
        <w:rPr>
          <w:rFonts w:hint="eastAsia" w:ascii="仿宋_GB2312" w:hAnsi="Calibri"/>
          <w:color w:val="000000"/>
          <w:szCs w:val="32"/>
          <w:lang w:eastAsia="zh-CN"/>
        </w:rPr>
        <w:t>进一步完善</w:t>
      </w:r>
      <w:r>
        <w:t>《</w:t>
      </w:r>
      <w:r>
        <w:rPr>
          <w:rFonts w:hint="eastAsia"/>
        </w:rPr>
        <w:t>北京市</w:t>
      </w:r>
      <w:r>
        <w:t>发展改革</w:t>
      </w:r>
      <w:r>
        <w:rPr>
          <w:rFonts w:hint="eastAsia"/>
        </w:rPr>
        <w:t>部门</w:t>
      </w:r>
      <w:r>
        <w:t>行政处罚裁量基准》</w:t>
      </w:r>
      <w:r>
        <w:rPr>
          <w:rFonts w:hint="eastAsia"/>
        </w:rPr>
        <w:t>（以下</w:t>
      </w:r>
      <w:r>
        <w:t>简称《</w:t>
      </w:r>
      <w:r>
        <w:rPr>
          <w:rFonts w:hint="eastAsia"/>
        </w:rPr>
        <w:t>基准</w:t>
      </w:r>
      <w:r>
        <w:t>》</w:t>
      </w:r>
      <w:r>
        <w:rPr>
          <w:rFonts w:hint="eastAsia"/>
        </w:rPr>
        <w:t>）</w:t>
      </w:r>
      <w:r>
        <w:rPr>
          <w:rFonts w:hint="eastAsia" w:ascii="仿宋_GB2312" w:hAnsi="Calibri"/>
          <w:color w:val="000000"/>
          <w:szCs w:val="32"/>
        </w:rPr>
        <w:t>。</w:t>
      </w:r>
    </w:p>
    <w:p>
      <w:pPr>
        <w:spacing w:line="560" w:lineRule="exact"/>
        <w:ind w:firstLine="642" w:firstLineChars="200"/>
        <w:rPr>
          <w:rFonts w:hint="eastAsia" w:ascii="仿宋_GB2312" w:hAnsi="Calibri" w:eastAsia="仿宋_GB2312"/>
          <w:color w:val="000000"/>
          <w:szCs w:val="32"/>
          <w:lang w:eastAsia="zh-CN"/>
        </w:rPr>
      </w:pPr>
      <w:r>
        <w:rPr>
          <w:rFonts w:hint="eastAsia" w:ascii="仿宋_GB2312" w:hAnsi="Calibri"/>
          <w:b/>
          <w:color w:val="000000"/>
          <w:szCs w:val="32"/>
        </w:rPr>
        <w:t>第二条</w:t>
      </w:r>
      <w:r>
        <w:rPr>
          <w:rFonts w:hint="eastAsia" w:ascii="仿宋_GB2312" w:hAnsi="Calibri"/>
          <w:color w:val="000000"/>
          <w:szCs w:val="32"/>
        </w:rPr>
        <w:t xml:space="preserve"> 《基准》适用于本市发展改革部门依照法定职责对各类违法行为的行政处罚裁量。</w:t>
      </w:r>
      <w:r>
        <w:rPr>
          <w:rFonts w:hint="eastAsia" w:ascii="仿宋_GB2312" w:hAnsi="Calibri"/>
          <w:color w:val="000000"/>
          <w:szCs w:val="32"/>
        </w:rPr>
        <w:br w:type="textWrapping"/>
      </w:r>
      <w:bookmarkStart w:id="0" w:name="3"/>
      <w:bookmarkEnd w:id="0"/>
      <w:r>
        <w:rPr>
          <w:rFonts w:hint="eastAsia" w:ascii="仿宋_GB2312" w:hAnsi="Calibri"/>
          <w:color w:val="000000"/>
          <w:szCs w:val="32"/>
        </w:rPr>
        <w:t xml:space="preserve"> </w:t>
      </w:r>
      <w:r>
        <w:rPr>
          <w:rFonts w:hint="eastAsia" w:ascii="仿宋_GB2312" w:hAnsi="Calibri"/>
          <w:b/>
          <w:color w:val="000000"/>
          <w:szCs w:val="32"/>
        </w:rPr>
        <w:t xml:space="preserve">   第三条</w:t>
      </w:r>
      <w:r>
        <w:rPr>
          <w:rFonts w:hint="eastAsia" w:ascii="仿宋_GB2312" w:hAnsi="Calibri"/>
          <w:color w:val="000000"/>
          <w:szCs w:val="32"/>
        </w:rPr>
        <w:t xml:space="preserve"> </w:t>
      </w:r>
      <w:bookmarkStart w:id="1" w:name="4"/>
      <w:bookmarkEnd w:id="1"/>
      <w:r>
        <w:rPr>
          <w:rFonts w:hint="eastAsia" w:ascii="仿宋_GB2312" w:hAnsi="Calibri"/>
          <w:color w:val="000000"/>
          <w:szCs w:val="32"/>
        </w:rPr>
        <w:t>《基准》执法主体除境外投资项目备案、价格鉴定和工程咨询领域执法为市级发展改革部门外，企业投资项目核准和备案、节能和循环经济、价格监测和招投标领域执法均为市、区两级发展改革部门。</w:t>
      </w:r>
      <w:r>
        <w:rPr>
          <w:rFonts w:hint="eastAsia" w:ascii="仿宋_GB2312" w:hAnsi="Calibri"/>
          <w:color w:val="000000"/>
          <w:szCs w:val="32"/>
        </w:rPr>
        <w:br w:type="textWrapping"/>
      </w:r>
      <w:r>
        <w:rPr>
          <w:rFonts w:hint="eastAsia" w:ascii="仿宋_GB2312" w:hAnsi="Calibri"/>
          <w:color w:val="000000"/>
          <w:szCs w:val="32"/>
        </w:rPr>
        <w:t xml:space="preserve">  </w:t>
      </w:r>
      <w:r>
        <w:rPr>
          <w:rFonts w:hint="eastAsia" w:ascii="仿宋_GB2312" w:hAnsi="Calibri"/>
          <w:b/>
          <w:color w:val="000000"/>
          <w:szCs w:val="32"/>
        </w:rPr>
        <w:t xml:space="preserve">  第四条</w:t>
      </w:r>
      <w:r>
        <w:rPr>
          <w:rFonts w:hint="eastAsia" w:ascii="仿宋_GB2312" w:hAnsi="Calibri"/>
          <w:color w:val="000000"/>
          <w:szCs w:val="32"/>
        </w:rPr>
        <w:t xml:space="preserve"> 《基准》中各类违法行为依据社会危害性划定为A、B、C三个基础裁量档。其中：“违法行为本身社会危害性严重的”对应A档，“违法行为本身社会危害性一般的”对应B档，“违法行为本身社会危害性轻微的”对应C档。每一裁量档内根据违法情节轻重划分多个处罚裁量阶，违法情节由轻到重、处罚阶次由低到高排列。具体裁量基准详见《行政处罚裁量基准表》（见附件）</w:t>
      </w:r>
      <w:bookmarkStart w:id="2" w:name="5"/>
      <w:bookmarkEnd w:id="2"/>
      <w:r>
        <w:rPr>
          <w:rFonts w:hint="eastAsia" w:ascii="仿宋_GB2312" w:hAnsi="Calibri"/>
          <w:color w:val="000000"/>
          <w:szCs w:val="32"/>
          <w:lang w:eastAsia="zh-CN"/>
        </w:rPr>
        <w:t>。</w:t>
      </w:r>
    </w:p>
    <w:p>
      <w:pPr>
        <w:spacing w:line="560" w:lineRule="exact"/>
        <w:ind w:firstLine="642" w:firstLineChars="200"/>
        <w:rPr>
          <w:rFonts w:ascii="仿宋_GB2312" w:hAnsi="Calibri"/>
          <w:color w:val="000000"/>
          <w:szCs w:val="32"/>
        </w:rPr>
      </w:pPr>
      <w:bookmarkStart w:id="3" w:name="6"/>
      <w:bookmarkEnd w:id="3"/>
      <w:r>
        <w:rPr>
          <w:rFonts w:hint="eastAsia" w:ascii="仿宋_GB2312" w:hAnsi="Calibri"/>
          <w:b/>
          <w:color w:val="000000"/>
          <w:szCs w:val="32"/>
        </w:rPr>
        <w:t>第五条</w:t>
      </w:r>
      <w:r>
        <w:rPr>
          <w:rFonts w:hint="eastAsia" w:ascii="仿宋_GB2312" w:hAnsi="Calibri"/>
          <w:color w:val="000000"/>
          <w:szCs w:val="32"/>
        </w:rPr>
        <w:t xml:space="preserve"> 实施行政处罚应当综合考虑法律依据、违法事实、性质、情节、社会危害程度等相关因素，同时应当对行为人是否具有依法从轻、减轻、从重等情形进行全面分析，综合判断后确定行政处罚的种类和幅度，作出相应的处理决定。</w:t>
      </w:r>
      <w:r>
        <w:rPr>
          <w:rFonts w:hint="eastAsia" w:ascii="仿宋_GB2312" w:hAnsi="Calibri"/>
          <w:color w:val="000000"/>
          <w:szCs w:val="32"/>
        </w:rPr>
        <w:br w:type="textWrapping"/>
      </w:r>
      <w:bookmarkStart w:id="4" w:name="7"/>
      <w:bookmarkEnd w:id="4"/>
      <w:r>
        <w:rPr>
          <w:rFonts w:hint="eastAsia" w:ascii="仿宋_GB2312" w:hAnsi="Calibri"/>
          <w:color w:val="000000"/>
          <w:szCs w:val="32"/>
        </w:rPr>
        <w:t xml:space="preserve">   </w:t>
      </w:r>
      <w:r>
        <w:rPr>
          <w:rFonts w:hint="eastAsia" w:ascii="仿宋_GB2312" w:hAnsi="Calibri"/>
          <w:b/>
          <w:color w:val="000000"/>
          <w:szCs w:val="32"/>
        </w:rPr>
        <w:t xml:space="preserve"> 第六条</w:t>
      </w:r>
      <w:r>
        <w:rPr>
          <w:rFonts w:hint="eastAsia" w:ascii="仿宋_GB2312" w:hAnsi="Calibri"/>
          <w:color w:val="000000"/>
          <w:szCs w:val="32"/>
        </w:rPr>
        <w:t xml:space="preserve"> 实施行政处罚裁量，在同一时期对违法事实、性质、情节及社会危害程度等因素基本相同或者类似的违法行为，所适用的法律依据、裁量情形、处罚种类和裁量基准应当基本相同。</w:t>
      </w:r>
    </w:p>
    <w:p>
      <w:pPr>
        <w:spacing w:line="560" w:lineRule="exact"/>
        <w:ind w:firstLine="642" w:firstLineChars="200"/>
        <w:rPr>
          <w:rFonts w:ascii="仿宋_GB2312" w:hAnsi="Calibri"/>
          <w:color w:val="000000"/>
          <w:szCs w:val="32"/>
        </w:rPr>
      </w:pPr>
      <w:r>
        <w:rPr>
          <w:rFonts w:hint="eastAsia" w:ascii="仿宋_GB2312" w:hAnsi="Calibri"/>
          <w:b/>
          <w:color w:val="000000"/>
          <w:szCs w:val="32"/>
        </w:rPr>
        <w:t>第七条</w:t>
      </w:r>
      <w:r>
        <w:rPr>
          <w:rFonts w:hint="eastAsia" w:ascii="仿宋_GB2312" w:hAnsi="Calibri"/>
          <w:color w:val="000000"/>
          <w:szCs w:val="32"/>
        </w:rPr>
        <w:t xml:space="preserve"> 当事人有下列情形之一的，应当依法不予行政处罚：</w:t>
      </w:r>
      <w:r>
        <w:rPr>
          <w:rFonts w:hint="eastAsia" w:ascii="仿宋_GB2312" w:hAnsi="Calibri"/>
          <w:color w:val="000000"/>
          <w:szCs w:val="32"/>
        </w:rPr>
        <w:br w:type="textWrapping"/>
      </w:r>
      <w:r>
        <w:rPr>
          <w:rFonts w:hint="eastAsia" w:ascii="仿宋_GB2312" w:hAnsi="Calibri"/>
          <w:color w:val="000000"/>
          <w:szCs w:val="32"/>
        </w:rPr>
        <w:t xml:space="preserve">   （一）法律规定不予处罚的主体；</w:t>
      </w:r>
      <w:r>
        <w:rPr>
          <w:rFonts w:hint="eastAsia" w:ascii="仿宋_GB2312" w:hAnsi="Calibri"/>
          <w:color w:val="000000"/>
          <w:szCs w:val="32"/>
        </w:rPr>
        <w:br w:type="textWrapping"/>
      </w:r>
      <w:r>
        <w:rPr>
          <w:rFonts w:hint="eastAsia" w:ascii="仿宋_GB2312" w:hAnsi="Calibri"/>
          <w:color w:val="000000"/>
          <w:szCs w:val="32"/>
        </w:rPr>
        <w:t xml:space="preserve">   （二）违法行为轻微并及时纠正，没有造成危害后果的；</w:t>
      </w:r>
      <w:r>
        <w:rPr>
          <w:rFonts w:hint="eastAsia" w:ascii="仿宋_GB2312" w:hAnsi="Calibri"/>
          <w:color w:val="000000"/>
          <w:szCs w:val="32"/>
        </w:rPr>
        <w:br w:type="textWrapping"/>
      </w:r>
      <w:r>
        <w:rPr>
          <w:rFonts w:hint="eastAsia" w:ascii="仿宋_GB2312" w:hAnsi="Calibri"/>
          <w:color w:val="000000"/>
          <w:szCs w:val="32"/>
        </w:rPr>
        <w:t xml:space="preserve">   （三）违法行为在二年内未被发现的，但法律另有规定的除外；</w:t>
      </w:r>
      <w:r>
        <w:rPr>
          <w:rFonts w:hint="eastAsia" w:ascii="仿宋_GB2312" w:hAnsi="Calibri"/>
          <w:color w:val="000000"/>
          <w:szCs w:val="32"/>
        </w:rPr>
        <w:br w:type="textWrapping"/>
      </w:r>
      <w:r>
        <w:rPr>
          <w:rFonts w:hint="eastAsia" w:ascii="仿宋_GB2312" w:hAnsi="Calibri"/>
          <w:color w:val="000000"/>
          <w:szCs w:val="32"/>
        </w:rPr>
        <w:t xml:space="preserve">   （四）其他依法不予行政处罚的情形。</w:t>
      </w:r>
    </w:p>
    <w:p>
      <w:pPr>
        <w:spacing w:line="560" w:lineRule="exact"/>
        <w:ind w:firstLine="642" w:firstLineChars="200"/>
        <w:rPr>
          <w:rFonts w:ascii="仿宋_GB2312" w:hAnsi="Calibri"/>
          <w:b/>
          <w:color w:val="000000"/>
          <w:szCs w:val="32"/>
        </w:rPr>
      </w:pPr>
      <w:r>
        <w:rPr>
          <w:rFonts w:hint="eastAsia" w:ascii="仿宋_GB2312" w:hAnsi="Calibri"/>
          <w:b/>
          <w:color w:val="000000"/>
          <w:szCs w:val="32"/>
        </w:rPr>
        <w:t xml:space="preserve">第八条 </w:t>
      </w:r>
      <w:r>
        <w:rPr>
          <w:rFonts w:ascii="仿宋_GB2312" w:hAnsi="Calibri"/>
          <w:color w:val="000000"/>
          <w:szCs w:val="32"/>
        </w:rPr>
        <w:t xml:space="preserve"> </w:t>
      </w:r>
      <w:r>
        <w:rPr>
          <w:rFonts w:hint="eastAsia" w:ascii="仿宋_GB2312" w:hAnsi="Calibri"/>
          <w:color w:val="000000"/>
          <w:szCs w:val="32"/>
        </w:rPr>
        <w:t>初次违法且危害后果轻微并及时改正的，可以不予行政处罚。要综合考量当事人的主观过错，涉案金额或者财务数量，违法行为社会危害性、发生频次以及影响范围等违法情节确定不予行政处罚的适用情形。</w:t>
      </w:r>
      <w:bookmarkStart w:id="5" w:name="8"/>
      <w:bookmarkEnd w:id="5"/>
      <w:r>
        <w:rPr>
          <w:rFonts w:hint="eastAsia" w:ascii="仿宋_GB2312" w:hAnsi="Calibri"/>
          <w:color w:val="000000"/>
          <w:szCs w:val="32"/>
        </w:rPr>
        <w:t xml:space="preserve"> </w:t>
      </w:r>
      <w:bookmarkStart w:id="6" w:name="9"/>
      <w:bookmarkEnd w:id="6"/>
      <w:r>
        <w:rPr>
          <w:rFonts w:hint="eastAsia" w:ascii="仿宋_GB2312" w:hAnsi="Calibri"/>
          <w:color w:val="000000"/>
          <w:szCs w:val="32"/>
        </w:rPr>
        <w:t xml:space="preserve"> </w:t>
      </w:r>
      <w:r>
        <w:rPr>
          <w:rFonts w:hint="eastAsia" w:ascii="仿宋_GB2312" w:hAnsi="Calibri"/>
          <w:b/>
          <w:color w:val="000000"/>
          <w:szCs w:val="32"/>
        </w:rPr>
        <w:t xml:space="preserve">  </w:t>
      </w:r>
    </w:p>
    <w:p>
      <w:pPr>
        <w:spacing w:line="560" w:lineRule="exact"/>
        <w:ind w:firstLine="642" w:firstLineChars="200"/>
        <w:rPr>
          <w:rFonts w:ascii="仿宋_GB2312" w:hAnsi="Calibri"/>
          <w:color w:val="000000"/>
          <w:szCs w:val="32"/>
        </w:rPr>
      </w:pPr>
      <w:r>
        <w:rPr>
          <w:rFonts w:hint="eastAsia" w:ascii="仿宋_GB2312" w:hAnsi="Calibri"/>
          <w:b/>
          <w:color w:val="000000"/>
          <w:szCs w:val="32"/>
        </w:rPr>
        <w:t>第九条</w:t>
      </w:r>
      <w:r>
        <w:rPr>
          <w:rFonts w:hint="eastAsia" w:ascii="仿宋_GB2312" w:hAnsi="Calibri"/>
          <w:color w:val="000000"/>
          <w:szCs w:val="32"/>
        </w:rPr>
        <w:t xml:space="preserve"> 当事人有下列情形之一的，应当依法从轻或者减轻行政处罚：</w:t>
      </w:r>
      <w:r>
        <w:rPr>
          <w:rFonts w:hint="eastAsia" w:ascii="仿宋_GB2312" w:hAnsi="Calibri"/>
          <w:color w:val="000000"/>
          <w:szCs w:val="32"/>
        </w:rPr>
        <w:br w:type="textWrapping"/>
      </w:r>
      <w:r>
        <w:rPr>
          <w:rFonts w:hint="eastAsia" w:ascii="仿宋_GB2312" w:hAnsi="Calibri"/>
          <w:color w:val="000000"/>
          <w:szCs w:val="32"/>
        </w:rPr>
        <w:t xml:space="preserve">    （一）已满十四周岁不满十八周岁的未成年人有违法行为的；</w:t>
      </w:r>
      <w:r>
        <w:rPr>
          <w:rFonts w:hint="eastAsia" w:ascii="仿宋_GB2312" w:hAnsi="Calibri"/>
          <w:color w:val="000000"/>
          <w:szCs w:val="32"/>
        </w:rPr>
        <w:br w:type="textWrapping"/>
      </w:r>
      <w:r>
        <w:rPr>
          <w:rFonts w:hint="eastAsia" w:ascii="仿宋_GB2312" w:hAnsi="Calibri"/>
          <w:color w:val="000000"/>
          <w:szCs w:val="32"/>
        </w:rPr>
        <w:t xml:space="preserve">    </w:t>
      </w:r>
      <w:bookmarkStart w:id="7" w:name="10"/>
      <w:bookmarkEnd w:id="7"/>
      <w:r>
        <w:rPr>
          <w:rFonts w:hint="eastAsia" w:ascii="仿宋_GB2312" w:hAnsi="Calibri"/>
          <w:color w:val="000000"/>
          <w:szCs w:val="32"/>
        </w:rPr>
        <w:t>（二）主动消除或者减轻违法行为危害后果的；</w:t>
      </w:r>
    </w:p>
    <w:p>
      <w:pPr>
        <w:spacing w:line="560" w:lineRule="exact"/>
        <w:ind w:firstLine="640" w:firstLineChars="200"/>
        <w:rPr>
          <w:rFonts w:ascii="仿宋_GB2312" w:hAnsi="Calibri"/>
          <w:color w:val="000000"/>
          <w:szCs w:val="32"/>
        </w:rPr>
      </w:pPr>
      <w:r>
        <w:rPr>
          <w:rFonts w:hint="eastAsia" w:ascii="仿宋_GB2312" w:hAnsi="Calibri"/>
          <w:color w:val="000000"/>
          <w:szCs w:val="32"/>
        </w:rPr>
        <w:t>（三）受他人胁迫或者诱骗实施违法行为的；</w:t>
      </w:r>
    </w:p>
    <w:p>
      <w:pPr>
        <w:spacing w:line="560" w:lineRule="exact"/>
        <w:ind w:firstLine="640" w:firstLineChars="200"/>
        <w:rPr>
          <w:rFonts w:ascii="仿宋_GB2312" w:hAnsi="Calibri"/>
          <w:color w:val="000000"/>
          <w:szCs w:val="32"/>
        </w:rPr>
      </w:pPr>
      <w:r>
        <w:rPr>
          <w:rFonts w:hint="eastAsia" w:ascii="仿宋_GB2312" w:hAnsi="Calibri"/>
          <w:color w:val="000000"/>
          <w:szCs w:val="32"/>
        </w:rPr>
        <w:t>（四）主动供述行政机关尚未掌握的违法行为的；</w:t>
      </w:r>
    </w:p>
    <w:p>
      <w:pPr>
        <w:spacing w:line="560" w:lineRule="exact"/>
        <w:ind w:firstLine="640" w:firstLineChars="200"/>
        <w:rPr>
          <w:rFonts w:ascii="仿宋_GB2312" w:hAnsi="Calibri"/>
          <w:color w:val="000000"/>
          <w:szCs w:val="32"/>
        </w:rPr>
      </w:pPr>
      <w:r>
        <w:rPr>
          <w:rFonts w:hint="eastAsia" w:ascii="仿宋_GB2312" w:hAnsi="Calibri"/>
          <w:color w:val="000000"/>
          <w:szCs w:val="32"/>
        </w:rPr>
        <w:t>（五）配合行政机关查处违法行为有立功表现的；</w:t>
      </w:r>
    </w:p>
    <w:p>
      <w:pPr>
        <w:spacing w:line="560" w:lineRule="exact"/>
        <w:ind w:firstLine="640" w:firstLineChars="200"/>
        <w:rPr>
          <w:rFonts w:ascii="仿宋_GB2312" w:hAnsi="Calibri"/>
          <w:b/>
          <w:color w:val="000000"/>
          <w:szCs w:val="32"/>
        </w:rPr>
      </w:pPr>
      <w:r>
        <w:rPr>
          <w:rFonts w:hint="eastAsia" w:ascii="仿宋_GB2312" w:hAnsi="Calibri"/>
          <w:color w:val="000000"/>
          <w:szCs w:val="32"/>
        </w:rPr>
        <w:t xml:space="preserve">（六）法律、法规、规章规定其他应当从轻或者减轻行政处罚的。  </w:t>
      </w:r>
      <w:r>
        <w:rPr>
          <w:rFonts w:hint="eastAsia" w:ascii="仿宋_GB2312" w:hAnsi="Calibri"/>
          <w:b/>
          <w:color w:val="000000"/>
          <w:szCs w:val="32"/>
        </w:rPr>
        <w:t xml:space="preserve"> </w:t>
      </w:r>
    </w:p>
    <w:p>
      <w:pPr>
        <w:spacing w:line="560" w:lineRule="exact"/>
        <w:ind w:firstLine="642" w:firstLineChars="200"/>
        <w:rPr>
          <w:rFonts w:ascii="仿宋_GB2312" w:hAnsi="Calibri"/>
          <w:color w:val="000000"/>
          <w:szCs w:val="32"/>
        </w:rPr>
      </w:pPr>
      <w:r>
        <w:rPr>
          <w:rFonts w:hint="eastAsia" w:ascii="仿宋_GB2312" w:hAnsi="Calibri"/>
          <w:b/>
          <w:color w:val="000000"/>
          <w:szCs w:val="32"/>
        </w:rPr>
        <w:t xml:space="preserve"> 第十条</w:t>
      </w:r>
      <w:r>
        <w:rPr>
          <w:rFonts w:hint="eastAsia" w:ascii="仿宋_GB2312" w:hAnsi="Calibri"/>
          <w:color w:val="000000"/>
          <w:szCs w:val="32"/>
        </w:rPr>
        <w:t xml:space="preserve"> 当事人有下列情形之一的，应当依法从重处罚：</w:t>
      </w:r>
      <w:r>
        <w:rPr>
          <w:rFonts w:hint="eastAsia" w:ascii="仿宋_GB2312" w:hAnsi="Calibri"/>
          <w:color w:val="000000"/>
          <w:szCs w:val="32"/>
        </w:rPr>
        <w:br w:type="textWrapping"/>
      </w:r>
      <w:r>
        <w:rPr>
          <w:rFonts w:hint="eastAsia" w:ascii="仿宋_GB2312" w:hAnsi="Calibri"/>
          <w:color w:val="000000"/>
          <w:szCs w:val="32"/>
        </w:rPr>
        <w:t xml:space="preserve">    （一）违法行为严重或者社会影响较大的；</w:t>
      </w:r>
      <w:r>
        <w:rPr>
          <w:rFonts w:hint="eastAsia" w:ascii="仿宋_GB2312" w:hAnsi="Calibri"/>
          <w:color w:val="000000"/>
          <w:szCs w:val="32"/>
        </w:rPr>
        <w:br w:type="textWrapping"/>
      </w:r>
      <w:r>
        <w:rPr>
          <w:rFonts w:hint="eastAsia" w:ascii="仿宋_GB2312" w:hAnsi="Calibri"/>
          <w:color w:val="000000"/>
          <w:szCs w:val="32"/>
        </w:rPr>
        <w:t xml:space="preserve">    （二）多次实施违法行为的；</w:t>
      </w:r>
    </w:p>
    <w:p>
      <w:pPr>
        <w:spacing w:line="560" w:lineRule="exact"/>
        <w:ind w:firstLine="640" w:firstLineChars="200"/>
        <w:rPr>
          <w:rFonts w:ascii="仿宋_GB2312" w:hAnsi="Calibri"/>
          <w:color w:val="000000"/>
          <w:szCs w:val="32"/>
        </w:rPr>
      </w:pPr>
      <w:r>
        <w:rPr>
          <w:rFonts w:hint="eastAsia" w:ascii="仿宋_GB2312" w:hAnsi="Calibri"/>
          <w:color w:val="000000"/>
          <w:szCs w:val="32"/>
        </w:rPr>
        <w:t>（三）经行政执法机关告诫或者责令改正，继续实施违法行为的；</w:t>
      </w:r>
      <w:r>
        <w:rPr>
          <w:rFonts w:hint="eastAsia" w:ascii="仿宋_GB2312" w:hAnsi="Calibri"/>
          <w:color w:val="000000"/>
          <w:szCs w:val="32"/>
        </w:rPr>
        <w:br w:type="textWrapping"/>
      </w:r>
      <w:r>
        <w:rPr>
          <w:rFonts w:hint="eastAsia" w:ascii="仿宋_GB2312" w:hAnsi="Calibri"/>
          <w:color w:val="000000"/>
          <w:szCs w:val="32"/>
        </w:rPr>
        <w:t xml:space="preserve">    （四）伪造、涂改或者转移、销毁证据的；</w:t>
      </w:r>
    </w:p>
    <w:p>
      <w:pPr>
        <w:spacing w:line="560" w:lineRule="exact"/>
        <w:ind w:firstLine="640" w:firstLineChars="200"/>
        <w:rPr>
          <w:rFonts w:ascii="仿宋_GB2312" w:hAnsi="Calibri"/>
          <w:color w:val="000000"/>
          <w:szCs w:val="32"/>
        </w:rPr>
      </w:pPr>
      <w:r>
        <w:rPr>
          <w:rFonts w:hint="eastAsia" w:ascii="仿宋_GB2312" w:hAnsi="Calibri"/>
          <w:color w:val="000000"/>
          <w:szCs w:val="32"/>
        </w:rPr>
        <w:t>（五）拒绝、阻碍或者以暴力威胁执法人员查处违法行为的；</w:t>
      </w:r>
      <w:r>
        <w:rPr>
          <w:rFonts w:hint="eastAsia" w:ascii="仿宋_GB2312" w:hAnsi="Calibri"/>
          <w:color w:val="000000"/>
          <w:szCs w:val="32"/>
        </w:rPr>
        <w:br w:type="textWrapping"/>
      </w:r>
      <w:r>
        <w:rPr>
          <w:rFonts w:hint="eastAsia" w:ascii="仿宋_GB2312" w:hAnsi="Calibri"/>
          <w:color w:val="000000"/>
          <w:szCs w:val="32"/>
        </w:rPr>
        <w:t xml:space="preserve">    （六）在共同违法行为中起主要作用或者胁迫、诱骗他人实施违法行为的；</w:t>
      </w:r>
      <w:r>
        <w:rPr>
          <w:rFonts w:hint="eastAsia" w:ascii="仿宋_GB2312" w:hAnsi="Calibri"/>
          <w:color w:val="000000"/>
          <w:szCs w:val="32"/>
        </w:rPr>
        <w:br w:type="textWrapping"/>
      </w:r>
      <w:r>
        <w:rPr>
          <w:rFonts w:hint="eastAsia" w:ascii="仿宋_GB2312" w:hAnsi="Calibri"/>
          <w:color w:val="000000"/>
          <w:szCs w:val="32"/>
        </w:rPr>
        <w:t xml:space="preserve">     （七）其他依法从重处罚的情形。</w:t>
      </w:r>
    </w:p>
    <w:p>
      <w:pPr>
        <w:spacing w:line="560" w:lineRule="exact"/>
        <w:ind w:firstLine="642" w:firstLineChars="200"/>
        <w:rPr>
          <w:rFonts w:ascii="仿宋_GB2312" w:hAnsi="Calibri"/>
          <w:color w:val="000000"/>
          <w:szCs w:val="32"/>
        </w:rPr>
      </w:pPr>
      <w:r>
        <w:rPr>
          <w:rFonts w:hint="eastAsia" w:ascii="仿宋_GB2312" w:hAnsi="Calibri"/>
          <w:b/>
          <w:color w:val="000000"/>
          <w:szCs w:val="32"/>
        </w:rPr>
        <w:t>第十一条</w:t>
      </w:r>
      <w:r>
        <w:rPr>
          <w:rFonts w:hint="eastAsia" w:ascii="仿宋_GB2312" w:hAnsi="Calibri"/>
          <w:color w:val="000000"/>
          <w:szCs w:val="32"/>
        </w:rPr>
        <w:t xml:space="preserve"> 《行政处罚裁量基准表》裁量情形中规定了不予行政处罚情形的，可以结合第七条规定不予行政处罚；没有规定具体不予行政处罚情形的依据第七条的规定不予行政处罚。</w:t>
      </w:r>
    </w:p>
    <w:p>
      <w:pPr>
        <w:spacing w:line="560" w:lineRule="exact"/>
        <w:ind w:firstLine="640" w:firstLineChars="200"/>
        <w:rPr>
          <w:rFonts w:ascii="仿宋_GB2312" w:hAnsi="Calibri"/>
          <w:color w:val="000000"/>
          <w:szCs w:val="32"/>
        </w:rPr>
      </w:pPr>
      <w:r>
        <w:rPr>
          <w:rFonts w:hint="eastAsia" w:ascii="仿宋_GB2312" w:hAnsi="Calibri"/>
          <w:color w:val="000000"/>
          <w:szCs w:val="32"/>
        </w:rPr>
        <w:t>对当事人的违法行为依法不予行政处罚的，应当通过说服教育、警示告诫、指导约谈等措施教育、引导、督促当事人依法依规开展相关活动。</w:t>
      </w:r>
    </w:p>
    <w:p>
      <w:pPr>
        <w:spacing w:line="560" w:lineRule="exact"/>
        <w:ind w:firstLine="642" w:firstLineChars="200"/>
        <w:rPr>
          <w:rFonts w:ascii="仿宋_GB2312" w:hAnsi="Calibri"/>
          <w:color w:val="000000"/>
          <w:szCs w:val="32"/>
        </w:rPr>
      </w:pPr>
      <w:r>
        <w:rPr>
          <w:rFonts w:hint="eastAsia" w:ascii="仿宋_GB2312" w:hAnsi="Calibri"/>
          <w:b/>
          <w:color w:val="000000"/>
          <w:szCs w:val="32"/>
        </w:rPr>
        <w:t xml:space="preserve">第十二条 </w:t>
      </w:r>
      <w:r>
        <w:rPr>
          <w:rFonts w:hint="eastAsia" w:ascii="仿宋_GB2312" w:hAnsi="Calibri"/>
          <w:color w:val="000000"/>
          <w:szCs w:val="32"/>
        </w:rPr>
        <w:t>《行政处罚裁量基准表》裁量情形中规定了具体从轻、减轻情形的，可以结合第九条规定从轻、减轻处罚；没有规定具体从轻、减轻情形的依据第九条的规定从轻或者减轻行政处罚。</w:t>
      </w:r>
    </w:p>
    <w:p>
      <w:pPr>
        <w:spacing w:line="560" w:lineRule="exact"/>
        <w:ind w:firstLine="642" w:firstLineChars="200"/>
        <w:rPr>
          <w:rFonts w:ascii="仿宋_GB2312" w:hAnsi="Calibri"/>
          <w:color w:val="000000"/>
          <w:szCs w:val="32"/>
        </w:rPr>
      </w:pPr>
      <w:r>
        <w:rPr>
          <w:rFonts w:hint="eastAsia" w:ascii="仿宋_GB2312" w:hAnsi="Calibri"/>
          <w:b/>
          <w:color w:val="000000"/>
          <w:szCs w:val="32"/>
        </w:rPr>
        <w:t xml:space="preserve">第十三条 </w:t>
      </w:r>
      <w:r>
        <w:rPr>
          <w:rFonts w:hint="eastAsia" w:ascii="仿宋_GB2312" w:hAnsi="Calibri"/>
          <w:color w:val="000000"/>
          <w:szCs w:val="32"/>
        </w:rPr>
        <w:t>《行政处罚裁量基准表》裁量情形中规定了具体从重情形的，可以结合第十条规定从重处罚。没有规定具体从重情形的，依据第十条的规定从重处罚。</w:t>
      </w:r>
    </w:p>
    <w:p>
      <w:pPr>
        <w:spacing w:line="560" w:lineRule="exact"/>
        <w:ind w:firstLine="642" w:firstLineChars="200"/>
        <w:rPr>
          <w:rFonts w:ascii="仿宋_GB2312" w:hAnsi="Calibri"/>
          <w:color w:val="000000"/>
          <w:szCs w:val="32"/>
        </w:rPr>
      </w:pPr>
      <w:bookmarkStart w:id="8" w:name="16"/>
      <w:bookmarkEnd w:id="8"/>
      <w:bookmarkStart w:id="9" w:name="11"/>
      <w:bookmarkEnd w:id="9"/>
      <w:r>
        <w:rPr>
          <w:rFonts w:hint="eastAsia" w:ascii="仿宋_GB2312" w:hAnsi="Calibri"/>
          <w:b/>
          <w:color w:val="000000"/>
          <w:szCs w:val="32"/>
        </w:rPr>
        <w:t>第十四条</w:t>
      </w:r>
      <w:r>
        <w:rPr>
          <w:rFonts w:hint="eastAsia" w:ascii="仿宋_GB2312" w:hAnsi="Calibri"/>
          <w:color w:val="000000"/>
          <w:szCs w:val="32"/>
        </w:rPr>
        <w:t xml:space="preserve"> 当事人不具有从轻、减轻处罚或者从重处罚情形的，应当予以一般处罚。</w:t>
      </w:r>
      <w:r>
        <w:rPr>
          <w:rFonts w:hint="eastAsia" w:ascii="仿宋_GB2312" w:hAnsi="Calibri"/>
          <w:color w:val="000000"/>
          <w:szCs w:val="32"/>
        </w:rPr>
        <w:br w:type="textWrapping"/>
      </w:r>
      <w:bookmarkStart w:id="10" w:name="17"/>
      <w:bookmarkEnd w:id="10"/>
      <w:r>
        <w:rPr>
          <w:rFonts w:hint="eastAsia" w:ascii="仿宋_GB2312" w:hAnsi="Calibri"/>
          <w:color w:val="000000"/>
          <w:szCs w:val="32"/>
        </w:rPr>
        <w:t xml:space="preserve">    </w:t>
      </w:r>
      <w:r>
        <w:rPr>
          <w:rFonts w:hint="eastAsia" w:ascii="仿宋_GB2312" w:hAnsi="Calibri"/>
          <w:b/>
          <w:color w:val="000000"/>
          <w:szCs w:val="32"/>
        </w:rPr>
        <w:t>第十五条</w:t>
      </w:r>
      <w:r>
        <w:rPr>
          <w:rFonts w:hint="eastAsia" w:ascii="仿宋_GB2312" w:hAnsi="Calibri"/>
          <w:color w:val="000000"/>
          <w:szCs w:val="32"/>
        </w:rPr>
        <w:t xml:space="preserve"> 情节复杂或者</w:t>
      </w:r>
      <w:r>
        <w:rPr>
          <w:rFonts w:hint="eastAsia" w:ascii="仿宋_GB2312" w:hAnsi="Calibri"/>
          <w:color w:val="000000"/>
          <w:szCs w:val="32"/>
          <w:lang w:eastAsia="zh-CN"/>
        </w:rPr>
        <w:t>重大违法行为</w:t>
      </w:r>
      <w:r>
        <w:rPr>
          <w:rFonts w:hint="eastAsia" w:ascii="仿宋_GB2312" w:hAnsi="Calibri"/>
          <w:color w:val="000000"/>
          <w:szCs w:val="32"/>
        </w:rPr>
        <w:t>给予行政处罚的案件，应当</w:t>
      </w:r>
      <w:r>
        <w:rPr>
          <w:rFonts w:hint="eastAsia" w:ascii="仿宋_GB2312" w:hAnsi="Calibri"/>
          <w:color w:val="000000"/>
          <w:szCs w:val="32"/>
          <w:lang w:eastAsia="zh-CN"/>
        </w:rPr>
        <w:t>按照相关规定</w:t>
      </w:r>
      <w:r>
        <w:rPr>
          <w:rFonts w:hint="eastAsia" w:ascii="仿宋_GB2312" w:hAnsi="Calibri"/>
          <w:color w:val="000000"/>
          <w:szCs w:val="32"/>
        </w:rPr>
        <w:t>提请委主任办公会或者党组会集体讨论决定裁量情形和裁量基准适用。情节复杂或者</w:t>
      </w:r>
      <w:r>
        <w:rPr>
          <w:rFonts w:hint="eastAsia" w:ascii="仿宋_GB2312" w:hAnsi="Calibri"/>
          <w:color w:val="000000"/>
          <w:szCs w:val="32"/>
          <w:lang w:eastAsia="zh-CN"/>
        </w:rPr>
        <w:t>重大违法行为</w:t>
      </w:r>
      <w:r>
        <w:rPr>
          <w:rFonts w:hint="eastAsia" w:ascii="仿宋_GB2312" w:hAnsi="Calibri"/>
          <w:color w:val="000000"/>
          <w:szCs w:val="32"/>
        </w:rPr>
        <w:t>给予行政处罚的案件认定标准参照《北京市发展改革系统重大执法决定法治审核目录》相关规定执行。</w:t>
      </w:r>
    </w:p>
    <w:p>
      <w:pPr>
        <w:spacing w:line="560" w:lineRule="exact"/>
        <w:ind w:firstLine="640" w:firstLineChars="200"/>
        <w:rPr>
          <w:rFonts w:ascii="仿宋_GB2312" w:hAnsi="Calibri"/>
          <w:color w:val="000000"/>
          <w:szCs w:val="32"/>
        </w:rPr>
      </w:pPr>
      <w:r>
        <w:rPr>
          <w:rFonts w:hint="eastAsia" w:ascii="仿宋_GB2312" w:hAnsi="Calibri"/>
          <w:color w:val="000000"/>
          <w:szCs w:val="32"/>
        </w:rPr>
        <w:t>法律、法规、规章对行政处罚程序有特别规定的，遵照其规定执行。</w:t>
      </w:r>
    </w:p>
    <w:p>
      <w:pPr>
        <w:spacing w:line="560" w:lineRule="exact"/>
        <w:ind w:firstLine="642" w:firstLineChars="200"/>
        <w:rPr>
          <w:rFonts w:ascii="仿宋_GB2312" w:hAnsi="Calibri"/>
          <w:color w:val="000000"/>
          <w:szCs w:val="32"/>
        </w:rPr>
      </w:pPr>
      <w:bookmarkStart w:id="11" w:name="_Hlk32394698"/>
      <w:bookmarkEnd w:id="11"/>
      <w:bookmarkStart w:id="12" w:name="18"/>
      <w:bookmarkEnd w:id="12"/>
      <w:r>
        <w:rPr>
          <w:rFonts w:hint="eastAsia" w:ascii="仿宋_GB2312" w:hAnsi="Calibri"/>
          <w:b/>
          <w:color w:val="000000"/>
          <w:szCs w:val="32"/>
        </w:rPr>
        <w:t>第十六条</w:t>
      </w:r>
      <w:r>
        <w:rPr>
          <w:rFonts w:hint="eastAsia" w:ascii="仿宋_GB2312" w:hAnsi="Calibri"/>
          <w:color w:val="000000"/>
          <w:szCs w:val="32"/>
        </w:rPr>
        <w:t xml:space="preserve"> 《行政处罚裁量基准表》中各裁量阶</w:t>
      </w:r>
      <w:r>
        <w:rPr>
          <w:rFonts w:hint="eastAsia" w:ascii="仿宋_GB2312" w:hAnsi="Calibri"/>
          <w:color w:val="000000"/>
          <w:szCs w:val="32"/>
          <w:lang w:eastAsia="zh-CN"/>
        </w:rPr>
        <w:t>次</w:t>
      </w:r>
      <w:r>
        <w:rPr>
          <w:rFonts w:hint="eastAsia" w:ascii="仿宋_GB2312" w:hAnsi="Calibri"/>
          <w:color w:val="000000"/>
          <w:szCs w:val="32"/>
        </w:rPr>
        <w:t>罚款数额中的“以上”除第一阶包含所述罚款数额本数外，其余均不包含所述罚款数额本数。“以下”均包含所述罚款数额本数。</w:t>
      </w:r>
    </w:p>
    <w:p>
      <w:pPr>
        <w:spacing w:line="560" w:lineRule="exact"/>
        <w:ind w:firstLine="642" w:firstLineChars="200"/>
        <w:rPr>
          <w:rFonts w:ascii="仿宋_GB2312" w:hAnsi="Calibri"/>
          <w:color w:val="000000"/>
          <w:szCs w:val="32"/>
        </w:rPr>
      </w:pPr>
      <w:r>
        <w:rPr>
          <w:rFonts w:hint="eastAsia" w:ascii="仿宋_GB2312" w:hAnsi="Calibri"/>
          <w:b/>
          <w:color w:val="000000"/>
          <w:szCs w:val="32"/>
        </w:rPr>
        <w:t>第十七条</w:t>
      </w:r>
      <w:r>
        <w:rPr>
          <w:rFonts w:hint="eastAsia" w:ascii="仿宋_GB2312" w:hAnsi="Calibri"/>
          <w:color w:val="000000"/>
          <w:szCs w:val="32"/>
        </w:rPr>
        <w:t xml:space="preserve"> 《基准》由北京市发展改革委解释。</w:t>
      </w:r>
      <w:r>
        <w:rPr>
          <w:rFonts w:hint="eastAsia" w:ascii="仿宋_GB2312" w:hAnsi="Calibri"/>
          <w:color w:val="000000"/>
          <w:szCs w:val="32"/>
        </w:rPr>
        <w:br w:type="textWrapping"/>
      </w:r>
      <w:r>
        <w:rPr>
          <w:rFonts w:hint="eastAsia" w:ascii="仿宋_GB2312" w:hAnsi="Calibri"/>
          <w:color w:val="000000"/>
          <w:szCs w:val="32"/>
        </w:rPr>
        <w:t xml:space="preserve">    </w:t>
      </w:r>
      <w:r>
        <w:rPr>
          <w:rFonts w:hint="eastAsia" w:ascii="仿宋_GB2312" w:hAnsi="Calibri"/>
          <w:b/>
          <w:color w:val="000000"/>
          <w:szCs w:val="32"/>
        </w:rPr>
        <w:t xml:space="preserve">第十八条 </w:t>
      </w:r>
      <w:r>
        <w:rPr>
          <w:rFonts w:hint="eastAsia" w:ascii="仿宋_GB2312" w:hAnsi="Calibri"/>
          <w:color w:val="000000"/>
          <w:szCs w:val="32"/>
        </w:rPr>
        <w:t>《基准》自印发之日起施行。《北京市发展和改革委员会关于印发北京市发展改革部门行政处罚裁量基准的通知》（京发改规〔202</w:t>
      </w:r>
      <w:r>
        <w:rPr>
          <w:rFonts w:hint="eastAsia" w:ascii="仿宋_GB2312" w:hAnsi="Calibri"/>
          <w:color w:val="000000"/>
          <w:szCs w:val="32"/>
          <w:lang w:val="en-US" w:eastAsia="zh-CN"/>
        </w:rPr>
        <w:t>3</w:t>
      </w:r>
      <w:r>
        <w:rPr>
          <w:rFonts w:hint="eastAsia" w:ascii="仿宋_GB2312" w:hAnsi="Calibri"/>
          <w:color w:val="000000"/>
          <w:szCs w:val="32"/>
        </w:rPr>
        <w:t>〕</w:t>
      </w:r>
      <w:r>
        <w:rPr>
          <w:rFonts w:hint="eastAsia" w:ascii="仿宋_GB2312" w:hAnsi="Calibri"/>
          <w:color w:val="000000"/>
          <w:szCs w:val="32"/>
          <w:lang w:val="en-US" w:eastAsia="zh-CN"/>
        </w:rPr>
        <w:t>2</w:t>
      </w:r>
      <w:r>
        <w:rPr>
          <w:rFonts w:hint="eastAsia" w:ascii="仿宋_GB2312" w:hAnsi="Calibri"/>
          <w:color w:val="000000"/>
          <w:szCs w:val="32"/>
        </w:rPr>
        <w:t>号）同步废止。</w:t>
      </w:r>
    </w:p>
    <w:p>
      <w:pPr>
        <w:spacing w:line="560" w:lineRule="exact"/>
        <w:ind w:firstLine="640" w:firstLineChars="200"/>
        <w:rPr>
          <w:rFonts w:ascii="仿宋_GB2312" w:hAnsi="Calibri"/>
          <w:color w:val="000000"/>
          <w:szCs w:val="32"/>
        </w:rPr>
      </w:pPr>
    </w:p>
    <w:p>
      <w:pPr>
        <w:ind w:left="0" w:leftChars="0" w:firstLine="640" w:firstLineChars="200"/>
        <w:rPr>
          <w:rFonts w:hint="eastAsia" w:ascii="仿宋_GB2312" w:hAnsi="Calibri"/>
          <w:color w:val="000000"/>
          <w:szCs w:val="32"/>
        </w:rPr>
      </w:pPr>
      <w:r>
        <w:rPr>
          <w:rFonts w:hint="eastAsia" w:ascii="仿宋_GB2312" w:hAnsi="Calibri"/>
          <w:color w:val="000000"/>
          <w:szCs w:val="32"/>
        </w:rPr>
        <w:t>附件</w:t>
      </w:r>
      <w:r>
        <w:rPr>
          <w:rFonts w:hint="eastAsia" w:ascii="仿宋_GB2312" w:hAnsi="Calibri"/>
          <w:color w:val="000000"/>
          <w:szCs w:val="32"/>
          <w:lang w:eastAsia="zh-CN"/>
        </w:rPr>
        <w:t>：</w:t>
      </w:r>
      <w:r>
        <w:rPr>
          <w:rFonts w:hint="eastAsia" w:ascii="仿宋_GB2312" w:hAnsi="Calibri"/>
          <w:color w:val="000000"/>
          <w:szCs w:val="32"/>
        </w:rPr>
        <w:t>《北京市发展改革部门行政处罚裁量基准表》</w:t>
      </w:r>
    </w:p>
    <w:p>
      <w:pPr>
        <w:ind w:firstLine="1440" w:firstLineChars="450"/>
        <w:rPr>
          <w:rFonts w:hint="eastAsia" w:ascii="仿宋_GB2312" w:hAnsi="Calibri"/>
          <w:color w:val="000000"/>
          <w:szCs w:val="32"/>
          <w:lang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3" w:name="_GoBack"/>
      <w:r>
        <w:rPr>
          <w:rFonts w:hint="eastAsia" w:ascii="仿宋_GB2312" w:hAnsi="Calibri"/>
          <w:color w:val="000000"/>
          <w:szCs w:val="32"/>
          <w:lang w:eastAsia="zh-CN"/>
        </w:rPr>
        <w:t>（</w:t>
      </w:r>
      <w:r>
        <w:rPr>
          <w:rFonts w:hint="eastAsia" w:ascii="仿宋_GB2312" w:hAnsi="Calibri"/>
          <w:color w:val="000000"/>
          <w:szCs w:val="32"/>
          <w:lang w:val="en-US" w:eastAsia="zh-CN"/>
        </w:rPr>
        <w:t>2026年修订</w:t>
      </w:r>
      <w:r>
        <w:rPr>
          <w:rFonts w:hint="eastAsia" w:ascii="仿宋_GB2312" w:hAnsi="Calibri"/>
          <w:color w:val="000000"/>
          <w:szCs w:val="32"/>
          <w:lang w:eastAsia="zh-CN"/>
        </w:rPr>
        <w:t>）征求意见稿</w:t>
      </w:r>
    </w:p>
    <w:bookmarkEnd w:id="13"/>
    <w:p>
      <w:pPr>
        <w:spacing w:line="240" w:lineRule="auto"/>
        <w:jc w:val="center"/>
        <w:rPr>
          <w:rFonts w:hint="eastAsia" w:ascii="方正小标宋简体" w:hAnsi="Calibri" w:eastAsia="方正小标宋简体" w:cs="Times New Roman"/>
          <w:bCs/>
          <w:color w:val="000000"/>
          <w:sz w:val="44"/>
          <w:szCs w:val="44"/>
          <w:lang w:eastAsia="zh-CN"/>
        </w:rPr>
      </w:pPr>
      <w:r>
        <w:rPr>
          <w:rFonts w:hint="eastAsia"/>
          <w:lang w:eastAsia="zh-CN"/>
        </w:rPr>
        <w:drawing>
          <wp:inline distT="0" distB="0" distL="114300" distR="114300">
            <wp:extent cx="9491345" cy="5993765"/>
            <wp:effectExtent l="0" t="0" r="14605" b="6985"/>
            <wp:docPr id="10" name="图片 10" descr="附件：2.北京市发展改革部门行政处罚裁量基准表（2026年修订）征求意见稿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2.北京市发展改革部门行政处罚裁量基准表（2026年修订）征求意见稿_页面_1"/>
                    <pic:cNvPicPr>
                      <a:picLocks noChangeAspect="1"/>
                    </pic:cNvPicPr>
                  </pic:nvPicPr>
                  <pic:blipFill>
                    <a:blip r:embed="rId5"/>
                    <a:srcRect l="4132" t="7892" r="3113" b="9269"/>
                    <a:stretch>
                      <a:fillRect/>
                    </a:stretch>
                  </pic:blipFill>
                  <pic:spPr>
                    <a:xfrm>
                      <a:off x="0" y="0"/>
                      <a:ext cx="9491345" cy="5993765"/>
                    </a:xfrm>
                    <a:prstGeom prst="rect">
                      <a:avLst/>
                    </a:prstGeom>
                  </pic:spPr>
                </pic:pic>
              </a:graphicData>
            </a:graphic>
          </wp:inline>
        </w:drawing>
      </w:r>
      <w:r>
        <w:rPr>
          <w:rFonts w:hint="eastAsia" w:ascii="方正小标宋简体" w:hAnsi="Calibri" w:eastAsia="方正小标宋简体" w:cs="Times New Roman"/>
          <w:bCs/>
          <w:color w:val="000000"/>
          <w:sz w:val="44"/>
          <w:szCs w:val="44"/>
          <w:lang w:eastAsia="zh-CN"/>
        </w:rPr>
        <w:drawing>
          <wp:inline distT="0" distB="0" distL="114300" distR="114300">
            <wp:extent cx="9378950" cy="5593080"/>
            <wp:effectExtent l="0" t="0" r="12700" b="7620"/>
            <wp:docPr id="9" name="图片 9" descr="附件：2.北京市发展改革部门行政处罚裁量基准表（2026年修订）征求意见稿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2.北京市发展改革部门行政处罚裁量基准表（2026年修订）征求意见稿_页面_2"/>
                    <pic:cNvPicPr>
                      <a:picLocks noChangeAspect="1"/>
                    </pic:cNvPicPr>
                  </pic:nvPicPr>
                  <pic:blipFill>
                    <a:blip r:embed="rId6"/>
                    <a:srcRect l="4053" t="8050" r="3157" b="13710"/>
                    <a:stretch>
                      <a:fillRect/>
                    </a:stretch>
                  </pic:blipFill>
                  <pic:spPr>
                    <a:xfrm>
                      <a:off x="0" y="0"/>
                      <a:ext cx="9378950" cy="5593080"/>
                    </a:xfrm>
                    <a:prstGeom prst="rect">
                      <a:avLst/>
                    </a:prstGeom>
                  </pic:spPr>
                </pic:pic>
              </a:graphicData>
            </a:graphic>
          </wp:inline>
        </w:drawing>
      </w:r>
      <w:r>
        <w:rPr>
          <w:rFonts w:hint="eastAsia" w:ascii="方正小标宋简体" w:hAnsi="Calibri" w:eastAsia="方正小标宋简体" w:cs="Times New Roman"/>
          <w:bCs/>
          <w:color w:val="000000"/>
          <w:sz w:val="44"/>
          <w:szCs w:val="44"/>
          <w:lang w:eastAsia="zh-CN"/>
        </w:rPr>
        <w:drawing>
          <wp:inline distT="0" distB="0" distL="114300" distR="114300">
            <wp:extent cx="9366885" cy="5885180"/>
            <wp:effectExtent l="0" t="0" r="5715" b="1270"/>
            <wp:docPr id="8" name="图片 8" descr="附件：2.北京市发展改革部门行政处罚裁量基准表（2026年修订）征求意见稿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2.北京市发展改革部门行政处罚裁量基准表（2026年修订）征求意见稿_页面_3"/>
                    <pic:cNvPicPr>
                      <a:picLocks noChangeAspect="1"/>
                    </pic:cNvPicPr>
                  </pic:nvPicPr>
                  <pic:blipFill>
                    <a:blip r:embed="rId7"/>
                    <a:srcRect l="4002" t="8050" r="3106" b="9413"/>
                    <a:stretch>
                      <a:fillRect/>
                    </a:stretch>
                  </pic:blipFill>
                  <pic:spPr>
                    <a:xfrm>
                      <a:off x="0" y="0"/>
                      <a:ext cx="9366885" cy="5885180"/>
                    </a:xfrm>
                    <a:prstGeom prst="rect">
                      <a:avLst/>
                    </a:prstGeom>
                  </pic:spPr>
                </pic:pic>
              </a:graphicData>
            </a:graphic>
          </wp:inline>
        </w:drawing>
      </w:r>
      <w:r>
        <w:rPr>
          <w:rFonts w:hint="eastAsia" w:ascii="方正小标宋简体" w:hAnsi="Calibri" w:eastAsia="方正小标宋简体" w:cs="Times New Roman"/>
          <w:bCs/>
          <w:color w:val="000000"/>
          <w:sz w:val="44"/>
          <w:szCs w:val="44"/>
          <w:lang w:eastAsia="zh-CN"/>
        </w:rPr>
        <w:drawing>
          <wp:inline distT="0" distB="0" distL="114300" distR="114300">
            <wp:extent cx="9492615" cy="5955030"/>
            <wp:effectExtent l="0" t="0" r="13335" b="7620"/>
            <wp:docPr id="7" name="图片 7" descr="附件：2.北京市发展改革部门行政处罚裁量基准表（2026年修订）征求意见稿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2.北京市发展改革部门行政处罚裁量基准表（2026年修订）征求意见稿_页面_4"/>
                    <pic:cNvPicPr>
                      <a:picLocks noChangeAspect="1"/>
                    </pic:cNvPicPr>
                  </pic:nvPicPr>
                  <pic:blipFill>
                    <a:blip r:embed="rId8"/>
                    <a:srcRect l="4028" t="8050" r="2628" b="9136"/>
                    <a:stretch>
                      <a:fillRect/>
                    </a:stretch>
                  </pic:blipFill>
                  <pic:spPr>
                    <a:xfrm>
                      <a:off x="0" y="0"/>
                      <a:ext cx="9492615" cy="5955030"/>
                    </a:xfrm>
                    <a:prstGeom prst="rect">
                      <a:avLst/>
                    </a:prstGeom>
                  </pic:spPr>
                </pic:pic>
              </a:graphicData>
            </a:graphic>
          </wp:inline>
        </w:drawing>
      </w:r>
      <w:r>
        <w:rPr>
          <w:rFonts w:hint="eastAsia" w:ascii="方正小标宋简体" w:hAnsi="Calibri" w:eastAsia="方正小标宋简体" w:cs="Times New Roman"/>
          <w:bCs/>
          <w:color w:val="000000"/>
          <w:sz w:val="44"/>
          <w:szCs w:val="44"/>
          <w:lang w:eastAsia="zh-CN"/>
        </w:rPr>
        <w:drawing>
          <wp:inline distT="0" distB="0" distL="114300" distR="114300">
            <wp:extent cx="9332595" cy="5702300"/>
            <wp:effectExtent l="0" t="0" r="1905" b="12700"/>
            <wp:docPr id="6" name="图片 6" descr="附件：2.北京市发展改革部门行政处罚裁量基准表（2026年修订）征求意见稿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2.北京市发展改革部门行政处罚裁量基准表（2026年修订）征求意见稿_页面_5"/>
                    <pic:cNvPicPr>
                      <a:picLocks noChangeAspect="1"/>
                    </pic:cNvPicPr>
                  </pic:nvPicPr>
                  <pic:blipFill>
                    <a:blip r:embed="rId9"/>
                    <a:srcRect l="4028" t="8050" r="3174" b="11767"/>
                    <a:stretch>
                      <a:fillRect/>
                    </a:stretch>
                  </pic:blipFill>
                  <pic:spPr>
                    <a:xfrm>
                      <a:off x="0" y="0"/>
                      <a:ext cx="9332595" cy="5702300"/>
                    </a:xfrm>
                    <a:prstGeom prst="rect">
                      <a:avLst/>
                    </a:prstGeom>
                  </pic:spPr>
                </pic:pic>
              </a:graphicData>
            </a:graphic>
          </wp:inline>
        </w:drawing>
      </w:r>
      <w:r>
        <w:rPr>
          <w:rFonts w:hint="eastAsia" w:ascii="方正小标宋简体" w:hAnsi="Calibri" w:eastAsia="方正小标宋简体" w:cs="Times New Roman"/>
          <w:bCs/>
          <w:color w:val="000000"/>
          <w:sz w:val="44"/>
          <w:szCs w:val="44"/>
          <w:lang w:eastAsia="zh-CN"/>
        </w:rPr>
        <w:drawing>
          <wp:inline distT="0" distB="0" distL="114300" distR="114300">
            <wp:extent cx="9405620" cy="5935345"/>
            <wp:effectExtent l="0" t="0" r="5080" b="8255"/>
            <wp:docPr id="5" name="图片 5" descr="附件：2.北京市发展改革部门行政处罚裁量基准表（2026年修订）征求意见稿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2.北京市发展改革部门行政处罚裁量基准表（2026年修订）征求意见稿_页面_6"/>
                    <pic:cNvPicPr>
                      <a:picLocks noChangeAspect="1"/>
                    </pic:cNvPicPr>
                  </pic:nvPicPr>
                  <pic:blipFill>
                    <a:blip r:embed="rId10"/>
                    <a:srcRect l="4028" t="8050" r="3174" b="9136"/>
                    <a:stretch>
                      <a:fillRect/>
                    </a:stretch>
                  </pic:blipFill>
                  <pic:spPr>
                    <a:xfrm>
                      <a:off x="0" y="0"/>
                      <a:ext cx="9405620" cy="5935345"/>
                    </a:xfrm>
                    <a:prstGeom prst="rect">
                      <a:avLst/>
                    </a:prstGeom>
                  </pic:spPr>
                </pic:pic>
              </a:graphicData>
            </a:graphic>
          </wp:inline>
        </w:drawing>
      </w:r>
      <w:r>
        <w:rPr>
          <w:rFonts w:hint="eastAsia" w:ascii="方正小标宋简体" w:hAnsi="Calibri" w:eastAsia="方正小标宋简体" w:cs="Times New Roman"/>
          <w:bCs/>
          <w:color w:val="000000"/>
          <w:sz w:val="44"/>
          <w:szCs w:val="44"/>
          <w:lang w:eastAsia="zh-CN"/>
        </w:rPr>
        <w:drawing>
          <wp:inline distT="0" distB="0" distL="114300" distR="114300">
            <wp:extent cx="9435465" cy="5969000"/>
            <wp:effectExtent l="0" t="0" r="13335" b="12700"/>
            <wp:docPr id="4" name="图片 4" descr="附件：2.北京市发展改革部门行政处罚裁量基准表（2026年修订）征求意见稿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2.北京市发展改革部门行政处罚裁量基准表（2026年修订）征求意见稿_页面_7"/>
                    <pic:cNvPicPr>
                      <a:picLocks noChangeAspect="1"/>
                    </pic:cNvPicPr>
                  </pic:nvPicPr>
                  <pic:blipFill>
                    <a:blip r:embed="rId11"/>
                    <a:srcRect l="4435" t="8050" r="2995" b="9136"/>
                    <a:stretch>
                      <a:fillRect/>
                    </a:stretch>
                  </pic:blipFill>
                  <pic:spPr>
                    <a:xfrm>
                      <a:off x="0" y="0"/>
                      <a:ext cx="9435465" cy="5969000"/>
                    </a:xfrm>
                    <a:prstGeom prst="rect">
                      <a:avLst/>
                    </a:prstGeom>
                  </pic:spPr>
                </pic:pic>
              </a:graphicData>
            </a:graphic>
          </wp:inline>
        </w:drawing>
      </w:r>
      <w:r>
        <w:rPr>
          <w:rFonts w:hint="eastAsia" w:ascii="方正小标宋简体" w:hAnsi="Calibri" w:eastAsia="方正小标宋简体" w:cs="Times New Roman"/>
          <w:bCs/>
          <w:color w:val="000000"/>
          <w:sz w:val="44"/>
          <w:szCs w:val="44"/>
          <w:lang w:eastAsia="zh-CN"/>
        </w:rPr>
        <w:drawing>
          <wp:inline distT="0" distB="0" distL="114300" distR="114300">
            <wp:extent cx="9523730" cy="5595620"/>
            <wp:effectExtent l="0" t="0" r="1270" b="5080"/>
            <wp:docPr id="3" name="图片 3" descr="附件：2.北京市发展改革部门行政处罚裁量基准表（2026年修订）征求意见稿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2.北京市发展改革部门行政处罚裁量基准表（2026年修订）征求意见稿_页面_8"/>
                    <pic:cNvPicPr>
                      <a:picLocks noChangeAspect="1"/>
                    </pic:cNvPicPr>
                  </pic:nvPicPr>
                  <pic:blipFill>
                    <a:blip r:embed="rId12"/>
                    <a:srcRect l="4028" t="8050" r="2628" b="14398"/>
                    <a:stretch>
                      <a:fillRect/>
                    </a:stretch>
                  </pic:blipFill>
                  <pic:spPr>
                    <a:xfrm>
                      <a:off x="0" y="0"/>
                      <a:ext cx="9523730" cy="5595620"/>
                    </a:xfrm>
                    <a:prstGeom prst="rect">
                      <a:avLst/>
                    </a:prstGeom>
                  </pic:spPr>
                </pic:pic>
              </a:graphicData>
            </a:graphic>
          </wp:inline>
        </w:drawing>
      </w:r>
      <w:r>
        <w:rPr>
          <w:rFonts w:hint="eastAsia" w:ascii="方正小标宋简体" w:hAnsi="Calibri" w:eastAsia="方正小标宋简体" w:cs="Times New Roman"/>
          <w:bCs/>
          <w:color w:val="000000"/>
          <w:sz w:val="44"/>
          <w:szCs w:val="44"/>
          <w:lang w:eastAsia="zh-CN"/>
        </w:rPr>
        <w:drawing>
          <wp:inline distT="0" distB="0" distL="114300" distR="114300">
            <wp:extent cx="9467215" cy="2731135"/>
            <wp:effectExtent l="0" t="0" r="635" b="12065"/>
            <wp:docPr id="2" name="图片 2" descr="附件：2.北京市发展改革部门行政处罚裁量基准表（2026年修订）征求意见稿_页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2.北京市发展改革部门行政处罚裁量基准表（2026年修订）征求意见稿_页面_9"/>
                    <pic:cNvPicPr>
                      <a:picLocks noChangeAspect="1"/>
                    </pic:cNvPicPr>
                  </pic:nvPicPr>
                  <pic:blipFill>
                    <a:blip r:embed="rId13"/>
                    <a:srcRect l="4028" t="8050" r="2628" b="53862"/>
                    <a:stretch>
                      <a:fillRect/>
                    </a:stretch>
                  </pic:blipFill>
                  <pic:spPr>
                    <a:xfrm>
                      <a:off x="0" y="0"/>
                      <a:ext cx="9467215" cy="2731135"/>
                    </a:xfrm>
                    <a:prstGeom prst="rect">
                      <a:avLst/>
                    </a:prstGeom>
                  </pic:spPr>
                </pic:pic>
              </a:graphicData>
            </a:graphic>
          </wp:inline>
        </w:drawing>
      </w:r>
    </w:p>
    <w:sectPr>
      <w:pgSz w:w="16838" w:h="11906" w:orient="landscape"/>
      <w:pgMar w:top="1134" w:right="1134" w:bottom="1134" w:left="1134" w:header="851" w:footer="992" w:gutter="0"/>
      <w:pgBorders>
        <w:top w:val="none" w:sz="0" w:space="0"/>
        <w:left w:val="none" w:sz="0" w:space="0"/>
        <w:bottom w:val="none" w:sz="0" w:space="0"/>
        <w:right w:val="none" w:sz="0" w:space="0"/>
      </w:pgBorders>
      <w:cols w:space="0" w:num="1"/>
      <w:rtlGutter w:val="0"/>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dit="readOnly" w:formatting="1" w:enforcement="0"/>
  <w:defaultTabStop w:val="420"/>
  <w:drawingGridVerticalSpacing w:val="21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0A0"/>
    <w:rsid w:val="00086448"/>
    <w:rsid w:val="0013426F"/>
    <w:rsid w:val="00136638"/>
    <w:rsid w:val="001770A0"/>
    <w:rsid w:val="001F6168"/>
    <w:rsid w:val="00216D32"/>
    <w:rsid w:val="00350DE8"/>
    <w:rsid w:val="00427FAB"/>
    <w:rsid w:val="0052330A"/>
    <w:rsid w:val="00636B81"/>
    <w:rsid w:val="006419AB"/>
    <w:rsid w:val="007D76B3"/>
    <w:rsid w:val="00852878"/>
    <w:rsid w:val="00A4761C"/>
    <w:rsid w:val="00A60B87"/>
    <w:rsid w:val="00D478AB"/>
    <w:rsid w:val="00D83825"/>
    <w:rsid w:val="0D694DCF"/>
    <w:rsid w:val="39DB8270"/>
    <w:rsid w:val="3A804B89"/>
    <w:rsid w:val="3FD11A37"/>
    <w:rsid w:val="3FF7E7B5"/>
    <w:rsid w:val="4CBF49B4"/>
    <w:rsid w:val="4F0BBC51"/>
    <w:rsid w:val="53DF34D5"/>
    <w:rsid w:val="5CBE3D18"/>
    <w:rsid w:val="5FF7D6DB"/>
    <w:rsid w:val="67B561E0"/>
    <w:rsid w:val="735F8944"/>
    <w:rsid w:val="767F6737"/>
    <w:rsid w:val="78ADBCD9"/>
    <w:rsid w:val="7BFE1ED9"/>
    <w:rsid w:val="7DF64BBA"/>
    <w:rsid w:val="7E717C3D"/>
    <w:rsid w:val="7ECBD1FB"/>
    <w:rsid w:val="7F7BE0AE"/>
    <w:rsid w:val="7F9B2241"/>
    <w:rsid w:val="7FDFB459"/>
    <w:rsid w:val="7FF91ABD"/>
    <w:rsid w:val="ADDEB298"/>
    <w:rsid w:val="BF3CD9F7"/>
    <w:rsid w:val="BFE38AFB"/>
    <w:rsid w:val="BFEFBAFF"/>
    <w:rsid w:val="DDDD46AF"/>
    <w:rsid w:val="DDEF731B"/>
    <w:rsid w:val="EF7B7A79"/>
    <w:rsid w:val="EFBC26CE"/>
    <w:rsid w:val="EFDDC454"/>
    <w:rsid w:val="F5FF8438"/>
    <w:rsid w:val="FCFE8392"/>
    <w:rsid w:val="FD7B9086"/>
    <w:rsid w:val="FFFF9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 w:type="character" w:customStyle="1" w:styleId="8">
    <w:name w:val="font61"/>
    <w:basedOn w:val="5"/>
    <w:qFormat/>
    <w:uiPriority w:val="0"/>
    <w:rPr>
      <w:rFonts w:hint="eastAsia" w:ascii="仿宋" w:hAnsi="仿宋" w:eastAsia="仿宋" w:cs="仿宋"/>
      <w:color w:val="000000"/>
      <w:sz w:val="24"/>
      <w:szCs w:val="24"/>
      <w:u w:val="none"/>
    </w:rPr>
  </w:style>
  <w:style w:type="character" w:customStyle="1" w:styleId="9">
    <w:name w:val="font101"/>
    <w:basedOn w:val="5"/>
    <w:qFormat/>
    <w:uiPriority w:val="0"/>
    <w:rPr>
      <w:rFonts w:hint="eastAsia" w:ascii="仿宋" w:hAnsi="仿宋" w:eastAsia="仿宋" w:cs="仿宋"/>
      <w:color w:val="FFFFFF"/>
      <w:sz w:val="24"/>
      <w:szCs w:val="24"/>
      <w:u w:val="none"/>
    </w:rPr>
  </w:style>
  <w:style w:type="character" w:customStyle="1" w:styleId="10">
    <w:name w:val="font71"/>
    <w:basedOn w:val="5"/>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1858</Words>
  <Characters>1864</Characters>
  <Lines>15</Lines>
  <Paragraphs>4</Paragraphs>
  <TotalTime>97</TotalTime>
  <ScaleCrop>false</ScaleCrop>
  <LinksUpToDate>false</LinksUpToDate>
  <CharactersWithSpaces>1952</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2023-01-02T19:55:00Z</dcterms:created>
  <dc:creator>zhang</dc:creator>
  <cp:lastModifiedBy>user</cp:lastModifiedBy>
  <cp:lastPrinted>2026-04-29T04:53:00Z</cp:lastPrinted>
  <dcterms:modified xsi:type="dcterms:W3CDTF">2026-04-28T15:47:44Z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E60331813153266FD3C7B8695F4C4B63</vt:lpwstr>
  </property>
  <property fmtid="{D5CDD505-2E9C-101B-9397-08002B2CF9AE}" pid="4" name="KSOTemplateDocerSaveRecord">
    <vt:lpwstr>eyJoZGlkIjoiM2NiM2JlYTc5Yjk0NTcwYzBmOWJiNTUyNTM5ZDc1Y2UiLCJ1c2VySWQiOiIzNTg0NTExNDgifQ==</vt:lpwstr>
  </property>
</Properties>
</file>