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rPr>
          <w:rFonts w:hint="eastAsia"/>
          <w:lang w:bidi="ar"/>
        </w:rPr>
      </w:pPr>
      <w:bookmarkStart w:id="0" w:name="_GoBack"/>
      <w:r>
        <w:rPr>
          <w:rFonts w:hint="eastAsia"/>
          <w:lang w:bidi="ar"/>
        </w:rPr>
        <w:t>《北京市城市照明管理办法（征求意见稿）》</w:t>
      </w:r>
    </w:p>
    <w:p>
      <w:pPr>
        <w:pStyle w:val="5"/>
        <w:spacing w:line="600" w:lineRule="exact"/>
        <w:rPr>
          <w:rFonts w:hint="eastAsia"/>
          <w:lang w:bidi="ar"/>
        </w:rPr>
      </w:pPr>
      <w:r>
        <w:rPr>
          <w:rFonts w:hint="eastAsia"/>
          <w:lang w:bidi="ar"/>
        </w:rPr>
        <w:t>起草说明</w:t>
      </w:r>
    </w:p>
    <w:bookmarkEnd w:id="0"/>
    <w:p>
      <w:pPr>
        <w:spacing w:line="600" w:lineRule="exact"/>
        <w:ind w:firstLine="0" w:firstLineChars="0"/>
        <w:jc w:val="center"/>
        <w:rPr>
          <w:lang w:bidi="ar"/>
        </w:rPr>
      </w:pPr>
    </w:p>
    <w:p>
      <w:pPr>
        <w:ind w:firstLine="640"/>
        <w:rPr>
          <w:rFonts w:hint="eastAsia" w:ascii="黑体" w:hAnsi="黑体" w:eastAsia="黑体"/>
          <w:lang w:bidi="ar"/>
        </w:rPr>
      </w:pPr>
      <w:r>
        <w:rPr>
          <w:rFonts w:hint="eastAsia" w:ascii="黑体" w:hAnsi="黑体" w:eastAsia="黑体"/>
          <w:lang w:bidi="ar"/>
        </w:rPr>
        <w:t>一、起草背景</w:t>
      </w:r>
    </w:p>
    <w:p>
      <w:pPr>
        <w:ind w:firstLine="640"/>
        <w:rPr>
          <w:lang w:bidi="ar"/>
        </w:rPr>
      </w:pPr>
      <w:r>
        <w:rPr>
          <w:rFonts w:hint="eastAsia" w:ascii="楷体_GB2312" w:hAnsi="楷体_GB2312" w:eastAsia="楷体_GB2312" w:cs="楷体_GB2312"/>
          <w:lang w:bidi="ar"/>
        </w:rPr>
        <w:t>（一）贯彻落实党和国家关于城市精细化管理决策部署的需要。</w:t>
      </w:r>
      <w:r>
        <w:rPr>
          <w:rFonts w:hint="eastAsia"/>
          <w:lang w:bidi="ar"/>
        </w:rPr>
        <w:t>2025年7月14日至15日，中央城市工作会议在北京召开。会议指出城市工作要做好“五个转变”和“五个更加注重”的重要原则，和建设“创新、宜居、美丽、韧性、文明、智慧”城市的重点任务。《北京市城市照明管理办法》（以下简称</w:t>
      </w:r>
      <w:r>
        <w:rPr>
          <w:rFonts w:hint="eastAsia"/>
          <w:highlight w:val="none"/>
          <w:lang w:bidi="ar"/>
        </w:rPr>
        <w:t>《管理办法》</w:t>
      </w:r>
      <w:r>
        <w:rPr>
          <w:rFonts w:hint="eastAsia"/>
          <w:lang w:bidi="ar"/>
        </w:rPr>
        <w:t>）起草过程中，切实将中央城市工作会议精神贯彻落实于城市照明的规划、设计、建设、管理全流程各环节工作当中。如在城市照明设计方面，明确“鼓励精品化、艺术化、特色化设计创新，提高城市照明功能品质和艺术品位”；在规划编制方面，明确“编制市级重点区域景观照明详细规划和各区范围内重点商圈、地标建筑、重要活动场所、特色园区、公园景区、滨水河道等六类区域景观照明详细规划”，为营造不同区域类型的美丽宜居环境提供支撑；在运维管理方面，提出“景观照明按照观赏模式、节能模式、庆典模式运行，实行平日、一般节假日、重大节假日和重大活动四个等级”进行分类管理，体现精细精准、分类施策的管理要求。</w:t>
      </w:r>
    </w:p>
    <w:p>
      <w:pPr>
        <w:ind w:firstLine="640"/>
        <w:rPr>
          <w:lang w:bidi="ar"/>
        </w:rPr>
      </w:pPr>
      <w:r>
        <w:rPr>
          <w:rFonts w:hint="eastAsia" w:ascii="楷体_GB2312" w:hAnsi="楷体_GB2312" w:eastAsia="楷体_GB2312" w:cs="楷体_GB2312"/>
          <w:lang w:bidi="ar"/>
        </w:rPr>
        <w:t>（二）落细落实市委市政府关于城市照明工作安排部署的需要。</w:t>
      </w:r>
      <w:r>
        <w:rPr>
          <w:rFonts w:hint="eastAsia"/>
          <w:lang w:bidi="ar"/>
        </w:rPr>
        <w:t>2024年9月22日，</w:t>
      </w:r>
      <w:r>
        <w:rPr>
          <w:rFonts w:hint="eastAsia"/>
          <w:highlight w:val="none"/>
          <w:lang w:eastAsia="zh" w:bidi="ar"/>
        </w:rPr>
        <w:t>市政府主要领导</w:t>
      </w:r>
      <w:r>
        <w:rPr>
          <w:rFonts w:hint="eastAsia"/>
          <w:highlight w:val="none"/>
          <w:lang w:bidi="ar"/>
        </w:rPr>
        <w:t>就</w:t>
      </w:r>
      <w:r>
        <w:rPr>
          <w:rFonts w:hint="eastAsia"/>
          <w:lang w:bidi="ar"/>
        </w:rPr>
        <w:t>研究《北京市景观照明提升工作方案》召开政府专题会议，会议重点围绕首都景观照明体系建设、光源改造、优化运行、节能改造、长效管理和智慧管理等事项进行全面部署，并明确提出“要充分用好市场机制，更好发挥政府作用，加强法规标准体系建设”等要求。2025年7月16日，</w:t>
      </w:r>
      <w:r>
        <w:rPr>
          <w:rFonts w:hint="eastAsia"/>
          <w:highlight w:val="none"/>
          <w:lang w:eastAsia="zh" w:bidi="ar"/>
        </w:rPr>
        <w:t>市政府主要领导</w:t>
      </w:r>
      <w:r>
        <w:rPr>
          <w:rFonts w:hint="eastAsia"/>
          <w:highlight w:val="none"/>
          <w:lang w:bidi="ar"/>
        </w:rPr>
        <w:t>主</w:t>
      </w:r>
      <w:r>
        <w:rPr>
          <w:rFonts w:hint="eastAsia"/>
          <w:lang w:bidi="ar"/>
        </w:rPr>
        <w:t>持召开市政府专题会议，研究《北京市“十五五”时期城市照明发展规划》有关工作，强调“城市照明是展示城市形象和文化特色的重要途径，对于提升城市品位和魅力，改善群众生活环境，促进夜间经济发展等具有重要作用”</w:t>
      </w:r>
      <w:r>
        <w:rPr>
          <w:rFonts w:hint="eastAsia"/>
          <w:highlight w:val="none"/>
          <w:lang w:bidi="ar"/>
        </w:rPr>
        <w:t>。《管理办法》起草过程中，进一步明确市、区相关管理部门在城市照明管理工作中的职</w:t>
      </w:r>
      <w:r>
        <w:rPr>
          <w:rFonts w:hint="eastAsia"/>
          <w:lang w:bidi="ar"/>
        </w:rPr>
        <w:t>责任务，制度化开展城市照明专项规划和重点区域景观照明详细规划，鼓励社会资金用于照明设施的建设和维护工作。</w:t>
      </w:r>
    </w:p>
    <w:p>
      <w:pPr>
        <w:ind w:firstLine="640"/>
        <w:rPr>
          <w:lang w:bidi="ar"/>
        </w:rPr>
      </w:pPr>
      <w:r>
        <w:rPr>
          <w:rFonts w:hint="eastAsia" w:ascii="楷体_GB2312" w:hAnsi="楷体_GB2312" w:eastAsia="楷体_GB2312" w:cs="楷体_GB2312"/>
          <w:lang w:bidi="ar"/>
        </w:rPr>
        <w:t>（三）完善我市城市照明管理法规制度体系的现实需要。</w:t>
      </w:r>
      <w:r>
        <w:rPr>
          <w:rFonts w:hint="eastAsia"/>
          <w:lang w:bidi="ar"/>
        </w:rPr>
        <w:t>当前，我市城市照明管理的法律依据是《城市照明管理规定》（中华人民共和国住房和城乡建设部令第4号）、《北京市市容环境卫生条例》（2021修正）和《北京市夜景照明管理办法》（京政办发〔2008〕27号）以及有关政府规范性文件和管理制度文件。其中，《北京市夜景照明管理办法》（京政办发〔2008〕27号）重点对景观照明规范管理提出了相关要求，颁布实施至今已17年，其部分条款内容已难以适应新时代城市照明管理的实际需要。《北京市市容环境卫生条例》（2021修正）对景观照明管理做出了原则规定。功能照明管理要求分散在发布的通知、意见等文件中。另外，对景观照明管理的范围界定不够清晰，与</w:t>
      </w:r>
      <w:r>
        <w:rPr>
          <w:rFonts w:hint="eastAsia"/>
          <w:lang w:eastAsia="zh" w:bidi="ar"/>
        </w:rPr>
        <w:t>住房城乡建设</w:t>
      </w:r>
      <w:r>
        <w:rPr>
          <w:rFonts w:hint="eastAsia"/>
          <w:lang w:bidi="ar"/>
        </w:rPr>
        <w:t>部《城市照明管理规定》衔接不够充分，实践过程中也产生了一系列问题，亟待统筹全市功能照明和景观照明，更新形成新的涵盖城市照明管理全周期的规范性文件，推动城市照明规范化、制度化、精细化、品质化发展。</w:t>
      </w:r>
    </w:p>
    <w:p>
      <w:pPr>
        <w:ind w:firstLine="640"/>
        <w:rPr>
          <w:lang w:bidi="ar"/>
        </w:rPr>
      </w:pPr>
      <w:r>
        <w:rPr>
          <w:rFonts w:hint="eastAsia" w:ascii="楷体_GB2312" w:eastAsia="楷体_GB2312"/>
          <w:lang w:bidi="ar"/>
        </w:rPr>
        <w:t>（四）补齐当前全市城市照明管理工作短板的客观需要。</w:t>
      </w:r>
      <w:r>
        <w:rPr>
          <w:rFonts w:hint="eastAsia"/>
          <w:lang w:bidi="ar"/>
        </w:rPr>
        <w:t>城市照明管理是城市管理的重要内容，关系每一位市民和企业、法人单位的公共利益，是一项公益事业，也是一项民生工程、民心工程。《管理办法》起草工作坚持问题导向、目标导向，扎实开展调查研究，梳理形成7个方面10条问题的任务清单，逐项研究并学习借鉴其他重点城市照明管理工作经验，提出优化提升建议，融入办法的具体条款内容中。如针对管理职责不清晰，部门沟通协调不畅的问题，《管理办法》在第五条对城市管理、交通、农业农村、园林绿化、水务等部门的职责进行了明确和细化；针对城市照明开关灯时间问题，《管理办法》在第二十三条和第二十四条分别针对功能照明和景观照明，明确启闭要求；针对城市照明设计、建设和移交等环节存在的问题，分别在第十四条、第十六条和第十八条明确了功能照明和景观照明设计、建设与移交的主体、条件、标准等具体要求。</w:t>
      </w:r>
    </w:p>
    <w:p>
      <w:pPr>
        <w:ind w:firstLine="640"/>
        <w:rPr>
          <w:rFonts w:hint="eastAsia" w:ascii="黑体" w:hAnsi="黑体" w:eastAsia="黑体"/>
          <w:lang w:bidi="ar"/>
        </w:rPr>
      </w:pPr>
      <w:r>
        <w:rPr>
          <w:rFonts w:hint="eastAsia" w:ascii="黑体" w:hAnsi="黑体" w:eastAsia="黑体"/>
          <w:lang w:bidi="ar"/>
        </w:rPr>
        <w:t>二、起草过程</w:t>
      </w:r>
    </w:p>
    <w:p>
      <w:pPr>
        <w:ind w:firstLine="643"/>
        <w:rPr>
          <w:b w:val="0"/>
          <w:bCs w:val="0"/>
          <w:lang w:bidi="ar"/>
        </w:rPr>
      </w:pPr>
      <w:r>
        <w:rPr>
          <w:rFonts w:hint="eastAsia" w:ascii="楷体_GB2312" w:hAnsi="楷体_GB2312" w:eastAsia="楷体_GB2312" w:cs="楷体_GB2312"/>
          <w:b w:val="0"/>
          <w:bCs w:val="0"/>
          <w:lang w:bidi="ar"/>
        </w:rPr>
        <w:t>（一）深入研究城市照明政策法规。</w:t>
      </w:r>
      <w:r>
        <w:rPr>
          <w:rFonts w:hint="eastAsia"/>
          <w:b w:val="0"/>
          <w:bCs w:val="0"/>
          <w:lang w:bidi="ar"/>
        </w:rPr>
        <w:t>为落实依法治国有关要求和推动我市城市照明精细化管理，《管理办法》起草团队认真梳理分析国家层面及市委市政府关于城市管理和城市照明管理的相关法律法规、制度规范、行业标准等，对照《管理办法》逐条逐款梳理政策法规依据，确保《管理办法》各条款与上位法规、规章有效衔接。</w:t>
      </w:r>
    </w:p>
    <w:p>
      <w:pPr>
        <w:ind w:firstLine="643"/>
        <w:rPr>
          <w:lang w:bidi="ar"/>
        </w:rPr>
      </w:pPr>
      <w:r>
        <w:rPr>
          <w:rFonts w:hint="eastAsia" w:ascii="楷体_GB2312" w:hAnsi="楷体_GB2312" w:eastAsia="楷体_GB2312" w:cs="楷体_GB2312"/>
          <w:b w:val="0"/>
          <w:bCs w:val="0"/>
          <w:lang w:bidi="ar"/>
        </w:rPr>
        <w:t>（二）参考借鉴国内先进范例。</w:t>
      </w:r>
      <w:r>
        <w:rPr>
          <w:rFonts w:hint="eastAsia"/>
          <w:b w:val="0"/>
          <w:bCs w:val="0"/>
          <w:lang w:bidi="ar"/>
        </w:rPr>
        <w:t>借鉴国内城市照明管理先进城市的经验，同时结合我市现阶段城市照</w:t>
      </w:r>
      <w:r>
        <w:rPr>
          <w:rFonts w:hint="eastAsia"/>
          <w:lang w:bidi="ar"/>
        </w:rPr>
        <w:t>明工作的现状及重难点，从明确职责分工、完善管理制度、加强科技应用等方面提出相应的举措，为起草办法提供参考。如全周期管理方面，借鉴广州市绘制全要素资产谱系进行全周期管理相关经验；运维管理方面，借鉴重庆市“规建管”协同和深圳市精细化管理相关经验；信息化建设方面，借鉴上海市景观照明集中控制系统建设和成都市智慧管理与精细化管理相结合的相关经验。</w:t>
      </w:r>
    </w:p>
    <w:p>
      <w:pPr>
        <w:ind w:firstLine="643"/>
        <w:rPr>
          <w:lang w:bidi="ar"/>
        </w:rPr>
      </w:pPr>
      <w:r>
        <w:rPr>
          <w:rFonts w:hint="eastAsia" w:ascii="楷体_GB2312" w:hAnsi="楷体_GB2312" w:eastAsia="楷体_GB2312" w:cs="楷体_GB2312"/>
          <w:b w:val="0"/>
          <w:bCs w:val="0"/>
          <w:lang w:bidi="ar"/>
        </w:rPr>
        <w:t>（三）扎实开展课题调研。</w:t>
      </w:r>
      <w:r>
        <w:rPr>
          <w:rFonts w:hint="eastAsia"/>
          <w:b w:val="0"/>
          <w:bCs w:val="0"/>
          <w:lang w:bidi="ar"/>
        </w:rPr>
        <w:t>坚持充分调研、审慎论证，组织各相关单位、行业专家和业内企业开</w:t>
      </w:r>
      <w:r>
        <w:rPr>
          <w:rFonts w:hint="eastAsia"/>
          <w:lang w:bidi="ar"/>
        </w:rPr>
        <w:t>展深入开展调研座谈，全面梳理城市照明管理工作现状和存在的问题，广泛征求意见建议，多次组织法律、城市管理、照明等行业领域专家，通过专家论证、线上讨论等方式，收集专家意见建议，确保《管理办法》始终体现较好的专业性、规范性和前瞻性。</w:t>
      </w:r>
    </w:p>
    <w:p>
      <w:pPr>
        <w:ind w:firstLine="640"/>
        <w:rPr>
          <w:rFonts w:hint="eastAsia" w:ascii="黑体" w:hAnsi="黑体" w:eastAsia="黑体"/>
          <w:lang w:bidi="ar"/>
        </w:rPr>
      </w:pPr>
      <w:r>
        <w:rPr>
          <w:rFonts w:hint="eastAsia" w:ascii="黑体" w:hAnsi="黑体" w:eastAsia="黑体"/>
          <w:lang w:bidi="ar"/>
        </w:rPr>
        <w:t>三、主要内容</w:t>
      </w:r>
    </w:p>
    <w:p>
      <w:pPr>
        <w:ind w:firstLine="640"/>
        <w:rPr>
          <w:lang w:bidi="ar"/>
        </w:rPr>
      </w:pPr>
      <w:r>
        <w:rPr>
          <w:rFonts w:hint="eastAsia"/>
          <w:lang w:bidi="ar"/>
        </w:rPr>
        <w:t>《管理办法》共五章二十九条，包含总则、规划建设、运维管理、法律责任以及附则相关内容。具体如下：</w:t>
      </w:r>
    </w:p>
    <w:p>
      <w:pPr>
        <w:ind w:firstLine="643"/>
        <w:rPr>
          <w:b w:val="0"/>
          <w:bCs w:val="0"/>
          <w:highlight w:val="none"/>
          <w:lang w:bidi="ar"/>
        </w:rPr>
      </w:pPr>
      <w:r>
        <w:rPr>
          <w:rFonts w:hint="eastAsia"/>
          <w:b w:val="0"/>
          <w:bCs w:val="0"/>
          <w:highlight w:val="none"/>
          <w:lang w:bidi="ar"/>
        </w:rPr>
        <w:t>第一章总则部分（第一条至第九条），规定了立法目的和依据；规定了本办法的适用范围；规定了城市照明、功能照明、景观照明以及照明设施的定义；规定了城市照明管理原则；明确城市管理、交通、农业农村、园林绿化、水务等部门以及各区政府的职责范围；规定了城市照明节能环保、安全应急和智慧管理要求；规定了鼓励社会资金用于城市照明建设和维护工作的要求。</w:t>
      </w:r>
    </w:p>
    <w:p>
      <w:pPr>
        <w:ind w:firstLine="643"/>
        <w:rPr>
          <w:b w:val="0"/>
          <w:bCs w:val="0"/>
          <w:highlight w:val="none"/>
          <w:lang w:bidi="ar"/>
        </w:rPr>
      </w:pPr>
      <w:r>
        <w:rPr>
          <w:rFonts w:hint="eastAsia"/>
          <w:b w:val="0"/>
          <w:bCs w:val="0"/>
          <w:lang w:bidi="ar"/>
        </w:rPr>
        <w:t>第二章规划建设部分</w:t>
      </w:r>
      <w:r>
        <w:rPr>
          <w:rFonts w:hint="eastAsia"/>
          <w:b w:val="0"/>
          <w:bCs w:val="0"/>
          <w:highlight w:val="none"/>
          <w:lang w:bidi="ar"/>
        </w:rPr>
        <w:t>（第十条至第十九条），规定了规划编制的要求、规划论证与评估的要求；明确了制修订功能照明和景观照明建设运维标准和管理规范的要求；规定了从事城市照明工程设计、勘察、施工、监理等工作单位的资质要求；规定了城市照明设计、许可、建设的要求；规定了照明设施验收、移交、迁改的相关要求。</w:t>
      </w:r>
    </w:p>
    <w:p>
      <w:pPr>
        <w:ind w:firstLine="643"/>
        <w:rPr>
          <w:b w:val="0"/>
          <w:bCs w:val="0"/>
          <w:highlight w:val="none"/>
          <w:lang w:bidi="ar"/>
        </w:rPr>
      </w:pPr>
      <w:r>
        <w:rPr>
          <w:rFonts w:hint="eastAsia"/>
          <w:b w:val="0"/>
          <w:bCs w:val="0"/>
          <w:highlight w:val="none"/>
          <w:lang w:bidi="ar"/>
        </w:rPr>
        <w:t>第三章运维管理部分（第二十条至第二十七条），明确了运维管理主体；规定了建立照明设施运维管理制度的要求；规定了照明设施日常运维管理要求；规定了功能照明运行管理要求、景观照明运行管理要求；规定了照明设施检测评估要求；规定了运维监督要求；明确了城市照明运维资金和电费保障相关要求。</w:t>
      </w:r>
    </w:p>
    <w:p>
      <w:pPr>
        <w:ind w:firstLine="643"/>
        <w:rPr>
          <w:b w:val="0"/>
          <w:bCs w:val="0"/>
          <w:highlight w:val="none"/>
          <w:lang w:bidi="ar"/>
        </w:rPr>
      </w:pPr>
      <w:r>
        <w:rPr>
          <w:rFonts w:hint="eastAsia"/>
          <w:b w:val="0"/>
          <w:bCs w:val="0"/>
          <w:highlight w:val="none"/>
          <w:lang w:bidi="ar"/>
        </w:rPr>
        <w:t>第四章法律责任部分（第二十八条），明确了违反有关规定的相关处罚及依据。</w:t>
      </w:r>
    </w:p>
    <w:p>
      <w:pPr>
        <w:ind w:firstLine="643"/>
        <w:rPr>
          <w:b w:val="0"/>
          <w:bCs w:val="0"/>
          <w:highlight w:val="none"/>
          <w:lang w:bidi="ar"/>
        </w:rPr>
      </w:pPr>
      <w:r>
        <w:rPr>
          <w:rFonts w:hint="eastAsia"/>
          <w:b w:val="0"/>
          <w:bCs w:val="0"/>
          <w:highlight w:val="none"/>
          <w:lang w:bidi="ar"/>
        </w:rPr>
        <w:t>第五章附则部分（第二十九条），规定了该《管理办法》具体施行时间和《北京市夜景照明管理办法》（京政办发〔2008〕27号）的废止时间。</w:t>
      </w:r>
    </w:p>
    <w:p>
      <w:pPr>
        <w:ind w:firstLine="640"/>
        <w:rPr>
          <w:rFonts w:hint="eastAsia" w:ascii="黑体" w:hAnsi="黑体" w:eastAsia="黑体"/>
          <w:lang w:bidi="ar"/>
        </w:rPr>
      </w:pPr>
      <w:r>
        <w:rPr>
          <w:rFonts w:hint="eastAsia" w:ascii="黑体" w:hAnsi="黑体" w:eastAsia="黑体"/>
          <w:lang w:bidi="ar"/>
        </w:rPr>
        <w:t>四、需要特别说明的问题</w:t>
      </w:r>
    </w:p>
    <w:p>
      <w:pPr>
        <w:ind w:firstLine="640"/>
        <w:rPr>
          <w:rFonts w:ascii="楷体_GB2312" w:eastAsia="楷体_GB2312"/>
          <w:lang w:bidi="ar"/>
        </w:rPr>
      </w:pPr>
      <w:r>
        <w:rPr>
          <w:rFonts w:hint="eastAsia" w:ascii="楷体_GB2312" w:eastAsia="楷体_GB2312"/>
          <w:lang w:bidi="ar"/>
        </w:rPr>
        <w:t>（一）有关文件内容的特殊情况</w:t>
      </w:r>
    </w:p>
    <w:p>
      <w:pPr>
        <w:ind w:firstLine="640"/>
        <w:rPr>
          <w:lang w:bidi="ar"/>
        </w:rPr>
      </w:pPr>
      <w:r>
        <w:rPr>
          <w:rFonts w:hint="eastAsia"/>
          <w:lang w:bidi="ar"/>
        </w:rPr>
        <w:t>无。</w:t>
      </w:r>
    </w:p>
    <w:p>
      <w:pPr>
        <w:ind w:firstLine="640"/>
        <w:rPr>
          <w:rFonts w:ascii="楷体_GB2312" w:eastAsia="楷体_GB2312"/>
          <w:lang w:bidi="ar"/>
        </w:rPr>
      </w:pPr>
      <w:r>
        <w:rPr>
          <w:rFonts w:hint="eastAsia" w:ascii="楷体_GB2312" w:eastAsia="楷体_GB2312"/>
          <w:lang w:bidi="ar"/>
        </w:rPr>
        <w:t>（二）发文形式、上会形式的情况</w:t>
      </w:r>
    </w:p>
    <w:p>
      <w:pPr>
        <w:ind w:firstLine="640"/>
        <w:rPr>
          <w:lang w:bidi="ar"/>
        </w:rPr>
      </w:pPr>
      <w:r>
        <w:rPr>
          <w:rFonts w:hint="eastAsia"/>
          <w:lang w:bidi="ar"/>
        </w:rPr>
        <w:t>《管理办法》计划以规范性文件的形式主动公开发文，通过专家论证、向社会公开征求意见等程序后，报市政府审核。</w:t>
      </w:r>
    </w:p>
    <w:p>
      <w:pPr>
        <w:ind w:firstLine="640"/>
        <w:rPr>
          <w:rFonts w:ascii="楷体_GB2312" w:eastAsia="楷体_GB2312"/>
          <w:lang w:bidi="ar"/>
        </w:rPr>
      </w:pPr>
      <w:r>
        <w:rPr>
          <w:rFonts w:hint="eastAsia" w:ascii="楷体_GB2312" w:eastAsia="楷体_GB2312"/>
          <w:lang w:bidi="ar"/>
        </w:rPr>
        <w:t>（三）与既有政策文件的衔接协调情况</w:t>
      </w:r>
    </w:p>
    <w:p>
      <w:pPr>
        <w:ind w:firstLine="640"/>
        <w:rPr>
          <w:rFonts w:hint="eastAsia" w:eastAsia="仿宋_GB2312"/>
          <w:highlight w:val="none"/>
          <w:lang w:eastAsia="zh-CN" w:bidi="ar"/>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417" w:gutter="0"/>
          <w:cols w:space="720" w:num="1"/>
          <w:docGrid w:linePitch="360" w:charSpace="0"/>
        </w:sectPr>
      </w:pPr>
      <w:r>
        <w:rPr>
          <w:rFonts w:hint="eastAsia"/>
          <w:highlight w:val="none"/>
          <w:lang w:bidi="ar"/>
        </w:rPr>
        <w:t>衔接《城市照明管理规定》（中华人民共和国住房和城乡建设部令第4号）。明确了城市照明等名词相关含义，统一功能照明和景观照明等概念；明确了城市照明规划和建设、节能环保、智慧管理和日常维护管理有关要求；明确了与城市道路、住宅区及重要建（构）筑物配套的城市照明设施，应按照城市照明规划要求，与主体工程同步设计、同步施工、同步验收、同步使用的要求。沿用吸纳《关于印发北京市道路照明管理体制改革方案的通知》（京管发〔2021〕8号）中有关市级部门职能职责，基本原则等方面制度成果，进一步理顺功能照明规划、建设、管理、运维相关参与单位职能职责，深化功能照明管理体制改革。沿用吸纳《关于进一步做好北京市道路照明管理工作的意见》（京管办发〔2021〕232号）中有关加强统筹协调、落实属地责任方面的规定和制度成果，巩固功能照明“接诉即办”长效机制，持续提升路灯设施管理和服务水平。对《北京市夜景照明管理办法》有关景观照明运行、供用电优惠政策的制度经验进一步细化和调整</w:t>
      </w:r>
      <w:r>
        <w:rPr>
          <w:rFonts w:hint="eastAsia"/>
          <w:highlight w:val="none"/>
          <w:lang w:eastAsia="zh-CN" w:bidi="ar"/>
        </w:rPr>
        <w:t>。</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9951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99693" cy="230505"/>
                      </a:xfrm>
                      <a:prstGeom prst="rect">
                        <a:avLst/>
                      </a:prstGeom>
                      <a:noFill/>
                      <a:ln>
                        <a:noFill/>
                      </a:ln>
                      <a:effectLst/>
                    </wps:spPr>
                    <wps:txbx>
                      <w:txbxContent>
                        <w:p>
                          <w:pPr>
                            <w:pStyle w:val="3"/>
                            <w:ind w:firstLine="0" w:firstLineChars="0"/>
                            <w:jc w:val="center"/>
                            <w:rPr>
                              <w:rFonts w:hint="eastAsia" w:ascii="宋体" w:hAnsi="宋体" w:cs="宋体"/>
                              <w:sz w:val="32"/>
                              <w:szCs w:val="32"/>
                              <w:lang w:eastAsia="zh"/>
                            </w:rPr>
                          </w:pPr>
                          <w:r>
                            <w:rPr>
                              <w:rFonts w:hint="eastAsia" w:ascii="宋体" w:hAnsi="宋体" w:cs="宋体"/>
                              <w:sz w:val="32"/>
                              <w:szCs w:val="32"/>
                              <w:lang w:eastAsia="zh"/>
                            </w:rPr>
                            <w:t>—</w:t>
                          </w:r>
                          <w:r>
                            <w:rPr>
                              <w:rFonts w:ascii="宋体" w:hAnsi="宋体" w:cs="宋体"/>
                              <w:sz w:val="32"/>
                              <w:szCs w:val="32"/>
                              <w:lang w:eastAsia="zh"/>
                            </w:rPr>
                            <w:t xml:space="preserve"> </w:t>
                          </w:r>
                          <w:r>
                            <w:rPr>
                              <w:rFonts w:hint="eastAsia" w:ascii="宋体" w:hAnsi="宋体" w:cs="宋体"/>
                              <w:sz w:val="32"/>
                              <w:szCs w:val="32"/>
                              <w:lang w:eastAsia="zh"/>
                            </w:rPr>
                            <w:fldChar w:fldCharType="begin"/>
                          </w:r>
                          <w:r>
                            <w:rPr>
                              <w:rFonts w:ascii="宋体" w:hAnsi="宋体" w:cs="宋体"/>
                              <w:sz w:val="32"/>
                              <w:szCs w:val="32"/>
                              <w:lang w:eastAsia="zh"/>
                            </w:rPr>
                            <w:instrText xml:space="preserve"> PAGE  \* MERGEFORMAT </w:instrText>
                          </w:r>
                          <w:r>
                            <w:rPr>
                              <w:rFonts w:hint="eastAsia" w:ascii="宋体" w:hAnsi="宋体" w:cs="宋体"/>
                              <w:sz w:val="32"/>
                              <w:szCs w:val="32"/>
                              <w:lang w:eastAsia="zh"/>
                            </w:rPr>
                            <w:fldChar w:fldCharType="separate"/>
                          </w:r>
                          <w:r>
                            <w:rPr>
                              <w:rFonts w:ascii="宋体" w:hAnsi="宋体" w:cs="宋体"/>
                              <w:sz w:val="32"/>
                              <w:szCs w:val="32"/>
                              <w:lang w:eastAsia="zh"/>
                            </w:rPr>
                            <w:t>- 1 -</w:t>
                          </w:r>
                          <w:r>
                            <w:rPr>
                              <w:rFonts w:hint="eastAsia" w:ascii="宋体" w:hAnsi="宋体" w:cs="宋体"/>
                              <w:sz w:val="32"/>
                              <w:szCs w:val="32"/>
                              <w:lang w:eastAsia="zh"/>
                            </w:rPr>
                            <w:fldChar w:fldCharType="end"/>
                          </w:r>
                          <w:r>
                            <w:rPr>
                              <w:rFonts w:ascii="宋体" w:hAnsi="宋体" w:cs="宋体"/>
                              <w:sz w:val="32"/>
                              <w:szCs w:val="32"/>
                              <w:lang w:eastAsia="zh"/>
                            </w:rPr>
                            <w:t xml:space="preserve"> —</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8.15pt;width:94.45pt;mso-position-horizontal:outside;mso-position-horizontal-relative:margin;z-index:251659264;mso-width-relative:page;mso-height-relative:page;" filled="f" stroked="f" coordsize="21600,21600" o:gfxdata="UEsFBgAAAAAAAAAAAAAAAAAAAAAAAFBLAwQKAAAAAACHTuJAAAAAAAAAAAAAAAAABAAAAGRycy9Q&#10;SwMEFAAAAAgAh07iQACF+nLTAAAABAEAAA8AAABkcnMvZG93bnJldi54bWxNjzFPwzAQhXck/oN1&#10;lVgQddxKURridECwsFFY2Nz4SKLa5yi+JqG/HpcFlpOe3tN731X7xTsx4Rj7QBrUOgOB1ATbU6vh&#10;4/3loQAR2ZA1LhBq+MYI+/r2pjKlDTO94XTgVqQSiqXR0DEPpZSx6dCbuA4DUvK+wugNJzm20o5m&#10;TuXeyU2W5dKbntJCZwZ86rA5Hc5eQ748D/evO9zMl8ZN9HlRilFpfbdS2SMIxoX/wnDFT+hQJ6Zj&#10;OJONwmlIj/DvvXpFsQNx1LDNtyDrSv6Hr38AUEsDBBQAAAAIAIdO4kDGgA4bEAIAABMEAAAOAAAA&#10;ZHJzL2Uyb0RvYy54bWytU0tu2zAQ3RfoHQjua8kOEjSC5SCN4aJA+gHSHoCmKIuoyGGHtCX3AO0N&#10;usqm+57L5+iQstw03WTRjTAkZ97Me/M0v+pNy3YKvQZb8ukk50xZCZW2m5J/+rh68ZIzH4StRAtW&#10;lXyvPL9aPH8271yhZtBAWylkBGJ90bmSNyG4Isu8bJQRfgJOWXqsAY0IdMRNVqHoCN202SzPL7IO&#10;sHIIUnlPt8vhkR8R8SmAUNdaqiXIrVE2DKioWhGIkm+083yRpq1rJcP7uvYqsLbkxDSkLzWheB2/&#10;2WIuig0K12h5HEE8ZYRHnIzQlpqeoJYiCLZF/Q+U0RLBQx0mEkw2EEmKEItp/kibu0Y4lbiQ1N6d&#10;RPf/D1a+231ApityAmdWGFr44cf3w/2vw89vbBrl6ZwvKOvOUV7oX0EfUyNV725BfvbMwk0j7EZd&#10;I0LXKFHReKkye1A64PgIsu7eQkV9xDZAAuprNBGQ1GCETqvZn1aj+sBkbDm9vLy4PONM0tvsLD/P&#10;z+NwmSjGaoc+vFZgWAxKjrT6hC52tz4MqWNKbGZhpds2rb+1f10Q5nCjkn+O1ZFLHH8gEvp1f9Rm&#10;DdWeWCEM3qI/i4IG8CtnHfmq5P7LVqDirH1jSZlowjHAMViPgbCSSkseOBvCmzCYdetQbxpCHrW/&#10;JvVWOhGLow1TkCDxQF5J0hx9Hc348Jyy/vzL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Ahfpy&#10;0wAAAAQBAAAPAAAAAAAAAAEAIAAAADgAAABkcnMvZG93bnJldi54bWxQSwECFAAUAAAACACHTuJA&#10;xoAOGxACAAATBAAADgAAAAAAAAABACAAAAA4AQAAZHJzL2Uyb0RvYy54bWxQSwUGAAAAAAYABgBZ&#10;AQAAugUAAAAA&#10;">
              <v:fill on="f" focussize="0,0"/>
              <v:stroke on="f"/>
              <v:imagedata o:title=""/>
              <o:lock v:ext="edit" aspectratio="f"/>
              <v:textbox inset="0mm,0mm,0mm,0mm" style="mso-fit-shape-to-text:t;">
                <w:txbxContent>
                  <w:p>
                    <w:pPr>
                      <w:pStyle w:val="3"/>
                      <w:ind w:firstLine="0" w:firstLineChars="0"/>
                      <w:jc w:val="center"/>
                      <w:rPr>
                        <w:rFonts w:hint="eastAsia" w:ascii="宋体" w:hAnsi="宋体" w:cs="宋体"/>
                        <w:sz w:val="32"/>
                        <w:szCs w:val="32"/>
                        <w:lang w:eastAsia="zh"/>
                      </w:rPr>
                    </w:pPr>
                    <w:r>
                      <w:rPr>
                        <w:rFonts w:hint="eastAsia" w:ascii="宋体" w:hAnsi="宋体" w:cs="宋体"/>
                        <w:sz w:val="32"/>
                        <w:szCs w:val="32"/>
                        <w:lang w:eastAsia="zh"/>
                      </w:rPr>
                      <w:t>—</w:t>
                    </w:r>
                    <w:r>
                      <w:rPr>
                        <w:rFonts w:ascii="宋体" w:hAnsi="宋体" w:cs="宋体"/>
                        <w:sz w:val="32"/>
                        <w:szCs w:val="32"/>
                        <w:lang w:eastAsia="zh"/>
                      </w:rPr>
                      <w:t xml:space="preserve"> </w:t>
                    </w:r>
                    <w:r>
                      <w:rPr>
                        <w:rFonts w:hint="eastAsia" w:ascii="宋体" w:hAnsi="宋体" w:cs="宋体"/>
                        <w:sz w:val="32"/>
                        <w:szCs w:val="32"/>
                        <w:lang w:eastAsia="zh"/>
                      </w:rPr>
                      <w:fldChar w:fldCharType="begin"/>
                    </w:r>
                    <w:r>
                      <w:rPr>
                        <w:rFonts w:ascii="宋体" w:hAnsi="宋体" w:cs="宋体"/>
                        <w:sz w:val="32"/>
                        <w:szCs w:val="32"/>
                        <w:lang w:eastAsia="zh"/>
                      </w:rPr>
                      <w:instrText xml:space="preserve"> PAGE  \* MERGEFORMAT </w:instrText>
                    </w:r>
                    <w:r>
                      <w:rPr>
                        <w:rFonts w:hint="eastAsia" w:ascii="宋体" w:hAnsi="宋体" w:cs="宋体"/>
                        <w:sz w:val="32"/>
                        <w:szCs w:val="32"/>
                        <w:lang w:eastAsia="zh"/>
                      </w:rPr>
                      <w:fldChar w:fldCharType="separate"/>
                    </w:r>
                    <w:r>
                      <w:rPr>
                        <w:rFonts w:ascii="宋体" w:hAnsi="宋体" w:cs="宋体"/>
                        <w:sz w:val="32"/>
                        <w:szCs w:val="32"/>
                        <w:lang w:eastAsia="zh"/>
                      </w:rPr>
                      <w:t>- 1 -</w:t>
                    </w:r>
                    <w:r>
                      <w:rPr>
                        <w:rFonts w:hint="eastAsia" w:ascii="宋体" w:hAnsi="宋体" w:cs="宋体"/>
                        <w:sz w:val="32"/>
                        <w:szCs w:val="32"/>
                        <w:lang w:eastAsia="zh"/>
                      </w:rPr>
                      <w:fldChar w:fldCharType="end"/>
                    </w:r>
                    <w:r>
                      <w:rPr>
                        <w:rFonts w:ascii="宋体" w:hAnsi="宋体" w:cs="宋体"/>
                        <w:sz w:val="32"/>
                        <w:szCs w:val="32"/>
                        <w:lang w:eastAsia="zh"/>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B7D5AC"/>
    <w:rsid w:val="D6B7D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_GB2312" w:hAnsi="Arial" w:eastAsia="仿宋_GB2312" w:cs="Times New Roman"/>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footer"/>
    <w:basedOn w:val="1"/>
    <w:next w:val="1"/>
    <w:qFormat/>
    <w:uiPriority w:val="99"/>
    <w:pPr>
      <w:tabs>
        <w:tab w:val="center" w:pos="4153"/>
        <w:tab w:val="right" w:pos="8306"/>
      </w:tabs>
      <w:snapToGrid w:val="0"/>
      <w:jc w:val="left"/>
    </w:pPr>
    <w:rPr>
      <w:sz w:val="18"/>
      <w:szCs w:val="18"/>
    </w:rPr>
  </w:style>
  <w:style w:type="paragraph" w:styleId="4">
    <w:name w:val="header"/>
    <w:basedOn w:val="1"/>
    <w:qFormat/>
    <w:uiPriority w:val="99"/>
    <w:pPr>
      <w:tabs>
        <w:tab w:val="center" w:pos="4153"/>
        <w:tab w:val="right" w:pos="8306"/>
      </w:tabs>
      <w:snapToGrid w:val="0"/>
      <w:jc w:val="center"/>
    </w:pPr>
    <w:rPr>
      <w:sz w:val="18"/>
      <w:szCs w:val="18"/>
    </w:rPr>
  </w:style>
  <w:style w:type="paragraph" w:styleId="5">
    <w:name w:val="Title"/>
    <w:basedOn w:val="1"/>
    <w:next w:val="1"/>
    <w:qFormat/>
    <w:uiPriority w:val="0"/>
    <w:pPr>
      <w:spacing w:line="640" w:lineRule="exact"/>
      <w:ind w:firstLine="0" w:firstLineChars="0"/>
      <w:contextualSpacing/>
      <w:jc w:val="center"/>
    </w:pPr>
    <w:rPr>
      <w:rFonts w:ascii="等线 Light" w:hAnsi="等线 Light" w:eastAsia="方正小标宋简体"/>
      <w:spacing w:val="-10"/>
      <w:kern w:val="28"/>
      <w:sz w:val="44"/>
      <w:szCs w:val="5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2025-11-20T12:48:00Z</dcterms:created>
  <dc:creator> </dc:creator>
  <cp:lastModifiedBy> </cp:lastModifiedBy>
  <dcterms:modified xsi:type="dcterms:W3CDTF">2025-11-20T12:48:41Z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4E6B04ED9DA7E54E839D1E69A9DF0DA1</vt:lpwstr>
  </property>
</Properties>
</file>