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spacing w:line="600" w:lineRule="exact"/>
        <w:jc w:val="both"/>
        <w:rPr>
          <w:rFonts w:hint="eastAsia"/>
          <w:lang w:bidi="ar"/>
        </w:rPr>
      </w:pPr>
    </w:p>
    <w:p>
      <w:pPr>
        <w:pStyle w:val="24"/>
        <w:spacing w:line="600" w:lineRule="exact"/>
        <w:rPr>
          <w:rFonts w:hint="eastAsia"/>
          <w:lang w:bidi="ar"/>
        </w:rPr>
      </w:pPr>
      <w:bookmarkStart w:id="28" w:name="_GoBack"/>
      <w:r>
        <w:rPr>
          <w:rFonts w:hint="eastAsia"/>
          <w:lang w:bidi="ar"/>
        </w:rPr>
        <w:t>北京市城市照明管理办法</w:t>
      </w:r>
    </w:p>
    <w:p>
      <w:pPr>
        <w:pStyle w:val="24"/>
        <w:spacing w:line="600" w:lineRule="exact"/>
        <w:rPr>
          <w:rFonts w:hint="eastAsia" w:ascii="楷体_GB2312" w:eastAsia="楷体_GB2312"/>
          <w:sz w:val="32"/>
          <w:szCs w:val="32"/>
          <w:lang w:bidi="ar"/>
        </w:rPr>
      </w:pPr>
      <w:r>
        <w:rPr>
          <w:rFonts w:hint="eastAsia" w:ascii="楷体_GB2312" w:eastAsia="楷体_GB2312"/>
          <w:sz w:val="32"/>
          <w:szCs w:val="32"/>
          <w:lang w:bidi="ar"/>
        </w:rPr>
        <w:t>（征求意见稿）</w:t>
      </w:r>
    </w:p>
    <w:bookmarkEnd w:id="28"/>
    <w:p>
      <w:pPr>
        <w:spacing w:line="600" w:lineRule="exact"/>
        <w:ind w:firstLine="0" w:firstLineChars="0"/>
        <w:rPr>
          <w:rFonts w:hint="eastAsia"/>
        </w:rPr>
      </w:pPr>
    </w:p>
    <w:p>
      <w:pPr>
        <w:keepNext/>
        <w:keepLines/>
        <w:adjustRightInd w:val="0"/>
        <w:snapToGrid w:val="0"/>
        <w:ind w:firstLine="0" w:firstLineChars="0"/>
        <w:jc w:val="center"/>
        <w:rPr>
          <w:rFonts w:hint="eastAsia" w:ascii="黑体" w:hAnsi="黑体" w:eastAsia="黑体"/>
          <w:snapToGrid w:val="0"/>
          <w:kern w:val="44"/>
          <w:szCs w:val="32"/>
        </w:rPr>
      </w:pPr>
      <w:r>
        <w:rPr>
          <w:rFonts w:hint="eastAsia" w:ascii="黑体" w:hAnsi="黑体" w:eastAsia="黑体"/>
          <w:snapToGrid w:val="0"/>
          <w:kern w:val="44"/>
          <w:szCs w:val="32"/>
        </w:rPr>
        <w:t>第一章  总　则</w:t>
      </w:r>
    </w:p>
    <w:p>
      <w:pPr>
        <w:numPr>
          <w:ilvl w:val="0"/>
          <w:numId w:val="1"/>
        </w:numPr>
        <w:adjustRightInd w:val="0"/>
        <w:snapToGrid w:val="0"/>
        <w:ind w:left="0" w:firstLine="640"/>
        <w:rPr>
          <w:rFonts w:hint="eastAsia" w:ascii="楷体_GB2312" w:hAnsi="楷体_GB2312" w:eastAsia="楷体_GB2312"/>
          <w:snapToGrid w:val="0"/>
          <w:kern w:val="32"/>
          <w:szCs w:val="32"/>
        </w:rPr>
      </w:pPr>
      <w:bookmarkStart w:id="0" w:name="_Hlk211350588"/>
      <w:r>
        <w:rPr>
          <w:rFonts w:hint="eastAsia" w:ascii="楷体_GB2312" w:hAnsi="楷体_GB2312" w:eastAsia="楷体_GB2312"/>
          <w:snapToGrid w:val="0"/>
          <w:kern w:val="32"/>
          <w:szCs w:val="32"/>
        </w:rPr>
        <w:t>【目的和依据】</w:t>
      </w:r>
    </w:p>
    <w:p>
      <w:pPr>
        <w:adjustRightInd w:val="0"/>
        <w:snapToGrid w:val="0"/>
        <w:ind w:firstLine="640"/>
        <w:contextualSpacing/>
        <w:rPr>
          <w:rFonts w:hint="eastAsia" w:ascii="宋体" w:hAnsi="宋体"/>
          <w:snapToGrid w:val="0"/>
          <w:kern w:val="32"/>
          <w:szCs w:val="32"/>
        </w:rPr>
      </w:pPr>
      <w:r>
        <w:rPr>
          <w:rFonts w:hint="eastAsia" w:ascii="宋体" w:hAnsi="宋体"/>
          <w:snapToGrid w:val="0"/>
          <w:kern w:val="32"/>
          <w:szCs w:val="32"/>
        </w:rPr>
        <w:t>为加强本市城市照明管理工作，促进首都夜间环境品质提升，根据《城市照明管理规定》（中华人民共和国住房和城乡建设部</w:t>
      </w:r>
      <w:r>
        <w:rPr>
          <w:rFonts w:hint="eastAsia" w:ascii="仿宋_GB2312" w:hAnsi="仿宋_GB2312" w:cs="仿宋_GB2312"/>
          <w:snapToGrid w:val="0"/>
          <w:kern w:val="32"/>
          <w:szCs w:val="32"/>
        </w:rPr>
        <w:t>令第4号</w:t>
      </w:r>
      <w:r>
        <w:rPr>
          <w:rFonts w:hint="eastAsia" w:ascii="宋体" w:hAnsi="宋体"/>
          <w:snapToGrid w:val="0"/>
          <w:kern w:val="32"/>
          <w:szCs w:val="32"/>
        </w:rPr>
        <w:t>）、《北京市市容环境卫生条例》和有关</w:t>
      </w:r>
      <w:r>
        <w:rPr>
          <w:rFonts w:hint="eastAsia" w:ascii="宋体" w:hAnsi="宋体"/>
          <w:snapToGrid w:val="0"/>
          <w:kern w:val="32"/>
          <w:szCs w:val="32"/>
          <w:highlight w:val="none"/>
        </w:rPr>
        <w:t>法律</w:t>
      </w:r>
      <w:r>
        <w:rPr>
          <w:rFonts w:hint="eastAsia" w:ascii="宋体" w:hAnsi="宋体"/>
          <w:snapToGrid w:val="0"/>
          <w:kern w:val="32"/>
          <w:szCs w:val="32"/>
        </w:rPr>
        <w:t>法规，结合本市实际情况，制定本办法。</w:t>
      </w:r>
    </w:p>
    <w:p>
      <w:pPr>
        <w:numPr>
          <w:ilvl w:val="0"/>
          <w:numId w:val="1"/>
        </w:numPr>
        <w:adjustRightInd w:val="0"/>
        <w:snapToGrid w:val="0"/>
        <w:ind w:left="0" w:firstLine="640"/>
        <w:rPr>
          <w:rFonts w:hint="eastAsia" w:ascii="楷体_GB2312" w:hAnsi="楷体_GB2312" w:eastAsia="楷体_GB2312"/>
          <w:snapToGrid w:val="0"/>
          <w:kern w:val="32"/>
          <w:szCs w:val="32"/>
        </w:rPr>
      </w:pPr>
      <w:r>
        <w:rPr>
          <w:rFonts w:hint="eastAsia" w:ascii="楷体_GB2312" w:hAnsi="楷体_GB2312" w:eastAsia="楷体_GB2312"/>
          <w:snapToGrid w:val="0"/>
          <w:kern w:val="32"/>
          <w:szCs w:val="32"/>
        </w:rPr>
        <w:t>【适用范围】</w:t>
      </w:r>
    </w:p>
    <w:p>
      <w:pPr>
        <w:adjustRightInd w:val="0"/>
        <w:snapToGrid w:val="0"/>
        <w:ind w:firstLine="640"/>
        <w:rPr>
          <w:rFonts w:hint="eastAsia" w:ascii="宋体" w:hAnsi="宋体"/>
          <w:snapToGrid w:val="0"/>
          <w:kern w:val="32"/>
          <w:szCs w:val="32"/>
        </w:rPr>
      </w:pPr>
      <w:r>
        <w:rPr>
          <w:rFonts w:hint="eastAsia" w:ascii="宋体" w:hAnsi="宋体"/>
          <w:snapToGrid w:val="0"/>
          <w:kern w:val="32"/>
          <w:szCs w:val="32"/>
        </w:rPr>
        <w:t>本市行政区域内城市照明的规划、设计、建设、运行、维护及其他相关监督管理活动，适用本办法。</w:t>
      </w:r>
    </w:p>
    <w:p>
      <w:pPr>
        <w:numPr>
          <w:ilvl w:val="0"/>
          <w:numId w:val="1"/>
        </w:numPr>
        <w:adjustRightInd w:val="0"/>
        <w:snapToGrid w:val="0"/>
        <w:ind w:left="0" w:firstLine="640"/>
        <w:rPr>
          <w:rFonts w:hint="eastAsia" w:ascii="楷体_GB2312" w:hAnsi="楷体_GB2312" w:eastAsia="楷体_GB2312"/>
          <w:snapToGrid w:val="0"/>
          <w:kern w:val="32"/>
          <w:szCs w:val="32"/>
        </w:rPr>
      </w:pPr>
      <w:r>
        <w:rPr>
          <w:rFonts w:hint="eastAsia" w:ascii="楷体_GB2312" w:hAnsi="楷体_GB2312" w:eastAsia="楷体_GB2312"/>
          <w:snapToGrid w:val="0"/>
          <w:kern w:val="32"/>
          <w:szCs w:val="32"/>
        </w:rPr>
        <w:t>【名词定义】</w:t>
      </w:r>
    </w:p>
    <w:p>
      <w:pPr>
        <w:adjustRightInd w:val="0"/>
        <w:snapToGrid w:val="0"/>
        <w:ind w:firstLine="640"/>
        <w:rPr>
          <w:rFonts w:hint="eastAsia" w:ascii="宋体" w:hAnsi="宋体"/>
          <w:snapToGrid w:val="0"/>
          <w:kern w:val="32"/>
          <w:szCs w:val="32"/>
        </w:rPr>
      </w:pPr>
      <w:r>
        <w:rPr>
          <w:rFonts w:hint="eastAsia" w:ascii="宋体" w:hAnsi="宋体"/>
          <w:snapToGrid w:val="0"/>
          <w:kern w:val="32"/>
          <w:szCs w:val="32"/>
        </w:rPr>
        <w:t>本办法所称城市照明，是指城市道路、公路、隧道、</w:t>
      </w:r>
      <w:bookmarkStart w:id="1" w:name="_Hlk211256123"/>
      <w:r>
        <w:rPr>
          <w:rFonts w:hint="eastAsia" w:ascii="宋体" w:hAnsi="宋体"/>
          <w:snapToGrid w:val="0"/>
          <w:kern w:val="32"/>
          <w:szCs w:val="32"/>
        </w:rPr>
        <w:t>广场、公园、河湖、公共绿地、名胜古迹以及其他建（构）筑物</w:t>
      </w:r>
      <w:bookmarkEnd w:id="1"/>
      <w:r>
        <w:rPr>
          <w:rFonts w:hint="eastAsia" w:ascii="宋体" w:hAnsi="宋体"/>
          <w:snapToGrid w:val="0"/>
          <w:kern w:val="32"/>
          <w:szCs w:val="32"/>
        </w:rPr>
        <w:t>的功能照明或者景观照明。</w:t>
      </w:r>
    </w:p>
    <w:p>
      <w:pPr>
        <w:adjustRightInd w:val="0"/>
        <w:snapToGrid w:val="0"/>
        <w:ind w:firstLine="640"/>
        <w:rPr>
          <w:rFonts w:hint="eastAsia" w:ascii="宋体" w:hAnsi="宋体"/>
          <w:snapToGrid w:val="0"/>
          <w:kern w:val="32"/>
          <w:szCs w:val="32"/>
        </w:rPr>
      </w:pPr>
      <w:r>
        <w:rPr>
          <w:rFonts w:hint="eastAsia" w:ascii="宋体" w:hAnsi="宋体"/>
          <w:snapToGrid w:val="0"/>
          <w:kern w:val="32"/>
          <w:szCs w:val="32"/>
        </w:rPr>
        <w:t>功能照明是指通过人工光以保障行人通行、车辆行驶和户外活动为目的的照明。</w:t>
      </w:r>
    </w:p>
    <w:p>
      <w:pPr>
        <w:adjustRightInd w:val="0"/>
        <w:snapToGrid w:val="0"/>
        <w:ind w:firstLine="640"/>
        <w:rPr>
          <w:rFonts w:hint="eastAsia" w:ascii="宋体" w:hAnsi="宋体"/>
          <w:snapToGrid w:val="0"/>
          <w:spacing w:val="-6"/>
          <w:kern w:val="32"/>
          <w:szCs w:val="32"/>
        </w:rPr>
      </w:pPr>
      <w:r>
        <w:rPr>
          <w:rFonts w:hint="eastAsia" w:ascii="宋体" w:hAnsi="宋体"/>
          <w:snapToGrid w:val="0"/>
          <w:spacing w:val="-6"/>
          <w:kern w:val="32"/>
          <w:szCs w:val="32"/>
        </w:rPr>
        <w:t>景观照明是指在户外通过人工光以装饰和造景为目的的照明。</w:t>
      </w:r>
    </w:p>
    <w:p>
      <w:pPr>
        <w:adjustRightInd w:val="0"/>
        <w:snapToGrid w:val="0"/>
        <w:ind w:firstLine="640"/>
        <w:rPr>
          <w:rFonts w:hint="eastAsia" w:ascii="宋体" w:hAnsi="宋体"/>
          <w:snapToGrid w:val="0"/>
          <w:kern w:val="32"/>
          <w:szCs w:val="32"/>
        </w:rPr>
      </w:pPr>
      <w:r>
        <w:rPr>
          <w:rFonts w:hint="eastAsia" w:ascii="宋体" w:hAnsi="宋体"/>
          <w:snapToGrid w:val="0"/>
          <w:kern w:val="32"/>
          <w:szCs w:val="32"/>
        </w:rPr>
        <w:t>照明设施是指用于城市照明的照明器具以及配电、监控、节能等系统的设备和附属设施等。</w:t>
      </w:r>
    </w:p>
    <w:p>
      <w:pPr>
        <w:numPr>
          <w:ilvl w:val="0"/>
          <w:numId w:val="1"/>
        </w:numPr>
        <w:adjustRightInd w:val="0"/>
        <w:snapToGrid w:val="0"/>
        <w:ind w:left="0" w:firstLine="640"/>
        <w:rPr>
          <w:rFonts w:hint="eastAsia" w:ascii="楷体_GB2312" w:hAnsi="楷体_GB2312" w:eastAsia="楷体_GB2312"/>
          <w:snapToGrid w:val="0"/>
          <w:kern w:val="32"/>
          <w:szCs w:val="32"/>
        </w:rPr>
      </w:pPr>
      <w:r>
        <w:rPr>
          <w:rFonts w:hint="eastAsia" w:ascii="楷体_GB2312" w:hAnsi="楷体_GB2312" w:eastAsia="楷体_GB2312"/>
          <w:snapToGrid w:val="0"/>
          <w:kern w:val="32"/>
          <w:szCs w:val="32"/>
        </w:rPr>
        <w:t>【管理原则】</w:t>
      </w:r>
    </w:p>
    <w:p>
      <w:pPr>
        <w:adjustRightInd w:val="0"/>
        <w:snapToGrid w:val="0"/>
        <w:ind w:firstLine="640"/>
        <w:contextualSpacing/>
        <w:rPr>
          <w:rFonts w:hint="eastAsia" w:ascii="宋体" w:hAnsi="宋体"/>
          <w:snapToGrid w:val="0"/>
          <w:kern w:val="32"/>
          <w:szCs w:val="32"/>
        </w:rPr>
      </w:pPr>
      <w:r>
        <w:rPr>
          <w:rFonts w:hint="eastAsia" w:ascii="宋体" w:hAnsi="宋体"/>
          <w:snapToGrid w:val="0"/>
          <w:kern w:val="32"/>
          <w:szCs w:val="32"/>
        </w:rPr>
        <w:t>本市城市照明管理遵循政府主导、社会参与、安全运行、智慧韧性</w:t>
      </w:r>
      <w:r>
        <w:rPr>
          <w:rFonts w:hint="eastAsia" w:ascii="宋体" w:hAnsi="宋体"/>
          <w:snapToGrid w:val="0"/>
          <w:color w:val="000000"/>
          <w:kern w:val="32"/>
          <w:szCs w:val="32"/>
        </w:rPr>
        <w:t>、</w:t>
      </w:r>
      <w:r>
        <w:rPr>
          <w:rFonts w:hint="eastAsia" w:ascii="宋体" w:hAnsi="宋体"/>
          <w:snapToGrid w:val="0"/>
          <w:kern w:val="32"/>
          <w:szCs w:val="32"/>
        </w:rPr>
        <w:t>绿色低碳、分级</w:t>
      </w:r>
      <w:r>
        <w:rPr>
          <w:rFonts w:hint="eastAsia" w:ascii="宋体" w:hAnsi="宋体"/>
          <w:snapToGrid w:val="0"/>
          <w:color w:val="000000"/>
          <w:kern w:val="32"/>
          <w:szCs w:val="32"/>
        </w:rPr>
        <w:t>负责的原则。</w:t>
      </w:r>
    </w:p>
    <w:p>
      <w:pPr>
        <w:numPr>
          <w:ilvl w:val="0"/>
          <w:numId w:val="1"/>
        </w:numPr>
        <w:adjustRightInd w:val="0"/>
        <w:snapToGrid w:val="0"/>
        <w:ind w:left="0" w:firstLine="640"/>
        <w:rPr>
          <w:rFonts w:hint="eastAsia" w:ascii="楷体_GB2312" w:hAnsi="楷体_GB2312" w:eastAsia="楷体_GB2312"/>
          <w:snapToGrid w:val="0"/>
          <w:kern w:val="32"/>
          <w:szCs w:val="32"/>
        </w:rPr>
      </w:pPr>
      <w:r>
        <w:rPr>
          <w:rFonts w:hint="eastAsia" w:ascii="楷体_GB2312" w:hAnsi="楷体_GB2312" w:eastAsia="楷体_GB2312"/>
          <w:snapToGrid w:val="0"/>
          <w:kern w:val="32"/>
          <w:szCs w:val="32"/>
        </w:rPr>
        <w:t>【职责划分】</w:t>
      </w:r>
    </w:p>
    <w:p>
      <w:pPr>
        <w:adjustRightInd w:val="0"/>
        <w:snapToGrid w:val="0"/>
        <w:ind w:firstLine="640"/>
        <w:rPr>
          <w:rFonts w:hint="eastAsia" w:ascii="宋体" w:hAnsi="宋体"/>
          <w:snapToGrid w:val="0"/>
          <w:color w:val="000000"/>
          <w:kern w:val="32"/>
          <w:szCs w:val="32"/>
          <w:highlight w:val="magenta"/>
        </w:rPr>
      </w:pPr>
      <w:bookmarkStart w:id="2" w:name="_Hlk211507512"/>
      <w:bookmarkStart w:id="3" w:name="_Hlk211336654"/>
      <w:r>
        <w:rPr>
          <w:rFonts w:hint="eastAsia" w:ascii="宋体" w:hAnsi="宋体"/>
          <w:snapToGrid w:val="0"/>
          <w:color w:val="000000"/>
          <w:kern w:val="32"/>
          <w:szCs w:val="32"/>
        </w:rPr>
        <w:t>市城市管理部门负责全市城市照明的统筹规划、组织协调和监督管理工作</w:t>
      </w:r>
      <w:r>
        <w:rPr>
          <w:rFonts w:hint="eastAsia" w:ascii="宋体" w:hAnsi="宋体"/>
          <w:snapToGrid w:val="0"/>
          <w:color w:val="000000"/>
          <w:kern w:val="32"/>
          <w:szCs w:val="32"/>
          <w:highlight w:val="none"/>
        </w:rPr>
        <w:t>；组织相关标准拟订</w:t>
      </w:r>
      <w:r>
        <w:rPr>
          <w:rFonts w:hint="eastAsia" w:ascii="宋体" w:hAnsi="宋体"/>
          <w:snapToGrid w:val="0"/>
          <w:color w:val="000000"/>
          <w:kern w:val="32"/>
          <w:szCs w:val="32"/>
          <w:highlight w:val="none"/>
          <w:lang w:eastAsia="zh"/>
        </w:rPr>
        <w:t>工作</w:t>
      </w:r>
      <w:r>
        <w:rPr>
          <w:rFonts w:hint="eastAsia" w:ascii="宋体" w:hAnsi="宋体"/>
          <w:snapToGrid w:val="0"/>
          <w:color w:val="000000"/>
          <w:kern w:val="32"/>
          <w:szCs w:val="32"/>
          <w:highlight w:val="none"/>
        </w:rPr>
        <w:t>；具体负责重要地区、场所景观照明工作；指导各区及有关单位的功能照明和景观照明工作。</w:t>
      </w:r>
    </w:p>
    <w:p>
      <w:pPr>
        <w:adjustRightInd w:val="0"/>
        <w:snapToGrid w:val="0"/>
        <w:ind w:firstLine="640" w:firstLineChars="0"/>
        <w:rPr>
          <w:rFonts w:hint="eastAsia" w:hAnsi="仿宋_GB2312" w:cs="仿宋_GB2312"/>
          <w:snapToGrid w:val="0"/>
          <w:color w:val="000000"/>
          <w:kern w:val="32"/>
          <w:szCs w:val="32"/>
          <w:highlight w:val="none"/>
        </w:rPr>
      </w:pPr>
      <w:r>
        <w:rPr>
          <w:rFonts w:hint="eastAsia" w:hAnsi="仿宋_GB2312" w:cs="仿宋_GB2312"/>
          <w:snapToGrid w:val="0"/>
          <w:color w:val="000000"/>
          <w:kern w:val="32"/>
          <w:szCs w:val="32"/>
          <w:highlight w:val="none"/>
        </w:rPr>
        <w:t>市交通部门支持配合做好城市道路、公路新建、改（扩）建工程项目中同步实施的功能照明设施建设、组织协调工作；督促、指导所属城市道路隧道、公路隧道及城市地下通道照明设施的运维管理工作。</w:t>
      </w:r>
    </w:p>
    <w:p>
      <w:pPr>
        <w:adjustRightInd w:val="0"/>
        <w:snapToGrid w:val="0"/>
        <w:ind w:firstLine="640" w:firstLineChars="0"/>
        <w:rPr>
          <w:rFonts w:hint="eastAsia" w:hAnsi="仿宋_GB2312" w:cs="仿宋_GB2312"/>
          <w:snapToGrid w:val="0"/>
          <w:color w:val="000000"/>
          <w:kern w:val="32"/>
          <w:szCs w:val="32"/>
        </w:rPr>
      </w:pPr>
      <w:r>
        <w:rPr>
          <w:rFonts w:hint="eastAsia" w:hAnsi="仿宋_GB2312" w:cs="仿宋_GB2312"/>
          <w:snapToGrid w:val="0"/>
          <w:color w:val="000000"/>
          <w:kern w:val="32"/>
          <w:szCs w:val="32"/>
        </w:rPr>
        <w:t>市农业农村部门负责</w:t>
      </w:r>
      <w:r>
        <w:rPr>
          <w:rFonts w:hint="eastAsia" w:hAnsi="仿宋_GB2312" w:cs="仿宋_GB2312"/>
          <w:snapToGrid w:val="0"/>
          <w:color w:val="000000"/>
          <w:kern w:val="2"/>
          <w:szCs w:val="32"/>
        </w:rPr>
        <w:t>组织、指导村庄居住区范围内街坊路照明设施的建设、运维、管理工作</w:t>
      </w:r>
      <w:r>
        <w:rPr>
          <w:rFonts w:hint="eastAsia" w:hAnsi="仿宋_GB2312" w:cs="仿宋_GB2312"/>
          <w:snapToGrid w:val="0"/>
          <w:color w:val="000000"/>
          <w:kern w:val="32"/>
          <w:szCs w:val="32"/>
        </w:rPr>
        <w:t>。</w:t>
      </w:r>
    </w:p>
    <w:p>
      <w:pPr>
        <w:adjustRightInd w:val="0"/>
        <w:snapToGrid w:val="0"/>
        <w:ind w:firstLine="640" w:firstLineChars="0"/>
        <w:rPr>
          <w:rFonts w:hint="eastAsia" w:hAnsi="仿宋_GB2312" w:cs="仿宋_GB2312"/>
          <w:strike/>
          <w:snapToGrid w:val="0"/>
          <w:color w:val="000000"/>
          <w:kern w:val="32"/>
          <w:szCs w:val="32"/>
          <w:highlight w:val="none"/>
        </w:rPr>
      </w:pPr>
      <w:r>
        <w:rPr>
          <w:rFonts w:hint="eastAsia" w:hAnsi="仿宋_GB2312" w:cs="仿宋_GB2312"/>
          <w:snapToGrid w:val="0"/>
          <w:color w:val="000000"/>
          <w:kern w:val="32"/>
          <w:szCs w:val="32"/>
          <w:highlight w:val="none"/>
        </w:rPr>
        <w:t>市园林绿化部门负责组织市属园林绿地等范围内照明设施的建设、运维、管理工作；建立联络机制，配合做好树木修剪工作。</w:t>
      </w:r>
    </w:p>
    <w:p>
      <w:pPr>
        <w:adjustRightInd w:val="0"/>
        <w:snapToGrid w:val="0"/>
        <w:ind w:firstLine="640" w:firstLineChars="0"/>
        <w:rPr>
          <w:rFonts w:hint="eastAsia" w:hAnsi="仿宋_GB2312" w:cs="仿宋_GB2312"/>
          <w:snapToGrid w:val="0"/>
          <w:color w:val="000000"/>
          <w:kern w:val="32"/>
          <w:szCs w:val="32"/>
        </w:rPr>
      </w:pPr>
      <w:r>
        <w:rPr>
          <w:rFonts w:hint="eastAsia" w:hAnsi="仿宋_GB2312" w:cs="仿宋_GB2312"/>
          <w:snapToGrid w:val="0"/>
          <w:color w:val="000000"/>
          <w:kern w:val="32"/>
          <w:szCs w:val="32"/>
        </w:rPr>
        <w:t>市水务部门负责直管巡河路照明设施的建设、运维和监督管理工作，做好河湖管理范围内其他照明设施建设等相关施工的监督配合工作。</w:t>
      </w:r>
    </w:p>
    <w:p>
      <w:pPr>
        <w:adjustRightInd w:val="0"/>
        <w:snapToGrid w:val="0"/>
        <w:ind w:firstLine="640"/>
        <w:contextualSpacing/>
        <w:rPr>
          <w:rFonts w:hint="eastAsia" w:ascii="宋体" w:hAnsi="宋体" w:cs="仿宋_GB2312"/>
          <w:snapToGrid w:val="0"/>
          <w:color w:val="000000"/>
          <w:kern w:val="32"/>
          <w:szCs w:val="32"/>
          <w:highlight w:val="none"/>
        </w:rPr>
      </w:pPr>
      <w:bookmarkStart w:id="4" w:name="_Hlk211342492"/>
      <w:r>
        <w:rPr>
          <w:rFonts w:hint="eastAsia" w:ascii="宋体" w:hAnsi="宋体" w:cs="仿宋_GB2312"/>
          <w:snapToGrid w:val="0"/>
          <w:color w:val="000000"/>
          <w:kern w:val="32"/>
          <w:szCs w:val="32"/>
          <w:highlight w:val="none"/>
          <w:lang w:eastAsia="zh"/>
        </w:rPr>
        <w:t>市</w:t>
      </w:r>
      <w:r>
        <w:rPr>
          <w:rFonts w:hint="eastAsia" w:ascii="宋体" w:hAnsi="宋体" w:cs="仿宋_GB2312"/>
          <w:snapToGrid w:val="0"/>
          <w:color w:val="000000"/>
          <w:kern w:val="32"/>
          <w:szCs w:val="32"/>
          <w:highlight w:val="none"/>
        </w:rPr>
        <w:t>发展改革、财政、规划自然资源、住房城乡建设、商务、文化和旅游、文物、政务和数据</w:t>
      </w:r>
      <w:bookmarkEnd w:id="4"/>
      <w:r>
        <w:rPr>
          <w:rFonts w:hint="eastAsia" w:ascii="宋体" w:hAnsi="宋体" w:cs="仿宋_GB2312"/>
          <w:snapToGrid w:val="0"/>
          <w:color w:val="000000"/>
          <w:kern w:val="32"/>
          <w:szCs w:val="32"/>
          <w:highlight w:val="none"/>
        </w:rPr>
        <w:t>等相关管理部门按照各自职责，指导、支持、配合</w:t>
      </w:r>
      <w:bookmarkStart w:id="5" w:name="_Hlk211256706"/>
      <w:r>
        <w:rPr>
          <w:rFonts w:hint="eastAsia" w:ascii="宋体" w:hAnsi="宋体" w:cs="仿宋_GB2312"/>
          <w:snapToGrid w:val="0"/>
          <w:color w:val="000000"/>
          <w:kern w:val="32"/>
          <w:szCs w:val="32"/>
          <w:highlight w:val="none"/>
        </w:rPr>
        <w:t>做好城市照明相关</w:t>
      </w:r>
      <w:bookmarkStart w:id="6" w:name="_Hlk211256232"/>
      <w:r>
        <w:rPr>
          <w:rFonts w:hint="eastAsia" w:ascii="宋体" w:hAnsi="宋体" w:cs="仿宋_GB2312"/>
          <w:snapToGrid w:val="0"/>
          <w:color w:val="000000"/>
          <w:kern w:val="32"/>
          <w:szCs w:val="32"/>
          <w:highlight w:val="none"/>
        </w:rPr>
        <w:t>工作</w:t>
      </w:r>
      <w:bookmarkEnd w:id="5"/>
      <w:bookmarkEnd w:id="6"/>
      <w:r>
        <w:rPr>
          <w:rFonts w:hint="eastAsia" w:ascii="宋体" w:hAnsi="宋体" w:cs="仿宋_GB2312"/>
          <w:snapToGrid w:val="0"/>
          <w:color w:val="000000"/>
          <w:kern w:val="32"/>
          <w:szCs w:val="32"/>
          <w:highlight w:val="none"/>
        </w:rPr>
        <w:t>。</w:t>
      </w:r>
    </w:p>
    <w:p>
      <w:pPr>
        <w:adjustRightInd w:val="0"/>
        <w:snapToGrid w:val="0"/>
        <w:ind w:firstLine="640"/>
        <w:contextualSpacing/>
        <w:rPr>
          <w:rFonts w:hint="eastAsia" w:ascii="宋体" w:hAnsi="宋体" w:cs="仿宋_GB2312"/>
          <w:snapToGrid w:val="0"/>
          <w:kern w:val="32"/>
          <w:szCs w:val="32"/>
          <w:highlight w:val="none"/>
        </w:rPr>
      </w:pPr>
      <w:bookmarkStart w:id="7" w:name="_Hlk211257755"/>
      <w:r>
        <w:rPr>
          <w:rFonts w:hint="eastAsia" w:ascii="宋体" w:hAnsi="宋体" w:cs="仿宋_GB2312"/>
          <w:snapToGrid w:val="0"/>
          <w:kern w:val="32"/>
          <w:szCs w:val="32"/>
          <w:highlight w:val="none"/>
        </w:rPr>
        <w:t>各区人民政府应当确定城市照明主管部门和相关管理部门按照各自职责负责本辖区内城市照明工作。</w:t>
      </w:r>
    </w:p>
    <w:bookmarkEnd w:id="7"/>
    <w:p>
      <w:pPr>
        <w:adjustRightInd w:val="0"/>
        <w:snapToGrid w:val="0"/>
        <w:ind w:firstLine="640" w:firstLineChars="0"/>
        <w:rPr>
          <w:rFonts w:ascii="Times New Roman" w:hAnsi="Times New Roman" w:eastAsia="宋体"/>
          <w:snapToGrid w:val="0"/>
          <w:kern w:val="32"/>
          <w:sz w:val="21"/>
          <w:szCs w:val="32"/>
        </w:rPr>
      </w:pPr>
      <w:r>
        <w:rPr>
          <w:rFonts w:hint="eastAsia" w:hAnsi="仿宋_GB2312" w:cs="仿宋_GB2312"/>
          <w:snapToGrid w:val="0"/>
          <w:kern w:val="32"/>
          <w:szCs w:val="32"/>
        </w:rPr>
        <w:t>国网北京市电力公司负责组织做好城市照明电力供应保障工作。</w:t>
      </w:r>
      <w:bookmarkEnd w:id="2"/>
    </w:p>
    <w:bookmarkEnd w:id="3"/>
    <w:p>
      <w:pPr>
        <w:numPr>
          <w:ilvl w:val="0"/>
          <w:numId w:val="1"/>
        </w:numPr>
        <w:adjustRightInd w:val="0"/>
        <w:snapToGrid w:val="0"/>
        <w:ind w:left="0" w:firstLine="640"/>
        <w:rPr>
          <w:rFonts w:hint="eastAsia" w:ascii="楷体_GB2312" w:hAnsi="楷体_GB2312" w:eastAsia="楷体_GB2312"/>
          <w:snapToGrid w:val="0"/>
          <w:kern w:val="32"/>
          <w:szCs w:val="32"/>
        </w:rPr>
      </w:pPr>
      <w:r>
        <w:rPr>
          <w:rFonts w:hint="eastAsia" w:ascii="楷体_GB2312" w:hAnsi="楷体_GB2312" w:eastAsia="楷体_GB2312"/>
          <w:snapToGrid w:val="0"/>
          <w:kern w:val="32"/>
          <w:szCs w:val="32"/>
        </w:rPr>
        <w:t>【节能环保】</w:t>
      </w:r>
    </w:p>
    <w:p>
      <w:pPr>
        <w:adjustRightInd w:val="0"/>
        <w:snapToGrid w:val="0"/>
        <w:ind w:firstLine="640" w:firstLineChars="0"/>
        <w:rPr>
          <w:rFonts w:hint="eastAsia" w:hAnsi="仿宋_GB2312" w:cs="仿宋_GB2312"/>
          <w:snapToGrid w:val="0"/>
          <w:kern w:val="32"/>
          <w:szCs w:val="32"/>
        </w:rPr>
      </w:pPr>
      <w:r>
        <w:rPr>
          <w:rFonts w:hint="eastAsia" w:hAnsi="仿宋_GB2312" w:cs="仿宋_GB2312"/>
          <w:snapToGrid w:val="0"/>
          <w:kern w:val="32"/>
          <w:szCs w:val="32"/>
        </w:rPr>
        <w:t>本市城市照明应符合国家和本市节能环保有关规定，</w:t>
      </w:r>
      <w:r>
        <w:rPr>
          <w:rFonts w:hAnsi="仿宋_GB2312" w:cs="仿宋_GB2312"/>
          <w:snapToGrid w:val="0"/>
          <w:kern w:val="32"/>
          <w:szCs w:val="32"/>
        </w:rPr>
        <w:t>使用安全、节能、环保的新材料、新技术、新工艺</w:t>
      </w:r>
      <w:r>
        <w:rPr>
          <w:rFonts w:hint="eastAsia" w:hAnsi="仿宋_GB2312" w:cs="仿宋_GB2312"/>
          <w:snapToGrid w:val="0"/>
          <w:kern w:val="32"/>
          <w:szCs w:val="32"/>
        </w:rPr>
        <w:t>，采</w:t>
      </w:r>
      <w:r>
        <w:rPr>
          <w:rFonts w:hAnsi="仿宋_GB2312" w:cs="仿宋_GB2312"/>
          <w:snapToGrid w:val="0"/>
          <w:kern w:val="32"/>
          <w:szCs w:val="32"/>
        </w:rPr>
        <w:t>用高效节能灯具</w:t>
      </w:r>
      <w:r>
        <w:rPr>
          <w:rFonts w:hint="eastAsia" w:hAnsi="仿宋_GB2312" w:cs="仿宋_GB2312"/>
          <w:snapToGrid w:val="0"/>
          <w:kern w:val="32"/>
          <w:szCs w:val="32"/>
        </w:rPr>
        <w:t>、设备，</w:t>
      </w:r>
      <w:r>
        <w:rPr>
          <w:rFonts w:hAnsi="仿宋_GB2312" w:cs="仿宋_GB2312"/>
          <w:snapToGrid w:val="0"/>
          <w:kern w:val="32"/>
          <w:szCs w:val="32"/>
        </w:rPr>
        <w:t>采</w:t>
      </w:r>
      <w:r>
        <w:rPr>
          <w:rFonts w:hint="eastAsia" w:hAnsi="仿宋_GB2312" w:cs="仿宋_GB2312"/>
          <w:snapToGrid w:val="0"/>
          <w:kern w:val="32"/>
          <w:szCs w:val="32"/>
        </w:rPr>
        <w:t>取</w:t>
      </w:r>
      <w:r>
        <w:rPr>
          <w:rFonts w:hAnsi="仿宋_GB2312" w:cs="仿宋_GB2312"/>
          <w:snapToGrid w:val="0"/>
          <w:kern w:val="32"/>
          <w:szCs w:val="32"/>
        </w:rPr>
        <w:t>智能调光等</w:t>
      </w:r>
      <w:r>
        <w:rPr>
          <w:rFonts w:hint="eastAsia" w:hAnsi="仿宋_GB2312" w:cs="仿宋_GB2312"/>
          <w:snapToGrid w:val="0"/>
          <w:kern w:val="32"/>
          <w:szCs w:val="32"/>
        </w:rPr>
        <w:t>控制方式，减少碳排放。鼓励使用绿电。室外照明光污染限制要符合相关标准。</w:t>
      </w:r>
    </w:p>
    <w:p>
      <w:pPr>
        <w:numPr>
          <w:ilvl w:val="0"/>
          <w:numId w:val="1"/>
        </w:numPr>
        <w:adjustRightInd w:val="0"/>
        <w:snapToGrid w:val="0"/>
        <w:ind w:left="0" w:firstLine="640"/>
        <w:rPr>
          <w:rFonts w:hint="eastAsia" w:ascii="楷体_GB2312" w:hAnsi="楷体_GB2312" w:eastAsia="楷体_GB2312"/>
          <w:snapToGrid w:val="0"/>
          <w:kern w:val="32"/>
          <w:szCs w:val="32"/>
          <w:highlight w:val="none"/>
        </w:rPr>
      </w:pPr>
      <w:r>
        <w:rPr>
          <w:rFonts w:hint="eastAsia" w:ascii="楷体_GB2312" w:hAnsi="楷体_GB2312" w:eastAsia="楷体_GB2312"/>
          <w:snapToGrid w:val="0"/>
          <w:kern w:val="32"/>
          <w:szCs w:val="32"/>
          <w:highlight w:val="none"/>
        </w:rPr>
        <w:t>【安全应急】</w:t>
      </w:r>
    </w:p>
    <w:p>
      <w:pPr>
        <w:ind w:firstLine="640"/>
        <w:rPr>
          <w:rFonts w:hint="eastAsia" w:ascii="宋体" w:hAnsi="宋体" w:cs="仿宋_GB2312"/>
          <w:snapToGrid w:val="0"/>
          <w:color w:val="000000"/>
          <w:kern w:val="32"/>
          <w:szCs w:val="32"/>
          <w:highlight w:val="none"/>
        </w:rPr>
      </w:pPr>
      <w:bookmarkStart w:id="8" w:name="_Hlk211334274"/>
      <w:bookmarkStart w:id="9" w:name="_Hlk211507553"/>
      <w:bookmarkStart w:id="10" w:name="_Hlk211261074"/>
      <w:bookmarkStart w:id="11" w:name="_Hlk211342523"/>
      <w:r>
        <w:rPr>
          <w:rFonts w:hint="eastAsia" w:ascii="宋体" w:hAnsi="宋体" w:cs="仿宋_GB2312"/>
          <w:snapToGrid w:val="0"/>
          <w:color w:val="000000"/>
          <w:kern w:val="32"/>
          <w:szCs w:val="32"/>
          <w:highlight w:val="none"/>
        </w:rPr>
        <w:t>本市城市照明工作坚持统筹发展和安全，落实安全生产“三管三必须”的要求，加强照明设施安全管理，</w:t>
      </w:r>
      <w:r>
        <w:rPr>
          <w:rFonts w:ascii="宋体" w:hAnsi="宋体" w:cs="仿宋_GB2312"/>
          <w:snapToGrid w:val="0"/>
          <w:color w:val="000000"/>
          <w:kern w:val="32"/>
          <w:szCs w:val="32"/>
          <w:highlight w:val="none"/>
        </w:rPr>
        <w:t>遵循</w:t>
      </w:r>
      <w:r>
        <w:rPr>
          <w:rFonts w:hint="eastAsia" w:ascii="宋体" w:hAnsi="宋体" w:cs="仿宋_GB2312"/>
          <w:snapToGrid w:val="0"/>
          <w:color w:val="000000"/>
          <w:kern w:val="32"/>
          <w:szCs w:val="32"/>
          <w:highlight w:val="none"/>
        </w:rPr>
        <w:t>谁所有谁负责、</w:t>
      </w:r>
      <w:r>
        <w:rPr>
          <w:rFonts w:ascii="宋体" w:hAnsi="宋体" w:cs="仿宋_GB2312"/>
          <w:snapToGrid w:val="0"/>
          <w:color w:val="000000"/>
          <w:kern w:val="32"/>
          <w:szCs w:val="32"/>
          <w:highlight w:val="none"/>
        </w:rPr>
        <w:t>谁建设谁负责</w:t>
      </w:r>
      <w:r>
        <w:rPr>
          <w:rFonts w:hint="eastAsia" w:ascii="宋体" w:hAnsi="宋体" w:cs="仿宋_GB2312"/>
          <w:snapToGrid w:val="0"/>
          <w:color w:val="000000"/>
          <w:kern w:val="32"/>
          <w:szCs w:val="32"/>
          <w:highlight w:val="none"/>
        </w:rPr>
        <w:t>、</w:t>
      </w:r>
      <w:r>
        <w:rPr>
          <w:rFonts w:ascii="宋体" w:hAnsi="宋体" w:cs="仿宋_GB2312"/>
          <w:snapToGrid w:val="0"/>
          <w:color w:val="000000"/>
          <w:kern w:val="32"/>
          <w:szCs w:val="32"/>
          <w:highlight w:val="none"/>
        </w:rPr>
        <w:t>谁运维谁负责</w:t>
      </w:r>
      <w:r>
        <w:rPr>
          <w:rFonts w:hint="eastAsia" w:ascii="宋体" w:hAnsi="宋体" w:cs="仿宋_GB2312"/>
          <w:snapToGrid w:val="0"/>
          <w:color w:val="000000"/>
          <w:kern w:val="32"/>
          <w:szCs w:val="32"/>
          <w:highlight w:val="none"/>
        </w:rPr>
        <w:t>的</w:t>
      </w:r>
      <w:r>
        <w:rPr>
          <w:rFonts w:ascii="宋体" w:hAnsi="宋体" w:cs="仿宋_GB2312"/>
          <w:snapToGrid w:val="0"/>
          <w:color w:val="000000"/>
          <w:kern w:val="32"/>
          <w:szCs w:val="32"/>
          <w:highlight w:val="none"/>
        </w:rPr>
        <w:t>原则。</w:t>
      </w:r>
      <w:bookmarkEnd w:id="8"/>
    </w:p>
    <w:bookmarkEnd w:id="9"/>
    <w:p>
      <w:pPr>
        <w:ind w:firstLine="640"/>
        <w:rPr>
          <w:rFonts w:hint="eastAsia" w:ascii="宋体" w:hAnsi="宋体"/>
          <w:snapToGrid w:val="0"/>
          <w:color w:val="000000"/>
          <w:kern w:val="32"/>
          <w:szCs w:val="32"/>
          <w:highlight w:val="none"/>
        </w:rPr>
      </w:pPr>
      <w:bookmarkStart w:id="12" w:name="_Hlk211507574"/>
      <w:r>
        <w:rPr>
          <w:rFonts w:ascii="宋体" w:hAnsi="宋体"/>
          <w:snapToGrid w:val="0"/>
          <w:color w:val="000000"/>
          <w:kern w:val="32"/>
          <w:szCs w:val="32"/>
          <w:highlight w:val="none"/>
        </w:rPr>
        <w:t>新建、改建、扩建</w:t>
      </w:r>
      <w:r>
        <w:rPr>
          <w:rFonts w:hint="eastAsia" w:ascii="宋体" w:hAnsi="宋体"/>
          <w:snapToGrid w:val="0"/>
          <w:color w:val="000000"/>
          <w:kern w:val="32"/>
          <w:szCs w:val="32"/>
          <w:highlight w:val="none"/>
        </w:rPr>
        <w:t>城市照明</w:t>
      </w:r>
      <w:r>
        <w:rPr>
          <w:rFonts w:ascii="宋体" w:hAnsi="宋体"/>
          <w:snapToGrid w:val="0"/>
          <w:color w:val="000000"/>
          <w:kern w:val="32"/>
          <w:szCs w:val="32"/>
          <w:highlight w:val="none"/>
        </w:rPr>
        <w:t>工程项目的安全设施，必须与照明主体工程同时设计、同时施工、同时投入生产和使用</w:t>
      </w:r>
      <w:r>
        <w:rPr>
          <w:rFonts w:hint="eastAsia" w:ascii="宋体" w:hAnsi="宋体"/>
          <w:snapToGrid w:val="0"/>
          <w:color w:val="000000"/>
          <w:kern w:val="32"/>
          <w:szCs w:val="32"/>
          <w:highlight w:val="none"/>
        </w:rPr>
        <w:t>。</w:t>
      </w:r>
      <w:r>
        <w:rPr>
          <w:rFonts w:hint="eastAsia" w:ascii="宋体" w:hAnsi="宋体" w:cs="仿宋_GB2312"/>
          <w:snapToGrid w:val="0"/>
          <w:kern w:val="32"/>
          <w:szCs w:val="32"/>
          <w:highlight w:val="none"/>
        </w:rPr>
        <w:t>已按程序移交的照明设施由接收单位负责安全管理</w:t>
      </w:r>
      <w:bookmarkEnd w:id="12"/>
      <w:r>
        <w:rPr>
          <w:rFonts w:hint="eastAsia" w:ascii="宋体" w:hAnsi="宋体" w:cs="仿宋_GB2312"/>
          <w:snapToGrid w:val="0"/>
          <w:kern w:val="32"/>
          <w:szCs w:val="32"/>
          <w:highlight w:val="none"/>
        </w:rPr>
        <w:t>。</w:t>
      </w:r>
    </w:p>
    <w:p>
      <w:pPr>
        <w:ind w:firstLine="640"/>
        <w:rPr>
          <w:rFonts w:hint="eastAsia" w:hAnsi="仿宋_GB2312" w:cs="仿宋_GB2312"/>
          <w:snapToGrid w:val="0"/>
          <w:color w:val="000000"/>
          <w:kern w:val="32"/>
          <w:szCs w:val="32"/>
          <w:highlight w:val="none"/>
        </w:rPr>
      </w:pPr>
      <w:r>
        <w:rPr>
          <w:rFonts w:hint="eastAsia" w:ascii="宋体" w:hAnsi="宋体" w:cs="仿宋_GB2312"/>
          <w:snapToGrid w:val="0"/>
          <w:color w:val="000000"/>
          <w:kern w:val="32"/>
          <w:szCs w:val="32"/>
          <w:highlight w:val="none"/>
        </w:rPr>
        <w:t>市、区城市照明相关管理部门</w:t>
      </w:r>
      <w:r>
        <w:rPr>
          <w:rFonts w:hint="eastAsia" w:hAnsi="仿宋_GB2312" w:cs="仿宋_GB2312"/>
          <w:snapToGrid w:val="0"/>
          <w:color w:val="000000"/>
          <w:kern w:val="32"/>
          <w:szCs w:val="32"/>
          <w:highlight w:val="none"/>
        </w:rPr>
        <w:t>应落实</w:t>
      </w:r>
      <w:bookmarkStart w:id="13" w:name="_Hlk211510303"/>
      <w:r>
        <w:rPr>
          <w:rFonts w:hint="eastAsia" w:hAnsi="仿宋_GB2312" w:cs="仿宋_GB2312"/>
          <w:snapToGrid w:val="0"/>
          <w:color w:val="000000"/>
          <w:kern w:val="32"/>
          <w:szCs w:val="32"/>
          <w:highlight w:val="none"/>
        </w:rPr>
        <w:t>安全管理责任。相关单位应落实城市照明安全主体责任，开展安全风险分级管控和隐患排查治理。</w:t>
      </w:r>
      <w:bookmarkEnd w:id="10"/>
      <w:bookmarkEnd w:id="13"/>
    </w:p>
    <w:p>
      <w:pPr>
        <w:ind w:firstLine="640"/>
        <w:rPr>
          <w:rFonts w:hint="eastAsia" w:ascii="宋体" w:hAnsi="宋体" w:cs="仿宋_GB2312"/>
          <w:snapToGrid w:val="0"/>
          <w:color w:val="000000"/>
          <w:kern w:val="32"/>
          <w:szCs w:val="32"/>
          <w:highlight w:val="none"/>
        </w:rPr>
      </w:pPr>
      <w:bookmarkStart w:id="14" w:name="_Hlk211507621"/>
      <w:r>
        <w:rPr>
          <w:rFonts w:hint="eastAsia" w:ascii="宋体" w:hAnsi="宋体" w:cs="仿宋_GB2312"/>
          <w:snapToGrid w:val="0"/>
          <w:color w:val="000000"/>
          <w:kern w:val="32"/>
          <w:szCs w:val="32"/>
          <w:highlight w:val="none"/>
        </w:rPr>
        <w:t>城市照明运维管理单位应制定城市照明应急预案并组织演练，组织或配合有关部门做好安全应急处置、救援及事故调查处理工作。</w:t>
      </w:r>
    </w:p>
    <w:bookmarkEnd w:id="11"/>
    <w:bookmarkEnd w:id="14"/>
    <w:p>
      <w:pPr>
        <w:numPr>
          <w:ilvl w:val="0"/>
          <w:numId w:val="1"/>
        </w:numPr>
        <w:adjustRightInd w:val="0"/>
        <w:snapToGrid w:val="0"/>
        <w:ind w:left="0" w:firstLine="640"/>
        <w:rPr>
          <w:rFonts w:hint="eastAsia" w:ascii="楷体_GB2312" w:hAnsi="楷体_GB2312" w:eastAsia="楷体_GB2312"/>
          <w:snapToGrid w:val="0"/>
          <w:kern w:val="32"/>
          <w:szCs w:val="32"/>
        </w:rPr>
      </w:pPr>
      <w:r>
        <w:rPr>
          <w:rFonts w:hint="eastAsia" w:ascii="楷体_GB2312" w:hAnsi="楷体_GB2312" w:eastAsia="楷体_GB2312"/>
          <w:snapToGrid w:val="0"/>
          <w:kern w:val="32"/>
          <w:szCs w:val="32"/>
        </w:rPr>
        <w:t>【智慧管理】</w:t>
      </w:r>
    </w:p>
    <w:p>
      <w:pPr>
        <w:adjustRightInd w:val="0"/>
        <w:snapToGrid w:val="0"/>
        <w:ind w:firstLine="640"/>
        <w:rPr>
          <w:rFonts w:hint="eastAsia" w:ascii="宋体" w:hAnsi="宋体"/>
          <w:snapToGrid w:val="0"/>
          <w:color w:val="000000"/>
          <w:kern w:val="32"/>
          <w:szCs w:val="32"/>
        </w:rPr>
      </w:pPr>
      <w:r>
        <w:rPr>
          <w:rFonts w:hint="eastAsia" w:ascii="宋体" w:hAnsi="宋体"/>
          <w:snapToGrid w:val="0"/>
          <w:kern w:val="32"/>
          <w:szCs w:val="32"/>
        </w:rPr>
        <w:t>城市管理部门应建立全市统一的智能</w:t>
      </w:r>
      <w:r>
        <w:rPr>
          <w:rFonts w:ascii="宋体" w:hAnsi="宋体"/>
          <w:snapToGrid w:val="0"/>
          <w:kern w:val="32"/>
          <w:szCs w:val="32"/>
        </w:rPr>
        <w:t>照明管理系统</w:t>
      </w:r>
      <w:r>
        <w:rPr>
          <w:rFonts w:hint="eastAsia" w:ascii="宋体" w:hAnsi="宋体"/>
          <w:snapToGrid w:val="0"/>
          <w:kern w:val="32"/>
          <w:szCs w:val="32"/>
        </w:rPr>
        <w:t>，整合现有平台，统一功能标准，明确相关数据接入技术标准，</w:t>
      </w:r>
      <w:r>
        <w:rPr>
          <w:rFonts w:hint="eastAsia" w:ascii="宋体" w:hAnsi="宋体"/>
          <w:snapToGrid w:val="0"/>
          <w:kern w:val="32"/>
          <w:szCs w:val="32"/>
          <w:highlight w:val="none"/>
        </w:rPr>
        <w:t>接入</w:t>
      </w:r>
      <w:r>
        <w:rPr>
          <w:rFonts w:hint="eastAsia" w:ascii="宋体" w:hAnsi="宋体"/>
          <w:snapToGrid w:val="0"/>
          <w:kern w:val="32"/>
          <w:szCs w:val="32"/>
          <w:highlight w:val="none"/>
          <w:lang w:eastAsia="zh"/>
        </w:rPr>
        <w:t>城市运行调度指挥平台</w:t>
      </w:r>
      <w:r>
        <w:rPr>
          <w:rFonts w:hint="eastAsia" w:ascii="宋体" w:hAnsi="宋体"/>
          <w:snapToGrid w:val="0"/>
          <w:kern w:val="32"/>
          <w:szCs w:val="32"/>
        </w:rPr>
        <w:t>，</w:t>
      </w:r>
      <w:r>
        <w:rPr>
          <w:rFonts w:hint="eastAsia" w:ascii="宋体" w:hAnsi="宋体"/>
          <w:snapToGrid w:val="0"/>
          <w:color w:val="000000"/>
          <w:kern w:val="32"/>
          <w:szCs w:val="32"/>
        </w:rPr>
        <w:t>实时监控照明启闭、场景模式和运行状态，并按要求收集、分析耗电量、亮灯率、故障率等实时数据信息，确保设施安全运行。</w:t>
      </w:r>
    </w:p>
    <w:p>
      <w:pPr>
        <w:numPr>
          <w:ilvl w:val="0"/>
          <w:numId w:val="1"/>
        </w:numPr>
        <w:adjustRightInd w:val="0"/>
        <w:snapToGrid w:val="0"/>
        <w:ind w:left="0" w:firstLine="640"/>
        <w:rPr>
          <w:rFonts w:hint="eastAsia" w:ascii="楷体_GB2312" w:hAnsi="楷体_GB2312" w:eastAsia="楷体_GB2312"/>
          <w:snapToGrid w:val="0"/>
          <w:kern w:val="32"/>
          <w:szCs w:val="32"/>
        </w:rPr>
      </w:pPr>
      <w:r>
        <w:rPr>
          <w:rFonts w:hint="eastAsia" w:ascii="楷体_GB2312" w:hAnsi="楷体_GB2312" w:eastAsia="楷体_GB2312"/>
          <w:snapToGrid w:val="0"/>
          <w:kern w:val="32"/>
          <w:szCs w:val="32"/>
        </w:rPr>
        <w:t>【社会参与】</w:t>
      </w:r>
    </w:p>
    <w:p>
      <w:pPr>
        <w:adjustRightInd w:val="0"/>
        <w:snapToGrid w:val="0"/>
        <w:ind w:firstLine="640"/>
        <w:rPr>
          <w:rFonts w:hint="eastAsia" w:ascii="宋体" w:hAnsi="宋体" w:cs="仿宋_GB2312"/>
          <w:snapToGrid w:val="0"/>
          <w:kern w:val="32"/>
          <w:szCs w:val="32"/>
        </w:rPr>
      </w:pPr>
      <w:r>
        <w:rPr>
          <w:rFonts w:hint="eastAsia" w:ascii="宋体" w:hAnsi="宋体" w:cs="仿宋_GB2312"/>
          <w:snapToGrid w:val="0"/>
          <w:kern w:val="32"/>
          <w:szCs w:val="32"/>
        </w:rPr>
        <w:t>本市鼓励社会资金用于照明设施建设和维护工作。</w:t>
      </w:r>
    </w:p>
    <w:p>
      <w:pPr>
        <w:keepNext/>
        <w:keepLines/>
        <w:adjustRightInd w:val="0"/>
        <w:snapToGrid w:val="0"/>
        <w:ind w:firstLine="0" w:firstLineChars="0"/>
        <w:jc w:val="center"/>
        <w:rPr>
          <w:rFonts w:hint="eastAsia" w:ascii="黑体" w:hAnsi="黑体" w:eastAsia="黑体"/>
          <w:snapToGrid w:val="0"/>
          <w:kern w:val="44"/>
          <w:szCs w:val="32"/>
        </w:rPr>
      </w:pPr>
      <w:r>
        <w:rPr>
          <w:rFonts w:hint="eastAsia" w:ascii="黑体" w:hAnsi="黑体" w:eastAsia="黑体"/>
          <w:snapToGrid w:val="0"/>
          <w:kern w:val="44"/>
          <w:szCs w:val="32"/>
        </w:rPr>
        <w:t>第二章  规划建设</w:t>
      </w:r>
    </w:p>
    <w:p>
      <w:pPr>
        <w:numPr>
          <w:ilvl w:val="0"/>
          <w:numId w:val="1"/>
        </w:numPr>
        <w:adjustRightInd w:val="0"/>
        <w:snapToGrid w:val="0"/>
        <w:ind w:left="0" w:firstLine="640"/>
        <w:rPr>
          <w:rFonts w:hint="eastAsia" w:ascii="楷体_GB2312" w:hAnsi="楷体_GB2312" w:eastAsia="楷体_GB2312"/>
          <w:snapToGrid w:val="0"/>
          <w:kern w:val="32"/>
          <w:szCs w:val="32"/>
        </w:rPr>
      </w:pPr>
      <w:r>
        <w:rPr>
          <w:rFonts w:hint="eastAsia" w:ascii="楷体_GB2312" w:hAnsi="楷体_GB2312" w:eastAsia="楷体_GB2312"/>
          <w:snapToGrid w:val="0"/>
          <w:kern w:val="32"/>
          <w:szCs w:val="32"/>
        </w:rPr>
        <w:t>【规划编制】</w:t>
      </w:r>
    </w:p>
    <w:p>
      <w:pPr>
        <w:adjustRightInd w:val="0"/>
        <w:snapToGrid w:val="0"/>
        <w:ind w:firstLine="640"/>
        <w:rPr>
          <w:rFonts w:hint="eastAsia" w:ascii="宋体" w:hAnsi="宋体" w:cs="仿宋_GB2312"/>
          <w:snapToGrid w:val="0"/>
          <w:kern w:val="32"/>
          <w:szCs w:val="32"/>
        </w:rPr>
      </w:pPr>
      <w:r>
        <w:rPr>
          <w:rFonts w:hint="eastAsia" w:ascii="宋体" w:hAnsi="宋体" w:cs="仿宋_GB2312"/>
          <w:snapToGrid w:val="0"/>
          <w:kern w:val="32"/>
          <w:szCs w:val="32"/>
        </w:rPr>
        <w:t>市城市管理部门应当会同有关部门，依据城市总体规划，编制全市城市照明专项规划，经市人民政府批准后组织实施。指导做好重点区域景观照明详细规划编制。重点区域范围包括：</w:t>
      </w:r>
    </w:p>
    <w:p>
      <w:pPr>
        <w:adjustRightInd w:val="0"/>
        <w:snapToGrid w:val="0"/>
        <w:ind w:firstLine="640"/>
        <w:rPr>
          <w:rFonts w:hint="eastAsia" w:ascii="宋体" w:hAnsi="宋体" w:cs="仿宋_GB2312"/>
          <w:snapToGrid w:val="0"/>
          <w:kern w:val="32"/>
          <w:szCs w:val="32"/>
        </w:rPr>
      </w:pPr>
      <w:r>
        <w:rPr>
          <w:rFonts w:hint="eastAsia" w:ascii="宋体" w:hAnsi="宋体" w:cs="仿宋_GB2312"/>
          <w:snapToGrid w:val="0"/>
          <w:kern w:val="32"/>
          <w:szCs w:val="32"/>
        </w:rPr>
        <w:t>（一）天安门广场地区；</w:t>
      </w:r>
    </w:p>
    <w:p>
      <w:pPr>
        <w:adjustRightInd w:val="0"/>
        <w:snapToGrid w:val="0"/>
        <w:ind w:firstLine="640"/>
        <w:rPr>
          <w:rFonts w:hint="eastAsia" w:ascii="宋体" w:hAnsi="宋体" w:cs="仿宋_GB2312"/>
          <w:snapToGrid w:val="0"/>
          <w:color w:val="000000"/>
          <w:kern w:val="32"/>
          <w:szCs w:val="32"/>
          <w:highlight w:val="none"/>
        </w:rPr>
      </w:pPr>
      <w:r>
        <w:rPr>
          <w:rFonts w:hint="eastAsia" w:ascii="宋体" w:hAnsi="宋体" w:cs="仿宋_GB2312"/>
          <w:snapToGrid w:val="0"/>
          <w:color w:val="000000"/>
          <w:kern w:val="32"/>
          <w:szCs w:val="32"/>
          <w:highlight w:val="none"/>
        </w:rPr>
        <w:t>（二）</w:t>
      </w:r>
      <w:bookmarkStart w:id="15" w:name="_Hlk211264920"/>
      <w:r>
        <w:rPr>
          <w:rFonts w:hint="eastAsia" w:ascii="宋体" w:hAnsi="宋体" w:cs="仿宋_GB2312"/>
          <w:snapToGrid w:val="0"/>
          <w:color w:val="000000"/>
          <w:kern w:val="32"/>
          <w:szCs w:val="32"/>
          <w:highlight w:val="none"/>
        </w:rPr>
        <w:t>长安街及其延长线（国贸桥—新兴桥段）；</w:t>
      </w:r>
      <w:bookmarkEnd w:id="15"/>
    </w:p>
    <w:p>
      <w:pPr>
        <w:adjustRightInd w:val="0"/>
        <w:snapToGrid w:val="0"/>
        <w:ind w:firstLine="640"/>
        <w:rPr>
          <w:rFonts w:hint="eastAsia" w:ascii="宋体" w:hAnsi="宋体" w:cs="仿宋_GB2312"/>
          <w:snapToGrid w:val="0"/>
          <w:color w:val="000000"/>
          <w:kern w:val="32"/>
          <w:szCs w:val="32"/>
          <w:highlight w:val="none"/>
        </w:rPr>
      </w:pPr>
      <w:r>
        <w:rPr>
          <w:rFonts w:hint="eastAsia" w:ascii="宋体" w:hAnsi="宋体" w:cs="仿宋_GB2312"/>
          <w:snapToGrid w:val="0"/>
          <w:color w:val="000000"/>
          <w:kern w:val="32"/>
          <w:szCs w:val="32"/>
          <w:highlight w:val="none"/>
        </w:rPr>
        <w:t>（三）</w:t>
      </w:r>
      <w:bookmarkStart w:id="16" w:name="_Hlk211265182"/>
      <w:r>
        <w:rPr>
          <w:rFonts w:hint="eastAsia" w:ascii="宋体" w:hAnsi="宋体" w:cs="仿宋_GB2312"/>
          <w:snapToGrid w:val="0"/>
          <w:color w:val="000000"/>
          <w:kern w:val="32"/>
          <w:szCs w:val="32"/>
          <w:highlight w:val="none"/>
        </w:rPr>
        <w:t>传统中轴线；</w:t>
      </w:r>
      <w:bookmarkEnd w:id="16"/>
    </w:p>
    <w:p>
      <w:pPr>
        <w:adjustRightInd w:val="0"/>
        <w:snapToGrid w:val="0"/>
        <w:ind w:firstLine="640"/>
        <w:rPr>
          <w:rFonts w:hint="eastAsia" w:ascii="宋体" w:hAnsi="宋体" w:cs="仿宋_GB2312"/>
          <w:snapToGrid w:val="0"/>
          <w:kern w:val="32"/>
          <w:szCs w:val="32"/>
        </w:rPr>
      </w:pPr>
      <w:r>
        <w:rPr>
          <w:rFonts w:hint="eastAsia" w:ascii="宋体" w:hAnsi="宋体" w:cs="仿宋_GB2312"/>
          <w:snapToGrid w:val="0"/>
          <w:kern w:val="32"/>
          <w:szCs w:val="32"/>
        </w:rPr>
        <w:t>（四）城市副中心行政办公区；</w:t>
      </w:r>
    </w:p>
    <w:p>
      <w:pPr>
        <w:adjustRightInd w:val="0"/>
        <w:snapToGrid w:val="0"/>
        <w:ind w:firstLine="640"/>
        <w:rPr>
          <w:rFonts w:hint="eastAsia" w:ascii="宋体" w:hAnsi="宋体" w:cs="仿宋_GB2312"/>
          <w:snapToGrid w:val="0"/>
          <w:kern w:val="32"/>
          <w:szCs w:val="32"/>
        </w:rPr>
      </w:pPr>
      <w:r>
        <w:rPr>
          <w:rFonts w:hint="eastAsia" w:ascii="宋体" w:hAnsi="宋体" w:cs="仿宋_GB2312"/>
          <w:snapToGrid w:val="0"/>
          <w:kern w:val="32"/>
          <w:szCs w:val="32"/>
        </w:rPr>
        <w:t>（五）市政府确定的其他区域。</w:t>
      </w:r>
    </w:p>
    <w:p>
      <w:pPr>
        <w:adjustRightInd w:val="0"/>
        <w:snapToGrid w:val="0"/>
        <w:ind w:firstLine="640"/>
        <w:rPr>
          <w:rFonts w:hint="eastAsia" w:ascii="宋体" w:hAnsi="宋体" w:cs="仿宋_GB2312"/>
          <w:snapToGrid w:val="0"/>
          <w:kern w:val="32"/>
          <w:szCs w:val="32"/>
        </w:rPr>
      </w:pPr>
      <w:r>
        <w:rPr>
          <w:rFonts w:hint="eastAsia" w:ascii="宋体" w:hAnsi="宋体" w:cs="仿宋_GB2312"/>
          <w:snapToGrid w:val="0"/>
          <w:kern w:val="32"/>
          <w:szCs w:val="32"/>
        </w:rPr>
        <w:t>各区城市管理部门应根据本市城市照明专项规划，编制区级城市照明专项规划和本辖区内重点商圈、地标建筑、重要活动场所、特色园区、公园景区、滨水河道等六类区域的景观照明详细规划，并报市城市管理部门备案。</w:t>
      </w:r>
    </w:p>
    <w:p>
      <w:pPr>
        <w:numPr>
          <w:ilvl w:val="0"/>
          <w:numId w:val="1"/>
        </w:numPr>
        <w:adjustRightInd w:val="0"/>
        <w:snapToGrid w:val="0"/>
        <w:ind w:left="0" w:firstLine="640"/>
        <w:rPr>
          <w:rFonts w:hint="eastAsia" w:ascii="楷体_GB2312" w:hAnsi="楷体_GB2312" w:eastAsia="楷体_GB2312"/>
          <w:snapToGrid w:val="0"/>
          <w:kern w:val="32"/>
          <w:szCs w:val="32"/>
        </w:rPr>
      </w:pPr>
      <w:r>
        <w:rPr>
          <w:rFonts w:hint="eastAsia" w:ascii="楷体_GB2312" w:hAnsi="楷体_GB2312" w:eastAsia="楷体_GB2312"/>
          <w:snapToGrid w:val="0"/>
          <w:kern w:val="32"/>
          <w:szCs w:val="32"/>
        </w:rPr>
        <w:t>【规划论证与评估】</w:t>
      </w:r>
    </w:p>
    <w:p>
      <w:pPr>
        <w:adjustRightInd w:val="0"/>
        <w:snapToGrid w:val="0"/>
        <w:ind w:firstLine="640"/>
        <w:rPr>
          <w:rFonts w:hint="eastAsia" w:ascii="宋体" w:hAnsi="宋体" w:cs="仿宋_GB2312"/>
          <w:snapToGrid w:val="0"/>
          <w:kern w:val="32"/>
          <w:szCs w:val="32"/>
        </w:rPr>
      </w:pPr>
      <w:r>
        <w:rPr>
          <w:rFonts w:hint="eastAsia" w:ascii="宋体" w:hAnsi="宋体" w:cs="仿宋_GB2312"/>
          <w:snapToGrid w:val="0"/>
          <w:kern w:val="32"/>
          <w:szCs w:val="32"/>
        </w:rPr>
        <w:t>市、区城市管理部门应组织开展城市照明专项规划编制论证和规划后评估工作。鼓励引入创新手段和量化评估方式，加强评估结果应用。</w:t>
      </w:r>
    </w:p>
    <w:p>
      <w:pPr>
        <w:numPr>
          <w:ilvl w:val="0"/>
          <w:numId w:val="1"/>
        </w:numPr>
        <w:adjustRightInd w:val="0"/>
        <w:snapToGrid w:val="0"/>
        <w:ind w:left="0" w:firstLine="640"/>
        <w:rPr>
          <w:rFonts w:hint="eastAsia" w:ascii="楷体_GB2312" w:hAnsi="楷体_GB2312" w:eastAsia="楷体_GB2312"/>
          <w:snapToGrid w:val="0"/>
          <w:kern w:val="32"/>
          <w:szCs w:val="32"/>
        </w:rPr>
      </w:pPr>
      <w:r>
        <w:rPr>
          <w:rFonts w:hint="eastAsia" w:ascii="楷体_GB2312" w:hAnsi="楷体_GB2312" w:eastAsia="楷体_GB2312"/>
          <w:snapToGrid w:val="0"/>
          <w:kern w:val="32"/>
          <w:szCs w:val="32"/>
        </w:rPr>
        <w:t>【标准制定】</w:t>
      </w:r>
    </w:p>
    <w:p>
      <w:pPr>
        <w:adjustRightInd w:val="0"/>
        <w:snapToGrid w:val="0"/>
        <w:ind w:firstLine="640"/>
        <w:rPr>
          <w:rFonts w:hint="eastAsia" w:ascii="宋体" w:hAnsi="宋体" w:cs="仿宋_GB2312"/>
          <w:snapToGrid w:val="0"/>
          <w:kern w:val="32"/>
          <w:szCs w:val="32"/>
        </w:rPr>
      </w:pPr>
      <w:r>
        <w:rPr>
          <w:rFonts w:hint="eastAsia" w:ascii="宋体" w:hAnsi="宋体" w:cs="仿宋_GB2312"/>
          <w:snapToGrid w:val="0"/>
          <w:kern w:val="32"/>
          <w:szCs w:val="32"/>
        </w:rPr>
        <w:t>市城市管理部门应</w:t>
      </w:r>
      <w:bookmarkStart w:id="17" w:name="_Hlk211266222"/>
      <w:r>
        <w:rPr>
          <w:rFonts w:hint="eastAsia" w:ascii="宋体" w:hAnsi="宋体" w:cs="仿宋_GB2312"/>
          <w:snapToGrid w:val="0"/>
          <w:kern w:val="32"/>
          <w:szCs w:val="32"/>
        </w:rPr>
        <w:t>会同有关部门，组织制修订功能照明和景观照明建设运维标准和管理规范。</w:t>
      </w:r>
      <w:bookmarkEnd w:id="17"/>
    </w:p>
    <w:p>
      <w:pPr>
        <w:numPr>
          <w:ilvl w:val="0"/>
          <w:numId w:val="1"/>
        </w:numPr>
        <w:adjustRightInd w:val="0"/>
        <w:snapToGrid w:val="0"/>
        <w:ind w:left="0" w:firstLine="640"/>
        <w:rPr>
          <w:rFonts w:hint="eastAsia" w:ascii="楷体_GB2312" w:hAnsi="楷体_GB2312" w:eastAsia="楷体_GB2312"/>
          <w:snapToGrid w:val="0"/>
          <w:kern w:val="32"/>
          <w:szCs w:val="32"/>
        </w:rPr>
      </w:pPr>
      <w:r>
        <w:rPr>
          <w:rFonts w:hint="eastAsia" w:ascii="楷体_GB2312" w:hAnsi="楷体_GB2312" w:eastAsia="楷体_GB2312"/>
          <w:snapToGrid w:val="0"/>
          <w:kern w:val="32"/>
          <w:szCs w:val="32"/>
        </w:rPr>
        <w:t>【资质要求】</w:t>
      </w:r>
    </w:p>
    <w:p>
      <w:pPr>
        <w:adjustRightInd w:val="0"/>
        <w:snapToGrid w:val="0"/>
        <w:ind w:firstLine="640"/>
        <w:contextualSpacing/>
        <w:rPr>
          <w:rFonts w:hint="eastAsia" w:ascii="宋体" w:hAnsi="宋体"/>
          <w:snapToGrid w:val="0"/>
          <w:kern w:val="32"/>
          <w:szCs w:val="32"/>
        </w:rPr>
      </w:pPr>
      <w:r>
        <w:rPr>
          <w:rFonts w:hint="eastAsia" w:ascii="宋体" w:hAnsi="宋体"/>
          <w:snapToGrid w:val="0"/>
          <w:kern w:val="32"/>
          <w:szCs w:val="32"/>
        </w:rPr>
        <w:t>从事城</w:t>
      </w:r>
      <w:r>
        <w:rPr>
          <w:rFonts w:hint="eastAsia" w:ascii="宋体" w:hAnsi="宋体"/>
          <w:snapToGrid w:val="0"/>
          <w:kern w:val="32"/>
          <w:szCs w:val="32"/>
          <w:highlight w:val="none"/>
        </w:rPr>
        <w:t>市照明工程</w:t>
      </w:r>
      <w:r>
        <w:rPr>
          <w:rFonts w:hint="eastAsia" w:ascii="宋体" w:hAnsi="宋体"/>
          <w:snapToGrid w:val="0"/>
          <w:color w:val="000000"/>
          <w:kern w:val="32"/>
          <w:szCs w:val="32"/>
          <w:highlight w:val="none"/>
        </w:rPr>
        <w:t>勘察、设计、施</w:t>
      </w:r>
      <w:r>
        <w:rPr>
          <w:rFonts w:hint="eastAsia" w:ascii="宋体" w:hAnsi="宋体"/>
          <w:snapToGrid w:val="0"/>
          <w:kern w:val="32"/>
          <w:szCs w:val="32"/>
          <w:highlight w:val="none"/>
        </w:rPr>
        <w:t>工、监理的单位</w:t>
      </w:r>
      <w:r>
        <w:rPr>
          <w:rFonts w:hint="eastAsia" w:ascii="宋体" w:hAnsi="宋体"/>
          <w:snapToGrid w:val="0"/>
          <w:kern w:val="32"/>
          <w:szCs w:val="32"/>
        </w:rPr>
        <w:t>应具备相应资质，相关专业技术人员应依法取得相应执业资格。</w:t>
      </w:r>
    </w:p>
    <w:p>
      <w:pPr>
        <w:numPr>
          <w:ilvl w:val="0"/>
          <w:numId w:val="1"/>
        </w:numPr>
        <w:adjustRightInd w:val="0"/>
        <w:snapToGrid w:val="0"/>
        <w:ind w:left="0" w:firstLine="640"/>
        <w:rPr>
          <w:rFonts w:hint="eastAsia" w:ascii="楷体_GB2312" w:hAnsi="楷体_GB2312" w:eastAsia="楷体_GB2312"/>
          <w:snapToGrid w:val="0"/>
          <w:kern w:val="32"/>
          <w:szCs w:val="32"/>
        </w:rPr>
      </w:pPr>
      <w:r>
        <w:rPr>
          <w:rFonts w:hint="eastAsia" w:ascii="楷体_GB2312" w:hAnsi="楷体_GB2312" w:eastAsia="楷体_GB2312"/>
          <w:snapToGrid w:val="0"/>
          <w:kern w:val="32"/>
          <w:szCs w:val="32"/>
        </w:rPr>
        <w:t>【设计要求】</w:t>
      </w:r>
    </w:p>
    <w:p>
      <w:pPr>
        <w:adjustRightInd w:val="0"/>
        <w:snapToGrid w:val="0"/>
        <w:ind w:firstLine="640"/>
        <w:rPr>
          <w:rFonts w:hint="eastAsia" w:ascii="宋体" w:hAnsi="宋体"/>
          <w:snapToGrid w:val="0"/>
          <w:color w:val="000000"/>
          <w:kern w:val="32"/>
          <w:szCs w:val="32"/>
        </w:rPr>
      </w:pPr>
      <w:r>
        <w:rPr>
          <w:rFonts w:hint="eastAsia" w:ascii="宋体" w:hAnsi="宋体"/>
          <w:snapToGrid w:val="0"/>
          <w:kern w:val="32"/>
          <w:szCs w:val="32"/>
        </w:rPr>
        <w:t>城市照明设计应符合</w:t>
      </w:r>
      <w:r>
        <w:rPr>
          <w:rFonts w:hint="eastAsia" w:ascii="宋体" w:hAnsi="宋体"/>
          <w:snapToGrid w:val="0"/>
          <w:color w:val="000000"/>
          <w:kern w:val="32"/>
          <w:szCs w:val="32"/>
        </w:rPr>
        <w:t>国家和本市相关法律法规、标准规范及规划要求，严格控制亮度、照度、光色、色温、功率密度等指标限值。鼓励精品化、艺术化、数字化设计创新，提高城市照明功能品质和艺术品位。</w:t>
      </w:r>
    </w:p>
    <w:p>
      <w:pPr>
        <w:adjustRightInd w:val="0"/>
        <w:snapToGrid w:val="0"/>
        <w:ind w:firstLine="640"/>
        <w:rPr>
          <w:rFonts w:hint="eastAsia" w:ascii="宋体" w:hAnsi="宋体"/>
          <w:snapToGrid w:val="0"/>
          <w:kern w:val="32"/>
          <w:szCs w:val="32"/>
        </w:rPr>
      </w:pPr>
      <w:bookmarkStart w:id="18" w:name="_Hlk211332619"/>
      <w:r>
        <w:rPr>
          <w:rFonts w:hint="eastAsia" w:ascii="宋体" w:hAnsi="宋体" w:cs="仿宋_GB2312"/>
          <w:snapToGrid w:val="0"/>
          <w:kern w:val="32"/>
          <w:szCs w:val="32"/>
        </w:rPr>
        <w:t>与城市道路、住宅区及重要建（构）筑物配套的城市照明设施，应按照城市照明规划要求，与主体工程同步设计。</w:t>
      </w:r>
    </w:p>
    <w:bookmarkEnd w:id="18"/>
    <w:p>
      <w:pPr>
        <w:adjustRightInd w:val="0"/>
        <w:snapToGrid w:val="0"/>
        <w:ind w:firstLine="640"/>
        <w:rPr>
          <w:rFonts w:hint="eastAsia" w:ascii="宋体" w:hAnsi="宋体"/>
          <w:snapToGrid w:val="0"/>
          <w:color w:val="000000"/>
          <w:kern w:val="32"/>
          <w:szCs w:val="32"/>
        </w:rPr>
      </w:pPr>
      <w:r>
        <w:rPr>
          <w:rFonts w:hint="eastAsia" w:ascii="宋体" w:hAnsi="宋体"/>
          <w:snapToGrid w:val="0"/>
          <w:kern w:val="32"/>
          <w:szCs w:val="32"/>
        </w:rPr>
        <w:t>市、区城市管理部门</w:t>
      </w:r>
      <w:r>
        <w:rPr>
          <w:rFonts w:hint="eastAsia" w:ascii="宋体" w:hAnsi="宋体"/>
          <w:snapToGrid w:val="0"/>
          <w:color w:val="000000"/>
          <w:kern w:val="32"/>
          <w:szCs w:val="32"/>
        </w:rPr>
        <w:t>应加强项目储备管理，建立重点区域景观照明项目储备库。</w:t>
      </w:r>
    </w:p>
    <w:p>
      <w:pPr>
        <w:numPr>
          <w:ilvl w:val="0"/>
          <w:numId w:val="1"/>
        </w:numPr>
        <w:adjustRightInd w:val="0"/>
        <w:snapToGrid w:val="0"/>
        <w:ind w:left="0" w:firstLine="640"/>
        <w:rPr>
          <w:rFonts w:hint="eastAsia" w:ascii="楷体_GB2312" w:hAnsi="楷体_GB2312" w:eastAsia="楷体_GB2312"/>
          <w:snapToGrid w:val="0"/>
          <w:kern w:val="32"/>
          <w:szCs w:val="32"/>
        </w:rPr>
      </w:pPr>
      <w:r>
        <w:rPr>
          <w:rFonts w:hint="eastAsia" w:ascii="楷体_GB2312" w:hAnsi="楷体_GB2312" w:eastAsia="楷体_GB2312"/>
          <w:snapToGrid w:val="0"/>
          <w:kern w:val="32"/>
          <w:szCs w:val="32"/>
        </w:rPr>
        <w:t>【许可要求】</w:t>
      </w:r>
    </w:p>
    <w:p>
      <w:pPr>
        <w:adjustRightInd w:val="0"/>
        <w:snapToGrid w:val="0"/>
        <w:ind w:firstLine="640"/>
        <w:rPr>
          <w:rFonts w:hint="eastAsia" w:ascii="宋体" w:hAnsi="宋体"/>
          <w:snapToGrid w:val="0"/>
          <w:color w:val="000000"/>
          <w:kern w:val="32"/>
          <w:szCs w:val="32"/>
          <w:highlight w:val="none"/>
        </w:rPr>
      </w:pPr>
      <w:bookmarkStart w:id="19" w:name="_Hlk211350089"/>
      <w:bookmarkStart w:id="20" w:name="_Hlk211261705"/>
      <w:r>
        <w:rPr>
          <w:rFonts w:hint="eastAsia" w:ascii="宋体" w:hAnsi="宋体"/>
          <w:snapToGrid w:val="0"/>
          <w:color w:val="000000"/>
          <w:kern w:val="32"/>
          <w:szCs w:val="32"/>
          <w:highlight w:val="none"/>
        </w:rPr>
        <w:t>景观照明项目应符合城市照明相关规划要求，其设计方案需经过专家论证；景观照明项目建设方案应由建设单位报区城市管理部门审核通过后实施。</w:t>
      </w:r>
      <w:bookmarkEnd w:id="19"/>
    </w:p>
    <w:p>
      <w:pPr>
        <w:adjustRightInd w:val="0"/>
        <w:snapToGrid w:val="0"/>
        <w:ind w:firstLine="640"/>
        <w:rPr>
          <w:rFonts w:hint="eastAsia" w:ascii="宋体" w:hAnsi="宋体"/>
          <w:snapToGrid w:val="0"/>
          <w:color w:val="000000"/>
          <w:kern w:val="32"/>
          <w:szCs w:val="32"/>
          <w:highlight w:val="none"/>
        </w:rPr>
      </w:pPr>
      <w:r>
        <w:rPr>
          <w:rFonts w:hint="eastAsia" w:ascii="宋体" w:hAnsi="宋体" w:cs="仿宋_GB2312"/>
          <w:snapToGrid w:val="0"/>
          <w:color w:val="000000"/>
          <w:kern w:val="32"/>
          <w:szCs w:val="32"/>
          <w:highlight w:val="none"/>
        </w:rPr>
        <w:t>照明建设项目涉及文物保护单位的本体，或位于</w:t>
      </w:r>
      <w:bookmarkStart w:id="21" w:name="_Hlk211350195"/>
      <w:r>
        <w:rPr>
          <w:rFonts w:hint="eastAsia" w:ascii="宋体" w:hAnsi="宋体" w:cs="仿宋_GB2312"/>
          <w:snapToGrid w:val="0"/>
          <w:color w:val="000000"/>
          <w:kern w:val="32"/>
          <w:szCs w:val="32"/>
          <w:highlight w:val="none"/>
        </w:rPr>
        <w:t>文物保护单位的保护范围和建设控制地带内</w:t>
      </w:r>
      <w:bookmarkEnd w:id="21"/>
      <w:r>
        <w:rPr>
          <w:rFonts w:hint="eastAsia" w:ascii="宋体" w:hAnsi="宋体" w:cs="仿宋_GB2312"/>
          <w:snapToGrid w:val="0"/>
          <w:color w:val="000000"/>
          <w:kern w:val="32"/>
          <w:szCs w:val="32"/>
          <w:highlight w:val="none"/>
        </w:rPr>
        <w:t>，应按照相关法律法规的要求履行必要的审批手续。</w:t>
      </w:r>
      <w:bookmarkEnd w:id="20"/>
    </w:p>
    <w:p>
      <w:pPr>
        <w:numPr>
          <w:ilvl w:val="0"/>
          <w:numId w:val="1"/>
        </w:numPr>
        <w:adjustRightInd w:val="0"/>
        <w:snapToGrid w:val="0"/>
        <w:ind w:left="0" w:firstLine="640"/>
        <w:rPr>
          <w:rFonts w:hint="eastAsia" w:ascii="楷体_GB2312" w:hAnsi="楷体_GB2312" w:eastAsia="楷体_GB2312"/>
          <w:snapToGrid w:val="0"/>
          <w:kern w:val="32"/>
          <w:szCs w:val="32"/>
        </w:rPr>
      </w:pPr>
      <w:r>
        <w:rPr>
          <w:rFonts w:hint="eastAsia" w:ascii="楷体_GB2312" w:hAnsi="楷体_GB2312" w:eastAsia="楷体_GB2312"/>
          <w:snapToGrid w:val="0"/>
          <w:kern w:val="32"/>
          <w:szCs w:val="32"/>
        </w:rPr>
        <w:t>【建设要求】</w:t>
      </w:r>
    </w:p>
    <w:p>
      <w:pPr>
        <w:adjustRightInd w:val="0"/>
        <w:snapToGrid w:val="0"/>
        <w:ind w:firstLine="640"/>
        <w:rPr>
          <w:rFonts w:hint="eastAsia" w:ascii="宋体" w:hAnsi="宋体" w:cs="仿宋_GB2312"/>
          <w:snapToGrid w:val="0"/>
          <w:kern w:val="32"/>
          <w:szCs w:val="32"/>
        </w:rPr>
      </w:pPr>
      <w:r>
        <w:rPr>
          <w:rFonts w:hint="eastAsia" w:ascii="宋体" w:hAnsi="宋体" w:cs="仿宋_GB2312"/>
          <w:snapToGrid w:val="0"/>
          <w:kern w:val="32"/>
          <w:szCs w:val="32"/>
        </w:rPr>
        <w:t>（一）功能照明设施建设应符合功能照明工程相关标准、规范要求，严格控制工程质量。</w:t>
      </w:r>
    </w:p>
    <w:p>
      <w:pPr>
        <w:adjustRightInd w:val="0"/>
        <w:snapToGrid w:val="0"/>
        <w:ind w:firstLine="640"/>
        <w:rPr>
          <w:rFonts w:hint="eastAsia" w:ascii="宋体" w:hAnsi="宋体" w:cs="仿宋_GB2312"/>
          <w:snapToGrid w:val="0"/>
          <w:kern w:val="32"/>
          <w:szCs w:val="32"/>
        </w:rPr>
      </w:pPr>
      <w:bookmarkStart w:id="22" w:name="_Hlk211332664"/>
      <w:r>
        <w:rPr>
          <w:rFonts w:hint="eastAsia" w:ascii="宋体" w:hAnsi="宋体" w:cs="仿宋_GB2312"/>
          <w:snapToGrid w:val="0"/>
          <w:kern w:val="32"/>
          <w:szCs w:val="32"/>
        </w:rPr>
        <w:t>与城市道路、住宅区及重要建（构）筑物配套的城市照明设施，应按照城市照明规划要求，与主体工程同步施工、同步验收和同步使用。</w:t>
      </w:r>
      <w:bookmarkEnd w:id="22"/>
    </w:p>
    <w:p>
      <w:pPr>
        <w:adjustRightInd w:val="0"/>
        <w:snapToGrid w:val="0"/>
        <w:ind w:firstLine="640"/>
        <w:rPr>
          <w:rFonts w:hint="eastAsia" w:ascii="宋体" w:hAnsi="宋体" w:cs="仿宋_GB2312"/>
          <w:snapToGrid w:val="0"/>
          <w:kern w:val="32"/>
          <w:szCs w:val="32"/>
        </w:rPr>
      </w:pPr>
      <w:r>
        <w:rPr>
          <w:rFonts w:hint="eastAsia" w:ascii="宋体" w:hAnsi="宋体" w:cs="仿宋_GB2312"/>
          <w:snapToGrid w:val="0"/>
          <w:kern w:val="32"/>
          <w:szCs w:val="32"/>
        </w:rPr>
        <w:t>（二）凡纳入景观照明详细规划区域范围的，相关实施主体应当有序推进实施景观照明设施的建设，并符合相关标准、规范要求，严格控制工程质量。</w:t>
      </w:r>
    </w:p>
    <w:p>
      <w:pPr>
        <w:adjustRightInd w:val="0"/>
        <w:snapToGrid w:val="0"/>
        <w:ind w:firstLine="640"/>
        <w:contextualSpacing/>
        <w:rPr>
          <w:rFonts w:hint="eastAsia" w:ascii="宋体" w:hAnsi="宋体"/>
          <w:snapToGrid w:val="0"/>
          <w:kern w:val="32"/>
          <w:szCs w:val="32"/>
        </w:rPr>
      </w:pPr>
      <w:r>
        <w:rPr>
          <w:rFonts w:hint="eastAsia" w:ascii="宋体" w:hAnsi="宋体" w:cs="仿宋_GB2312"/>
          <w:snapToGrid w:val="0"/>
          <w:kern w:val="32"/>
          <w:szCs w:val="32"/>
        </w:rPr>
        <w:t>公用建（构）筑物和公共场所的景观照明设施，由市、区城市管理部门及相关产权单位依据规划分别投资建设。</w:t>
      </w:r>
    </w:p>
    <w:p>
      <w:pPr>
        <w:adjustRightInd w:val="0"/>
        <w:snapToGrid w:val="0"/>
        <w:ind w:firstLine="640"/>
        <w:rPr>
          <w:rFonts w:hint="eastAsia" w:ascii="宋体" w:hAnsi="宋体" w:cs="仿宋_GB2312"/>
          <w:snapToGrid w:val="0"/>
          <w:kern w:val="32"/>
          <w:szCs w:val="32"/>
          <w:highlight w:val="none"/>
        </w:rPr>
      </w:pPr>
      <w:r>
        <w:rPr>
          <w:rFonts w:hint="eastAsia" w:ascii="宋体" w:hAnsi="宋体" w:cs="仿宋_GB2312"/>
          <w:snapToGrid w:val="0"/>
          <w:kern w:val="32"/>
          <w:szCs w:val="32"/>
        </w:rPr>
        <w:t>规划区域内非公用建（构）筑物和非公共场</w:t>
      </w:r>
      <w:r>
        <w:rPr>
          <w:rFonts w:hint="eastAsia" w:ascii="宋体" w:hAnsi="宋体" w:cs="仿宋_GB2312"/>
          <w:snapToGrid w:val="0"/>
          <w:kern w:val="32"/>
          <w:szCs w:val="32"/>
          <w:highlight w:val="none"/>
        </w:rPr>
        <w:t>所的景观照明设施，由相关产权单位或管理单位负责投资建设。符合市区有关城市照明规划的，</w:t>
      </w:r>
      <w:r>
        <w:rPr>
          <w:rFonts w:hint="eastAsia" w:ascii="宋体" w:hAnsi="宋体" w:cs="仿宋_GB2312"/>
          <w:snapToGrid w:val="0"/>
          <w:color w:val="000000"/>
          <w:kern w:val="32"/>
          <w:szCs w:val="32"/>
          <w:highlight w:val="none"/>
        </w:rPr>
        <w:t>市区城市管理部门</w:t>
      </w:r>
      <w:r>
        <w:rPr>
          <w:rFonts w:hint="eastAsia" w:hAnsi="仿宋_GB2312" w:cs="仿宋_GB2312"/>
          <w:snapToGrid w:val="0"/>
          <w:kern w:val="32"/>
          <w:szCs w:val="32"/>
          <w:highlight w:val="none"/>
        </w:rPr>
        <w:t>可视情</w:t>
      </w:r>
      <w:r>
        <w:rPr>
          <w:rFonts w:hint="eastAsia" w:ascii="宋体" w:hAnsi="宋体" w:cs="仿宋_GB2312"/>
          <w:snapToGrid w:val="0"/>
          <w:kern w:val="32"/>
          <w:szCs w:val="32"/>
          <w:highlight w:val="none"/>
        </w:rPr>
        <w:t>负责投资建设或给予一定比例的资金支持</w:t>
      </w:r>
      <w:r>
        <w:rPr>
          <w:rFonts w:hint="eastAsia" w:ascii="宋体" w:hAnsi="宋体" w:cs="仿宋_GB2312"/>
          <w:snapToGrid w:val="0"/>
          <w:color w:val="000000"/>
          <w:kern w:val="32"/>
          <w:szCs w:val="32"/>
          <w:highlight w:val="none"/>
        </w:rPr>
        <w:t>。</w:t>
      </w:r>
    </w:p>
    <w:p>
      <w:pPr>
        <w:numPr>
          <w:ilvl w:val="0"/>
          <w:numId w:val="1"/>
        </w:numPr>
        <w:adjustRightInd w:val="0"/>
        <w:snapToGrid w:val="0"/>
        <w:ind w:left="0" w:firstLine="640"/>
        <w:rPr>
          <w:rFonts w:hint="eastAsia" w:ascii="楷体_GB2312" w:hAnsi="楷体_GB2312" w:eastAsia="楷体_GB2312"/>
          <w:snapToGrid w:val="0"/>
          <w:kern w:val="32"/>
          <w:szCs w:val="32"/>
          <w:highlight w:val="none"/>
        </w:rPr>
      </w:pPr>
      <w:r>
        <w:rPr>
          <w:rFonts w:hint="eastAsia" w:ascii="楷体_GB2312" w:hAnsi="楷体_GB2312" w:eastAsia="楷体_GB2312"/>
          <w:snapToGrid w:val="0"/>
          <w:kern w:val="32"/>
          <w:szCs w:val="32"/>
          <w:highlight w:val="none"/>
        </w:rPr>
        <w:t>【验收使用】</w:t>
      </w:r>
    </w:p>
    <w:p>
      <w:pPr>
        <w:adjustRightInd w:val="0"/>
        <w:snapToGrid w:val="0"/>
        <w:ind w:firstLine="640"/>
        <w:rPr>
          <w:rFonts w:hint="eastAsia" w:ascii="宋体" w:hAnsi="宋体"/>
          <w:snapToGrid w:val="0"/>
          <w:kern w:val="32"/>
          <w:szCs w:val="32"/>
          <w:highlight w:val="none"/>
        </w:rPr>
      </w:pPr>
      <w:r>
        <w:rPr>
          <w:rFonts w:hint="eastAsia" w:ascii="宋体" w:hAnsi="宋体" w:cs="仿宋_GB2312"/>
          <w:snapToGrid w:val="0"/>
          <w:kern w:val="32"/>
          <w:szCs w:val="32"/>
          <w:highlight w:val="none"/>
        </w:rPr>
        <w:t>（一）</w:t>
      </w:r>
      <w:r>
        <w:rPr>
          <w:rFonts w:hint="eastAsia" w:hAnsi="仿宋_GB2312" w:cs="仿宋_GB2312"/>
          <w:snapToGrid w:val="0"/>
          <w:kern w:val="32"/>
          <w:szCs w:val="32"/>
          <w:highlight w:val="none"/>
        </w:rPr>
        <w:t>照明设施验收</w:t>
      </w:r>
      <w:r>
        <w:rPr>
          <w:rFonts w:hint="eastAsia" w:ascii="宋体" w:hAnsi="宋体"/>
          <w:snapToGrid w:val="0"/>
          <w:kern w:val="32"/>
          <w:szCs w:val="32"/>
          <w:highlight w:val="none"/>
        </w:rPr>
        <w:t>应符合相关技术标准和规范，依照相关规定程序开展。</w:t>
      </w:r>
    </w:p>
    <w:p>
      <w:pPr>
        <w:adjustRightInd w:val="0"/>
        <w:snapToGrid w:val="0"/>
        <w:ind w:firstLine="640"/>
        <w:rPr>
          <w:rFonts w:hint="eastAsia" w:ascii="宋体" w:hAnsi="宋体"/>
          <w:snapToGrid w:val="0"/>
          <w:kern w:val="32"/>
          <w:szCs w:val="32"/>
        </w:rPr>
      </w:pPr>
      <w:r>
        <w:rPr>
          <w:rFonts w:hint="eastAsia" w:ascii="宋体" w:hAnsi="宋体"/>
          <w:snapToGrid w:val="0"/>
          <w:kern w:val="32"/>
          <w:szCs w:val="32"/>
        </w:rPr>
        <w:t>（二）功能照明设施验收由道路建设单位组织，应通知市、区</w:t>
      </w:r>
      <w:r>
        <w:rPr>
          <w:rFonts w:hint="eastAsia" w:ascii="宋体" w:hAnsi="宋体"/>
          <w:snapToGrid w:val="0"/>
          <w:kern w:val="32"/>
          <w:szCs w:val="32"/>
          <w:highlight w:val="none"/>
        </w:rPr>
        <w:t>照明相关管理部门</w:t>
      </w:r>
      <w:r>
        <w:rPr>
          <w:rFonts w:hint="eastAsia" w:ascii="宋体" w:hAnsi="宋体"/>
          <w:snapToGrid w:val="0"/>
          <w:kern w:val="32"/>
          <w:szCs w:val="32"/>
        </w:rPr>
        <w:t>参加；对于不符合验收标准的照明设施，城市管理部门有权要求整改。</w:t>
      </w:r>
    </w:p>
    <w:p>
      <w:pPr>
        <w:adjustRightInd w:val="0"/>
        <w:snapToGrid w:val="0"/>
        <w:ind w:firstLine="640"/>
        <w:rPr>
          <w:rFonts w:hint="eastAsia" w:ascii="宋体" w:hAnsi="宋体"/>
          <w:snapToGrid w:val="0"/>
          <w:kern w:val="32"/>
          <w:szCs w:val="32"/>
        </w:rPr>
      </w:pPr>
      <w:r>
        <w:rPr>
          <w:rFonts w:hint="eastAsia" w:ascii="宋体" w:hAnsi="宋体"/>
          <w:snapToGrid w:val="0"/>
          <w:kern w:val="32"/>
          <w:szCs w:val="32"/>
        </w:rPr>
        <w:t>（三）</w:t>
      </w:r>
      <w:bookmarkStart w:id="23" w:name="_Hlk211529749"/>
      <w:r>
        <w:rPr>
          <w:rFonts w:hint="eastAsia" w:ascii="宋体" w:hAnsi="宋体"/>
          <w:snapToGrid w:val="0"/>
          <w:kern w:val="32"/>
          <w:szCs w:val="32"/>
        </w:rPr>
        <w:t>景观照明设施验收由建设单位组织；对于不符合验收标准的照明设施，</w:t>
      </w:r>
      <w:r>
        <w:rPr>
          <w:rFonts w:hint="eastAsia" w:ascii="宋体" w:hAnsi="宋体"/>
          <w:snapToGrid w:val="0"/>
          <w:kern w:val="32"/>
          <w:szCs w:val="32"/>
          <w:highlight w:val="none"/>
          <w:lang w:eastAsia="zh"/>
        </w:rPr>
        <w:t>市、区</w:t>
      </w:r>
      <w:r>
        <w:rPr>
          <w:rFonts w:hint="eastAsia" w:ascii="宋体" w:hAnsi="宋体"/>
          <w:snapToGrid w:val="0"/>
          <w:kern w:val="32"/>
          <w:szCs w:val="32"/>
          <w:highlight w:val="none"/>
        </w:rPr>
        <w:t>城市管理部门有</w:t>
      </w:r>
      <w:r>
        <w:rPr>
          <w:rFonts w:hint="eastAsia" w:ascii="宋体" w:hAnsi="宋体"/>
          <w:snapToGrid w:val="0"/>
          <w:kern w:val="32"/>
          <w:szCs w:val="32"/>
        </w:rPr>
        <w:t>权要求整改。</w:t>
      </w:r>
      <w:bookmarkEnd w:id="23"/>
    </w:p>
    <w:p>
      <w:pPr>
        <w:numPr>
          <w:ilvl w:val="0"/>
          <w:numId w:val="1"/>
        </w:numPr>
        <w:adjustRightInd w:val="0"/>
        <w:snapToGrid w:val="0"/>
        <w:ind w:left="0" w:firstLine="640"/>
        <w:rPr>
          <w:rFonts w:hint="eastAsia" w:ascii="楷体_GB2312" w:hAnsi="楷体_GB2312" w:eastAsia="楷体_GB2312"/>
          <w:snapToGrid w:val="0"/>
          <w:kern w:val="32"/>
          <w:szCs w:val="32"/>
        </w:rPr>
      </w:pPr>
      <w:r>
        <w:rPr>
          <w:rFonts w:hint="eastAsia" w:ascii="楷体_GB2312" w:hAnsi="楷体_GB2312" w:eastAsia="楷体_GB2312"/>
          <w:snapToGrid w:val="0"/>
          <w:kern w:val="32"/>
          <w:szCs w:val="32"/>
        </w:rPr>
        <w:t>【设施移交】</w:t>
      </w:r>
    </w:p>
    <w:p>
      <w:pPr>
        <w:adjustRightInd w:val="0"/>
        <w:snapToGrid w:val="0"/>
        <w:ind w:firstLine="640"/>
        <w:rPr>
          <w:rFonts w:hint="eastAsia" w:hAnsi="仿宋_GB2312" w:cs="仿宋_GB2312"/>
          <w:snapToGrid w:val="0"/>
          <w:kern w:val="32"/>
          <w:szCs w:val="32"/>
        </w:rPr>
      </w:pPr>
      <w:r>
        <w:rPr>
          <w:rFonts w:hint="eastAsia" w:ascii="宋体" w:hAnsi="宋体"/>
          <w:snapToGrid w:val="0"/>
          <w:kern w:val="32"/>
          <w:szCs w:val="32"/>
        </w:rPr>
        <w:t>（一）</w:t>
      </w:r>
      <w:r>
        <w:rPr>
          <w:rFonts w:hint="eastAsia" w:ascii="宋体" w:hAnsi="宋体" w:cs="仿宋_GB2312"/>
          <w:snapToGrid w:val="0"/>
          <w:kern w:val="32"/>
          <w:szCs w:val="32"/>
        </w:rPr>
        <w:t>符合移交条件的功能照明设施，应由建设单位</w:t>
      </w:r>
      <w:r>
        <w:rPr>
          <w:rFonts w:hint="eastAsia" w:hAnsi="仿宋_GB2312" w:cs="仿宋_GB2312"/>
          <w:snapToGrid w:val="0"/>
          <w:kern w:val="32"/>
          <w:szCs w:val="32"/>
        </w:rPr>
        <w:t>按相关规定</w:t>
      </w:r>
      <w:r>
        <w:rPr>
          <w:rFonts w:hint="eastAsia" w:ascii="宋体" w:hAnsi="宋体" w:cs="仿宋_GB2312"/>
          <w:snapToGrid w:val="0"/>
          <w:kern w:val="32"/>
          <w:szCs w:val="32"/>
        </w:rPr>
        <w:t>向市</w:t>
      </w:r>
      <w:r>
        <w:rPr>
          <w:rFonts w:hint="eastAsia" w:hAnsi="仿宋_GB2312" w:cs="仿宋_GB2312"/>
          <w:snapToGrid w:val="0"/>
          <w:kern w:val="32"/>
          <w:szCs w:val="32"/>
        </w:rPr>
        <w:t>、区城市管理部门及时办理资产移交手续。移交条件如下：</w:t>
      </w:r>
    </w:p>
    <w:p>
      <w:pPr>
        <w:adjustRightInd w:val="0"/>
        <w:snapToGrid w:val="0"/>
        <w:ind w:firstLine="640"/>
        <w:rPr>
          <w:rFonts w:hint="eastAsia" w:hAnsi="仿宋_GB2312" w:cs="仿宋_GB2312"/>
          <w:snapToGrid w:val="0"/>
          <w:color w:val="EE0000"/>
          <w:kern w:val="32"/>
          <w:szCs w:val="32"/>
        </w:rPr>
      </w:pPr>
      <w:r>
        <w:rPr>
          <w:rFonts w:hint="eastAsia" w:hAnsi="仿宋_GB2312" w:cs="仿宋_GB2312"/>
          <w:snapToGrid w:val="0"/>
          <w:kern w:val="32"/>
          <w:szCs w:val="32"/>
        </w:rPr>
        <w:t>1.符合照明设施移交相关规定和技术规范；</w:t>
      </w:r>
    </w:p>
    <w:p>
      <w:pPr>
        <w:adjustRightInd w:val="0"/>
        <w:snapToGrid w:val="0"/>
        <w:ind w:firstLine="640"/>
        <w:rPr>
          <w:rFonts w:hint="eastAsia" w:hAnsi="仿宋_GB2312" w:cs="仿宋_GB2312"/>
          <w:snapToGrid w:val="0"/>
          <w:kern w:val="32"/>
          <w:szCs w:val="32"/>
        </w:rPr>
      </w:pPr>
      <w:r>
        <w:rPr>
          <w:rFonts w:hint="eastAsia" w:hAnsi="仿宋_GB2312" w:cs="仿宋_GB2312"/>
          <w:snapToGrid w:val="0"/>
          <w:kern w:val="32"/>
          <w:szCs w:val="32"/>
        </w:rPr>
        <w:t>2.提供必要的安全运维条件；</w:t>
      </w:r>
    </w:p>
    <w:p>
      <w:pPr>
        <w:adjustRightInd w:val="0"/>
        <w:snapToGrid w:val="0"/>
        <w:ind w:firstLine="640"/>
        <w:rPr>
          <w:rFonts w:hint="eastAsia" w:hAnsi="仿宋_GB2312" w:cs="仿宋_GB2312"/>
          <w:snapToGrid w:val="0"/>
          <w:kern w:val="32"/>
          <w:szCs w:val="32"/>
        </w:rPr>
      </w:pPr>
      <w:r>
        <w:rPr>
          <w:rFonts w:hint="eastAsia" w:hAnsi="仿宋_GB2312" w:cs="仿宋_GB2312"/>
          <w:snapToGrid w:val="0"/>
          <w:kern w:val="32"/>
          <w:szCs w:val="32"/>
        </w:rPr>
        <w:t>3.提供完整的竣工验收资料；</w:t>
      </w:r>
    </w:p>
    <w:p>
      <w:pPr>
        <w:ind w:firstLine="640"/>
        <w:rPr>
          <w:rFonts w:hint="eastAsia" w:hAnsi="仿宋_GB2312" w:cs="仿宋_GB2312"/>
          <w:snapToGrid w:val="0"/>
          <w:kern w:val="32"/>
          <w:szCs w:val="32"/>
        </w:rPr>
      </w:pPr>
      <w:r>
        <w:rPr>
          <w:rFonts w:hint="eastAsia" w:hAnsi="仿宋_GB2312" w:cs="仿宋_GB2312"/>
          <w:snapToGrid w:val="0"/>
          <w:kern w:val="32"/>
          <w:szCs w:val="32"/>
        </w:rPr>
        <w:t>4.符合城市照明相关规划要求；</w:t>
      </w:r>
    </w:p>
    <w:p>
      <w:pPr>
        <w:ind w:firstLine="640"/>
        <w:rPr>
          <w:rFonts w:hint="eastAsia" w:hAnsi="仿宋_GB2312" w:cs="仿宋_GB2312"/>
          <w:snapToGrid w:val="0"/>
          <w:kern w:val="32"/>
          <w:szCs w:val="32"/>
        </w:rPr>
      </w:pPr>
      <w:r>
        <w:rPr>
          <w:rFonts w:hint="eastAsia" w:hAnsi="仿宋_GB2312" w:cs="仿宋_GB2312"/>
          <w:snapToGrid w:val="0"/>
          <w:kern w:val="32"/>
          <w:szCs w:val="32"/>
        </w:rPr>
        <w:t>5.保障完成移交的照明设施功能完好、运行正常；</w:t>
      </w:r>
    </w:p>
    <w:p>
      <w:pPr>
        <w:adjustRightInd w:val="0"/>
        <w:snapToGrid w:val="0"/>
        <w:ind w:firstLine="640"/>
        <w:rPr>
          <w:rFonts w:hint="eastAsia" w:hAnsi="仿宋_GB2312" w:cs="仿宋_GB2312"/>
          <w:snapToGrid w:val="0"/>
          <w:kern w:val="32"/>
          <w:szCs w:val="32"/>
        </w:rPr>
      </w:pPr>
      <w:r>
        <w:rPr>
          <w:rFonts w:hint="eastAsia" w:hAnsi="仿宋_GB2312" w:cs="仿宋_GB2312"/>
          <w:snapToGrid w:val="0"/>
          <w:kern w:val="32"/>
          <w:szCs w:val="32"/>
        </w:rPr>
        <w:t>6.试运行期满且检测和评估合格。</w:t>
      </w:r>
    </w:p>
    <w:p>
      <w:pPr>
        <w:adjustRightInd w:val="0"/>
        <w:snapToGrid w:val="0"/>
        <w:ind w:firstLine="640"/>
        <w:rPr>
          <w:rFonts w:hint="eastAsia" w:hAnsi="仿宋_GB2312" w:cs="仿宋_GB2312"/>
          <w:snapToGrid w:val="0"/>
          <w:kern w:val="32"/>
          <w:szCs w:val="32"/>
        </w:rPr>
      </w:pPr>
      <w:r>
        <w:rPr>
          <w:rFonts w:hint="eastAsia" w:hAnsi="仿宋_GB2312" w:cs="仿宋_GB2312"/>
          <w:snapToGrid w:val="0"/>
          <w:kern w:val="32"/>
          <w:szCs w:val="32"/>
        </w:rPr>
        <w:t>（二）政府投资建设的景观照明设施，产权单位可以按照主管部门有关规定履行处置审批程序后，将相应资产划转至国有性质主体履行管护责任。</w:t>
      </w:r>
    </w:p>
    <w:p>
      <w:pPr>
        <w:numPr>
          <w:ilvl w:val="0"/>
          <w:numId w:val="1"/>
        </w:numPr>
        <w:adjustRightInd w:val="0"/>
        <w:snapToGrid w:val="0"/>
        <w:ind w:left="0" w:firstLine="640"/>
        <w:rPr>
          <w:rFonts w:hint="eastAsia" w:ascii="楷体_GB2312" w:hAnsi="楷体_GB2312" w:eastAsia="楷体_GB2312"/>
          <w:snapToGrid w:val="0"/>
          <w:kern w:val="32"/>
          <w:szCs w:val="32"/>
        </w:rPr>
      </w:pPr>
      <w:r>
        <w:rPr>
          <w:rFonts w:hint="eastAsia" w:ascii="楷体_GB2312" w:hAnsi="楷体_GB2312" w:eastAsia="楷体_GB2312"/>
          <w:snapToGrid w:val="0"/>
          <w:kern w:val="32"/>
          <w:szCs w:val="32"/>
        </w:rPr>
        <w:t>【设施迁改】</w:t>
      </w:r>
    </w:p>
    <w:p>
      <w:pPr>
        <w:adjustRightInd w:val="0"/>
        <w:snapToGrid w:val="0"/>
        <w:ind w:firstLine="640"/>
        <w:rPr>
          <w:rFonts w:hint="eastAsia" w:ascii="宋体" w:hAnsi="宋体" w:cs="仿宋_GB2312"/>
          <w:snapToGrid w:val="0"/>
          <w:kern w:val="32"/>
          <w:szCs w:val="32"/>
        </w:rPr>
      </w:pPr>
      <w:r>
        <w:rPr>
          <w:rFonts w:hint="eastAsia" w:ascii="宋体" w:hAnsi="宋体" w:cs="仿宋_GB2312"/>
          <w:snapToGrid w:val="0"/>
          <w:kern w:val="32"/>
          <w:szCs w:val="32"/>
        </w:rPr>
        <w:t>因建设工程施工或者其他原因需要迁移、拆除、改动照明设施的，应征得设施产权单位同意。</w:t>
      </w:r>
    </w:p>
    <w:p>
      <w:pPr>
        <w:keepNext/>
        <w:keepLines/>
        <w:adjustRightInd w:val="0"/>
        <w:snapToGrid w:val="0"/>
        <w:ind w:firstLine="0" w:firstLineChars="0"/>
        <w:jc w:val="center"/>
        <w:rPr>
          <w:rFonts w:hint="eastAsia" w:ascii="黑体" w:hAnsi="黑体" w:eastAsia="黑体"/>
          <w:snapToGrid w:val="0"/>
          <w:kern w:val="44"/>
          <w:szCs w:val="32"/>
        </w:rPr>
      </w:pPr>
      <w:r>
        <w:rPr>
          <w:rFonts w:hint="eastAsia" w:ascii="黑体" w:hAnsi="黑体" w:eastAsia="黑体"/>
          <w:snapToGrid w:val="0"/>
          <w:kern w:val="44"/>
          <w:szCs w:val="32"/>
        </w:rPr>
        <w:t>第三章  运维管理</w:t>
      </w:r>
    </w:p>
    <w:p>
      <w:pPr>
        <w:numPr>
          <w:ilvl w:val="0"/>
          <w:numId w:val="1"/>
        </w:numPr>
        <w:adjustRightInd w:val="0"/>
        <w:snapToGrid w:val="0"/>
        <w:ind w:left="0" w:firstLine="640"/>
        <w:rPr>
          <w:rFonts w:hint="eastAsia" w:ascii="楷体_GB2312" w:hAnsi="楷体_GB2312" w:eastAsia="楷体_GB2312"/>
          <w:snapToGrid w:val="0"/>
          <w:kern w:val="32"/>
          <w:szCs w:val="32"/>
        </w:rPr>
      </w:pPr>
      <w:r>
        <w:rPr>
          <w:rFonts w:hint="eastAsia" w:ascii="楷体_GB2312" w:hAnsi="楷体_GB2312" w:eastAsia="楷体_GB2312"/>
          <w:snapToGrid w:val="0"/>
          <w:kern w:val="32"/>
          <w:szCs w:val="32"/>
        </w:rPr>
        <w:t>【运维管理主体】</w:t>
      </w:r>
    </w:p>
    <w:p>
      <w:pPr>
        <w:adjustRightInd w:val="0"/>
        <w:snapToGrid w:val="0"/>
        <w:ind w:firstLine="640"/>
        <w:rPr>
          <w:rFonts w:hint="eastAsia" w:ascii="宋体" w:hAnsi="宋体" w:cs="仿宋_GB2312"/>
          <w:snapToGrid w:val="0"/>
          <w:spacing w:val="-6"/>
          <w:kern w:val="32"/>
          <w:szCs w:val="32"/>
        </w:rPr>
      </w:pPr>
      <w:r>
        <w:rPr>
          <w:rFonts w:hint="eastAsia" w:ascii="宋体" w:hAnsi="宋体" w:cs="仿宋_GB2312"/>
          <w:snapToGrid w:val="0"/>
          <w:spacing w:val="-6"/>
          <w:kern w:val="32"/>
          <w:szCs w:val="32"/>
        </w:rPr>
        <w:t>照明设施的设置单位或管理单位负责其运行、维护、管理工作，设置单位与管理单位间约定运维管理责任的，从其约定。</w:t>
      </w:r>
    </w:p>
    <w:p>
      <w:pPr>
        <w:numPr>
          <w:ilvl w:val="0"/>
          <w:numId w:val="1"/>
        </w:numPr>
        <w:adjustRightInd w:val="0"/>
        <w:snapToGrid w:val="0"/>
        <w:ind w:left="0" w:firstLine="640"/>
        <w:rPr>
          <w:rFonts w:hint="eastAsia" w:ascii="楷体_GB2312" w:hAnsi="楷体_GB2312" w:eastAsia="楷体_GB2312"/>
          <w:snapToGrid w:val="0"/>
          <w:kern w:val="32"/>
          <w:szCs w:val="32"/>
        </w:rPr>
      </w:pPr>
      <w:r>
        <w:rPr>
          <w:rFonts w:hint="eastAsia" w:ascii="楷体_GB2312" w:hAnsi="楷体_GB2312" w:eastAsia="楷体_GB2312"/>
          <w:snapToGrid w:val="0"/>
          <w:kern w:val="32"/>
          <w:szCs w:val="32"/>
        </w:rPr>
        <w:t>【运维管理制度】</w:t>
      </w:r>
    </w:p>
    <w:p>
      <w:pPr>
        <w:adjustRightInd w:val="0"/>
        <w:snapToGrid w:val="0"/>
        <w:ind w:firstLine="640"/>
        <w:rPr>
          <w:rFonts w:hint="eastAsia" w:ascii="宋体" w:hAnsi="宋体" w:cs="仿宋_GB2312"/>
          <w:snapToGrid w:val="0"/>
          <w:kern w:val="32"/>
          <w:szCs w:val="32"/>
        </w:rPr>
      </w:pPr>
      <w:r>
        <w:rPr>
          <w:rFonts w:hint="eastAsia" w:ascii="宋体" w:hAnsi="宋体" w:cs="仿宋_GB2312"/>
          <w:snapToGrid w:val="0"/>
          <w:kern w:val="32"/>
          <w:szCs w:val="32"/>
        </w:rPr>
        <w:t>市、区城市管理部门应建立照明设施运维管理制度，完善统筹对接机制，根据区域场所性质和等级，统一运维标准和保障水平。</w:t>
      </w:r>
    </w:p>
    <w:p>
      <w:pPr>
        <w:numPr>
          <w:ilvl w:val="0"/>
          <w:numId w:val="1"/>
        </w:numPr>
        <w:adjustRightInd w:val="0"/>
        <w:snapToGrid w:val="0"/>
        <w:ind w:left="0" w:firstLine="640"/>
        <w:rPr>
          <w:rFonts w:hint="eastAsia" w:ascii="楷体_GB2312" w:hAnsi="楷体_GB2312" w:eastAsia="楷体_GB2312"/>
          <w:snapToGrid w:val="0"/>
          <w:kern w:val="32"/>
          <w:szCs w:val="32"/>
        </w:rPr>
      </w:pPr>
      <w:r>
        <w:rPr>
          <w:rFonts w:hint="eastAsia" w:ascii="楷体_GB2312" w:hAnsi="楷体_GB2312" w:eastAsia="楷体_GB2312"/>
          <w:snapToGrid w:val="0"/>
          <w:kern w:val="32"/>
          <w:szCs w:val="32"/>
        </w:rPr>
        <w:t>【运维管理要求】</w:t>
      </w:r>
    </w:p>
    <w:p>
      <w:pPr>
        <w:adjustRightInd w:val="0"/>
        <w:snapToGrid w:val="0"/>
        <w:ind w:firstLine="640"/>
        <w:rPr>
          <w:rFonts w:hint="eastAsia" w:ascii="宋体" w:hAnsi="宋体" w:cs="仿宋_GB2312"/>
          <w:snapToGrid w:val="0"/>
          <w:kern w:val="32"/>
          <w:szCs w:val="32"/>
        </w:rPr>
      </w:pPr>
      <w:r>
        <w:rPr>
          <w:rFonts w:hint="eastAsia" w:ascii="宋体" w:hAnsi="宋体" w:cs="仿宋_GB2312"/>
          <w:snapToGrid w:val="0"/>
          <w:kern w:val="32"/>
          <w:szCs w:val="32"/>
        </w:rPr>
        <w:t>照明设施运维管理单位应按照国家、行业及本市有关标</w:t>
      </w:r>
      <w:r>
        <w:rPr>
          <w:rFonts w:hint="eastAsia" w:ascii="宋体" w:hAnsi="宋体" w:cs="仿宋_GB2312"/>
          <w:snapToGrid w:val="0"/>
          <w:spacing w:val="-6"/>
          <w:kern w:val="32"/>
          <w:szCs w:val="32"/>
        </w:rPr>
        <w:t>准、规范开展照明设施日常运维管理工作，使其符合下列要求：</w:t>
      </w:r>
    </w:p>
    <w:p>
      <w:pPr>
        <w:adjustRightInd w:val="0"/>
        <w:snapToGrid w:val="0"/>
        <w:ind w:firstLine="664"/>
        <w:rPr>
          <w:rFonts w:hint="eastAsia" w:ascii="宋体" w:hAnsi="宋体" w:cs="仿宋_GB2312"/>
          <w:snapToGrid w:val="0"/>
          <w:spacing w:val="6"/>
          <w:kern w:val="32"/>
          <w:szCs w:val="32"/>
        </w:rPr>
      </w:pPr>
      <w:r>
        <w:rPr>
          <w:rFonts w:hint="eastAsia" w:ascii="宋体" w:hAnsi="宋体" w:cs="仿宋_GB2312"/>
          <w:snapToGrid w:val="0"/>
          <w:spacing w:val="6"/>
          <w:kern w:val="32"/>
          <w:szCs w:val="32"/>
        </w:rPr>
        <w:t>（一）达到功能完整、效果良好、容貌整洁的安全运行状态；</w:t>
      </w:r>
    </w:p>
    <w:p>
      <w:pPr>
        <w:adjustRightInd w:val="0"/>
        <w:snapToGrid w:val="0"/>
        <w:ind w:firstLine="640"/>
        <w:rPr>
          <w:rFonts w:hint="eastAsia" w:ascii="宋体" w:hAnsi="宋体" w:cs="仿宋_GB2312"/>
          <w:snapToGrid w:val="0"/>
          <w:kern w:val="32"/>
          <w:szCs w:val="32"/>
        </w:rPr>
      </w:pPr>
      <w:r>
        <w:rPr>
          <w:rFonts w:hint="eastAsia" w:ascii="宋体" w:hAnsi="宋体" w:cs="仿宋_GB2312"/>
          <w:snapToGrid w:val="0"/>
          <w:kern w:val="32"/>
          <w:szCs w:val="32"/>
        </w:rPr>
        <w:t>（二）及时清洗、修复、更换断亮、污浊、陈旧、损坏的照明设施设备；</w:t>
      </w:r>
    </w:p>
    <w:p>
      <w:pPr>
        <w:adjustRightInd w:val="0"/>
        <w:snapToGrid w:val="0"/>
        <w:ind w:firstLine="640"/>
        <w:rPr>
          <w:rFonts w:hint="eastAsia" w:ascii="宋体" w:hAnsi="宋体" w:cs="仿宋_GB2312"/>
          <w:snapToGrid w:val="0"/>
          <w:kern w:val="32"/>
          <w:szCs w:val="32"/>
        </w:rPr>
      </w:pPr>
      <w:r>
        <w:rPr>
          <w:rFonts w:hint="eastAsia" w:ascii="宋体" w:hAnsi="宋体" w:cs="仿宋_GB2312"/>
          <w:snapToGrid w:val="0"/>
          <w:kern w:val="32"/>
          <w:szCs w:val="32"/>
        </w:rPr>
        <w:t>（三）及时清除照明设施上擅自搭挂、敷设的线缆及其他设施；</w:t>
      </w:r>
    </w:p>
    <w:p>
      <w:pPr>
        <w:adjustRightInd w:val="0"/>
        <w:snapToGrid w:val="0"/>
        <w:ind w:firstLine="640"/>
        <w:rPr>
          <w:rFonts w:hint="eastAsia" w:ascii="宋体" w:hAnsi="宋体" w:cs="仿宋_GB2312"/>
          <w:snapToGrid w:val="0"/>
          <w:kern w:val="32"/>
          <w:szCs w:val="32"/>
        </w:rPr>
      </w:pPr>
      <w:r>
        <w:rPr>
          <w:rFonts w:hint="eastAsia" w:ascii="宋体" w:hAnsi="宋体" w:cs="仿宋_GB2312"/>
          <w:snapToGrid w:val="0"/>
          <w:kern w:val="32"/>
          <w:szCs w:val="32"/>
        </w:rPr>
        <w:t>（四）保证</w:t>
      </w:r>
      <w:r>
        <w:rPr>
          <w:rFonts w:ascii="宋体" w:hAnsi="宋体" w:cs="仿宋_GB2312"/>
          <w:snapToGrid w:val="0"/>
          <w:kern w:val="32"/>
          <w:szCs w:val="32"/>
        </w:rPr>
        <w:t>照明电气、箱变、线路及消防设施的安全性能均</w:t>
      </w:r>
      <w:r>
        <w:rPr>
          <w:rFonts w:hint="eastAsia" w:ascii="宋体" w:hAnsi="宋体" w:cs="仿宋_GB2312"/>
          <w:snapToGrid w:val="0"/>
          <w:kern w:val="32"/>
          <w:szCs w:val="32"/>
        </w:rPr>
        <w:t>达到</w:t>
      </w:r>
      <w:r>
        <w:rPr>
          <w:rFonts w:ascii="宋体" w:hAnsi="宋体" w:cs="仿宋_GB2312"/>
          <w:snapToGrid w:val="0"/>
          <w:kern w:val="32"/>
          <w:szCs w:val="32"/>
        </w:rPr>
        <w:t>良好状态</w:t>
      </w:r>
      <w:r>
        <w:rPr>
          <w:rFonts w:hint="eastAsia" w:ascii="宋体" w:hAnsi="宋体" w:cs="仿宋_GB2312"/>
          <w:snapToGrid w:val="0"/>
          <w:kern w:val="32"/>
          <w:szCs w:val="32"/>
        </w:rPr>
        <w:t>。</w:t>
      </w:r>
    </w:p>
    <w:p>
      <w:pPr>
        <w:adjustRightInd w:val="0"/>
        <w:snapToGrid w:val="0"/>
        <w:ind w:firstLine="640"/>
        <w:rPr>
          <w:rFonts w:hint="eastAsia" w:ascii="宋体" w:hAnsi="宋体" w:cs="仿宋_GB2312"/>
          <w:snapToGrid w:val="0"/>
          <w:kern w:val="32"/>
          <w:szCs w:val="32"/>
        </w:rPr>
      </w:pPr>
      <w:r>
        <w:rPr>
          <w:rFonts w:hint="eastAsia" w:ascii="宋体" w:hAnsi="宋体" w:cs="仿宋_GB2312"/>
          <w:snapToGrid w:val="0"/>
          <w:kern w:val="32"/>
          <w:szCs w:val="32"/>
        </w:rPr>
        <w:t>照明设施运维管理单位应配合管理部门及时解决城市照明诉求问题，加强分析研判和主动治理，提升服务质量。</w:t>
      </w:r>
    </w:p>
    <w:p>
      <w:pPr>
        <w:numPr>
          <w:ilvl w:val="0"/>
          <w:numId w:val="1"/>
        </w:numPr>
        <w:adjustRightInd w:val="0"/>
        <w:snapToGrid w:val="0"/>
        <w:ind w:left="0" w:firstLine="640"/>
        <w:rPr>
          <w:rFonts w:hint="eastAsia" w:ascii="楷体_GB2312" w:hAnsi="楷体_GB2312" w:eastAsia="楷体_GB2312"/>
          <w:snapToGrid w:val="0"/>
          <w:kern w:val="32"/>
          <w:szCs w:val="32"/>
        </w:rPr>
      </w:pPr>
      <w:r>
        <w:rPr>
          <w:rFonts w:hint="eastAsia" w:ascii="楷体_GB2312" w:hAnsi="楷体_GB2312" w:eastAsia="楷体_GB2312"/>
          <w:snapToGrid w:val="0"/>
          <w:kern w:val="32"/>
          <w:szCs w:val="32"/>
        </w:rPr>
        <w:t>【功能照明运行管理】</w:t>
      </w:r>
    </w:p>
    <w:p>
      <w:pPr>
        <w:adjustRightInd w:val="0"/>
        <w:snapToGrid w:val="0"/>
        <w:ind w:firstLine="640"/>
        <w:rPr>
          <w:rFonts w:hint="eastAsia" w:ascii="宋体" w:hAnsi="宋体" w:cs="仿宋_GB2312"/>
          <w:snapToGrid w:val="0"/>
          <w:kern w:val="32"/>
          <w:szCs w:val="32"/>
        </w:rPr>
      </w:pPr>
      <w:r>
        <w:rPr>
          <w:rFonts w:hint="eastAsia" w:ascii="宋体" w:hAnsi="宋体" w:cs="仿宋_GB2312"/>
          <w:snapToGrid w:val="0"/>
          <w:kern w:val="32"/>
          <w:szCs w:val="32"/>
        </w:rPr>
        <w:t>市城市管理部门应明确功能照明设施开闭时间。综合考虑地理位置、季节变化和极端天气等因素，提前开启或延后关闭功能照明设施。</w:t>
      </w:r>
    </w:p>
    <w:p>
      <w:pPr>
        <w:numPr>
          <w:ilvl w:val="0"/>
          <w:numId w:val="1"/>
        </w:numPr>
        <w:adjustRightInd w:val="0"/>
        <w:snapToGrid w:val="0"/>
        <w:ind w:left="0" w:firstLine="640"/>
        <w:rPr>
          <w:rFonts w:hint="eastAsia" w:ascii="楷体_GB2312" w:hAnsi="楷体_GB2312" w:eastAsia="楷体_GB2312"/>
          <w:snapToGrid w:val="0"/>
          <w:kern w:val="32"/>
          <w:szCs w:val="32"/>
        </w:rPr>
      </w:pPr>
      <w:r>
        <w:rPr>
          <w:rFonts w:hint="eastAsia" w:ascii="楷体_GB2312" w:hAnsi="楷体_GB2312" w:eastAsia="楷体_GB2312"/>
          <w:snapToGrid w:val="0"/>
          <w:kern w:val="32"/>
          <w:szCs w:val="32"/>
        </w:rPr>
        <w:t>【景观照明运行管理】</w:t>
      </w:r>
    </w:p>
    <w:p>
      <w:pPr>
        <w:ind w:firstLine="640"/>
        <w:rPr>
          <w:rFonts w:hint="eastAsia" w:ascii="宋体" w:hAnsi="宋体" w:cs="仿宋_GB2312"/>
          <w:snapToGrid w:val="0"/>
          <w:kern w:val="32"/>
          <w:szCs w:val="32"/>
        </w:rPr>
      </w:pPr>
      <w:r>
        <w:rPr>
          <w:rFonts w:hint="eastAsia" w:ascii="宋体" w:hAnsi="宋体" w:cs="仿宋_GB2312"/>
          <w:snapToGrid w:val="0"/>
          <w:kern w:val="32"/>
          <w:szCs w:val="32"/>
        </w:rPr>
        <w:t>本市景观照明设施按照庆典模式、观赏模式和节能模式运行，实行平日、一般节假日、重大节假日和重大活动四个等级管理，详见附表《</w:t>
      </w:r>
      <w:bookmarkStart w:id="24" w:name="_Hlk205984161"/>
      <w:r>
        <w:rPr>
          <w:rFonts w:hint="eastAsia" w:ascii="宋体" w:hAnsi="宋体" w:cs="仿宋_GB2312"/>
          <w:snapToGrid w:val="0"/>
          <w:kern w:val="32"/>
          <w:szCs w:val="32"/>
        </w:rPr>
        <w:t>北京市景观照明设施运行管理要求一览表</w:t>
      </w:r>
      <w:bookmarkEnd w:id="24"/>
      <w:r>
        <w:rPr>
          <w:rFonts w:hint="eastAsia" w:ascii="宋体" w:hAnsi="宋体" w:cs="仿宋_GB2312"/>
          <w:snapToGrid w:val="0"/>
          <w:kern w:val="32"/>
          <w:szCs w:val="32"/>
        </w:rPr>
        <w:t>》。</w:t>
      </w:r>
    </w:p>
    <w:p>
      <w:pPr>
        <w:ind w:firstLine="640"/>
        <w:rPr>
          <w:rFonts w:hint="eastAsia" w:ascii="宋体" w:hAnsi="宋体" w:cs="仿宋_GB2312"/>
          <w:snapToGrid w:val="0"/>
          <w:kern w:val="32"/>
          <w:szCs w:val="32"/>
        </w:rPr>
      </w:pPr>
      <w:r>
        <w:rPr>
          <w:rFonts w:hint="eastAsia" w:ascii="宋体" w:hAnsi="宋体" w:cs="仿宋_GB2312"/>
          <w:snapToGrid w:val="0"/>
          <w:kern w:val="32"/>
          <w:szCs w:val="32"/>
        </w:rPr>
        <w:t>重大活动等特殊情况下，各景观照明设施管理单位可根据自身需求在不影响周边居民的情况下延迟关闭。公园内部非街景景观照明设施可随公园静园同步关闭。</w:t>
      </w:r>
    </w:p>
    <w:p>
      <w:pPr>
        <w:numPr>
          <w:ilvl w:val="0"/>
          <w:numId w:val="1"/>
        </w:numPr>
        <w:adjustRightInd w:val="0"/>
        <w:snapToGrid w:val="0"/>
        <w:ind w:left="0" w:firstLine="640"/>
        <w:rPr>
          <w:rFonts w:hint="eastAsia" w:ascii="楷体_GB2312" w:hAnsi="楷体_GB2312" w:eastAsia="楷体_GB2312"/>
          <w:snapToGrid w:val="0"/>
          <w:kern w:val="32"/>
          <w:szCs w:val="32"/>
        </w:rPr>
      </w:pPr>
      <w:r>
        <w:rPr>
          <w:rFonts w:hint="eastAsia" w:ascii="楷体_GB2312" w:hAnsi="楷体_GB2312" w:eastAsia="楷体_GB2312"/>
          <w:snapToGrid w:val="0"/>
          <w:kern w:val="32"/>
          <w:szCs w:val="32"/>
        </w:rPr>
        <w:t>【检测评估】</w:t>
      </w:r>
    </w:p>
    <w:p>
      <w:pPr>
        <w:adjustRightInd w:val="0"/>
        <w:snapToGrid w:val="0"/>
        <w:ind w:firstLine="640"/>
        <w:rPr>
          <w:rFonts w:hint="eastAsia" w:ascii="宋体" w:hAnsi="宋体" w:cs="仿宋_GB2312"/>
          <w:snapToGrid w:val="0"/>
          <w:kern w:val="32"/>
          <w:szCs w:val="32"/>
        </w:rPr>
      </w:pPr>
      <w:r>
        <w:rPr>
          <w:rFonts w:hint="eastAsia" w:ascii="宋体" w:hAnsi="宋体" w:cs="仿宋_GB2312"/>
          <w:snapToGrid w:val="0"/>
          <w:kern w:val="32"/>
          <w:szCs w:val="32"/>
        </w:rPr>
        <w:t>市、区城市管理部门及照明设施运维管理单位应根据建设基础、运维管理情况依照相关技术标准和规范，及时检测评估城市照明设施的光衰、老化、能耗及安全状况，有序进行设施设备节能改造和消隐更新。</w:t>
      </w:r>
    </w:p>
    <w:p>
      <w:pPr>
        <w:numPr>
          <w:ilvl w:val="0"/>
          <w:numId w:val="1"/>
        </w:numPr>
        <w:adjustRightInd w:val="0"/>
        <w:snapToGrid w:val="0"/>
        <w:ind w:left="0" w:firstLine="640"/>
        <w:rPr>
          <w:rFonts w:hint="eastAsia" w:ascii="楷体_GB2312" w:hAnsi="楷体_GB2312" w:eastAsia="楷体_GB2312"/>
          <w:snapToGrid w:val="0"/>
          <w:kern w:val="32"/>
          <w:szCs w:val="32"/>
          <w:highlight w:val="none"/>
        </w:rPr>
      </w:pPr>
      <w:r>
        <w:rPr>
          <w:rFonts w:hint="eastAsia" w:ascii="楷体_GB2312" w:hAnsi="楷体_GB2312" w:eastAsia="楷体_GB2312"/>
          <w:snapToGrid w:val="0"/>
          <w:kern w:val="32"/>
          <w:szCs w:val="32"/>
          <w:highlight w:val="none"/>
        </w:rPr>
        <w:t>【运维监督】</w:t>
      </w:r>
    </w:p>
    <w:p>
      <w:pPr>
        <w:adjustRightInd w:val="0"/>
        <w:snapToGrid w:val="0"/>
        <w:ind w:firstLine="640"/>
        <w:rPr>
          <w:rFonts w:hint="eastAsia" w:ascii="宋体" w:hAnsi="宋体"/>
          <w:snapToGrid w:val="0"/>
          <w:spacing w:val="-6"/>
          <w:kern w:val="32"/>
          <w:szCs w:val="32"/>
        </w:rPr>
      </w:pPr>
      <w:r>
        <w:rPr>
          <w:rFonts w:hint="eastAsia" w:ascii="宋体" w:hAnsi="宋体" w:cs="仿宋_GB2312"/>
          <w:snapToGrid w:val="0"/>
          <w:kern w:val="32"/>
          <w:szCs w:val="32"/>
        </w:rPr>
        <w:t>市、区城市管理部门应组织开展城市照明运行、维护的监督管理工作，保障城市照明设施完好和正常运行</w:t>
      </w:r>
      <w:r>
        <w:rPr>
          <w:rFonts w:hint="eastAsia" w:ascii="宋体" w:hAnsi="宋体" w:cs="仿宋_GB2312"/>
          <w:snapToGrid w:val="0"/>
          <w:spacing w:val="-6"/>
          <w:kern w:val="32"/>
          <w:szCs w:val="32"/>
        </w:rPr>
        <w:t>。</w:t>
      </w:r>
    </w:p>
    <w:p>
      <w:pPr>
        <w:numPr>
          <w:ilvl w:val="0"/>
          <w:numId w:val="1"/>
        </w:numPr>
        <w:adjustRightInd w:val="0"/>
        <w:snapToGrid w:val="0"/>
        <w:ind w:left="0" w:firstLine="640"/>
        <w:rPr>
          <w:rFonts w:hint="eastAsia" w:ascii="楷体_GB2312" w:hAnsi="楷体_GB2312" w:eastAsia="楷体_GB2312"/>
          <w:snapToGrid w:val="0"/>
          <w:kern w:val="32"/>
          <w:szCs w:val="32"/>
        </w:rPr>
      </w:pPr>
      <w:r>
        <w:rPr>
          <w:rFonts w:hint="eastAsia" w:ascii="楷体_GB2312" w:hAnsi="楷体_GB2312" w:eastAsia="楷体_GB2312"/>
          <w:snapToGrid w:val="0"/>
          <w:kern w:val="32"/>
          <w:szCs w:val="32"/>
        </w:rPr>
        <w:t>【资金保障】</w:t>
      </w:r>
    </w:p>
    <w:p>
      <w:pPr>
        <w:adjustRightInd w:val="0"/>
        <w:snapToGrid w:val="0"/>
        <w:ind w:firstLine="640"/>
        <w:rPr>
          <w:rFonts w:hint="eastAsia" w:ascii="宋体" w:hAnsi="宋体" w:cs="仿宋_GB2312"/>
          <w:snapToGrid w:val="0"/>
          <w:kern w:val="32"/>
          <w:szCs w:val="32"/>
          <w:highlight w:val="none"/>
        </w:rPr>
      </w:pPr>
      <w:r>
        <w:rPr>
          <w:rFonts w:hint="eastAsia" w:ascii="宋体" w:hAnsi="宋体" w:cs="仿宋_GB2312"/>
          <w:snapToGrid w:val="0"/>
          <w:kern w:val="32"/>
          <w:szCs w:val="32"/>
          <w:highlight w:val="none"/>
        </w:rPr>
        <w:t>（一）政府投资建设的和移交给政府管理的照明设施，由同级财政部门负责运维费用和电费保障。</w:t>
      </w:r>
    </w:p>
    <w:p>
      <w:pPr>
        <w:adjustRightInd w:val="0"/>
        <w:snapToGrid w:val="0"/>
        <w:ind w:firstLine="640"/>
        <w:rPr>
          <w:rFonts w:hint="eastAsia" w:ascii="宋体" w:hAnsi="宋体" w:cs="仿宋_GB2312"/>
          <w:snapToGrid w:val="0"/>
          <w:kern w:val="32"/>
          <w:szCs w:val="32"/>
          <w:highlight w:val="none"/>
        </w:rPr>
      </w:pPr>
      <w:r>
        <w:rPr>
          <w:rFonts w:hint="eastAsia" w:ascii="宋体" w:hAnsi="宋体" w:cs="仿宋_GB2312"/>
          <w:snapToGrid w:val="0"/>
          <w:kern w:val="32"/>
          <w:szCs w:val="32"/>
          <w:highlight w:val="none"/>
        </w:rPr>
        <w:t>非政府投资建设的照明设施，由产权单位负责运维费用和电费保障。</w:t>
      </w:r>
    </w:p>
    <w:p>
      <w:pPr>
        <w:adjustRightInd w:val="0"/>
        <w:snapToGrid w:val="0"/>
        <w:ind w:firstLine="640"/>
        <w:rPr>
          <w:rFonts w:hint="eastAsia" w:ascii="宋体" w:hAnsi="宋体" w:cs="仿宋_GB2312"/>
          <w:snapToGrid w:val="0"/>
          <w:kern w:val="32"/>
          <w:szCs w:val="32"/>
          <w:highlight w:val="none"/>
        </w:rPr>
      </w:pPr>
      <w:r>
        <w:rPr>
          <w:rFonts w:hint="eastAsia" w:ascii="宋体" w:hAnsi="宋体" w:cs="仿宋_GB2312"/>
          <w:snapToGrid w:val="0"/>
          <w:kern w:val="32"/>
          <w:szCs w:val="32"/>
          <w:highlight w:val="none"/>
        </w:rPr>
        <w:t>（二）</w:t>
      </w:r>
      <w:bookmarkStart w:id="25" w:name="_Hlk211258739"/>
      <w:r>
        <w:rPr>
          <w:rFonts w:hint="eastAsia" w:ascii="宋体" w:hAnsi="宋体" w:cs="仿宋_GB2312"/>
          <w:snapToGrid w:val="0"/>
          <w:kern w:val="32"/>
          <w:szCs w:val="32"/>
          <w:highlight w:val="none"/>
        </w:rPr>
        <w:t>对于非政府管理的景观照明设施，位于重点区域且因政府需要延长开启时间的，市</w:t>
      </w:r>
      <w:r>
        <w:rPr>
          <w:rFonts w:hint="eastAsia" w:ascii="宋体" w:hAnsi="宋体" w:cs="仿宋_GB2312"/>
          <w:snapToGrid w:val="0"/>
          <w:kern w:val="32"/>
          <w:szCs w:val="32"/>
          <w:highlight w:val="none"/>
          <w:lang w:eastAsia="zh"/>
        </w:rPr>
        <w:t>、</w:t>
      </w:r>
      <w:r>
        <w:rPr>
          <w:rFonts w:hint="eastAsia" w:ascii="宋体" w:hAnsi="宋体" w:cs="仿宋_GB2312"/>
          <w:snapToGrid w:val="0"/>
          <w:kern w:val="32"/>
          <w:szCs w:val="32"/>
          <w:highlight w:val="none"/>
        </w:rPr>
        <w:t>区政府给予相应的供用电优惠政策。</w:t>
      </w:r>
    </w:p>
    <w:p>
      <w:pPr>
        <w:keepNext/>
        <w:keepLines/>
        <w:adjustRightInd w:val="0"/>
        <w:snapToGrid w:val="0"/>
        <w:ind w:firstLine="0" w:firstLineChars="0"/>
        <w:jc w:val="center"/>
        <w:rPr>
          <w:rFonts w:hint="eastAsia" w:ascii="黑体" w:hAnsi="黑体" w:eastAsia="黑体"/>
          <w:snapToGrid w:val="0"/>
          <w:kern w:val="44"/>
          <w:szCs w:val="32"/>
        </w:rPr>
      </w:pPr>
      <w:r>
        <w:rPr>
          <w:rFonts w:hint="eastAsia" w:ascii="黑体" w:hAnsi="黑体" w:eastAsia="黑体"/>
          <w:snapToGrid w:val="0"/>
          <w:kern w:val="44"/>
          <w:szCs w:val="32"/>
        </w:rPr>
        <w:t>第四章  法律责任</w:t>
      </w:r>
    </w:p>
    <w:p>
      <w:pPr>
        <w:numPr>
          <w:ilvl w:val="0"/>
          <w:numId w:val="1"/>
        </w:numPr>
        <w:adjustRightInd w:val="0"/>
        <w:snapToGrid w:val="0"/>
        <w:ind w:left="0" w:firstLine="640"/>
        <w:rPr>
          <w:rFonts w:hint="eastAsia" w:ascii="楷体_GB2312" w:hAnsi="楷体_GB2312" w:eastAsia="楷体_GB2312"/>
          <w:snapToGrid w:val="0"/>
          <w:kern w:val="32"/>
          <w:szCs w:val="32"/>
          <w:highlight w:val="none"/>
        </w:rPr>
      </w:pPr>
      <w:bookmarkStart w:id="26" w:name="_Hlk211329369"/>
      <w:r>
        <w:rPr>
          <w:rFonts w:hint="eastAsia" w:ascii="楷体_GB2312" w:hAnsi="楷体_GB2312" w:eastAsia="楷体_GB2312"/>
          <w:snapToGrid w:val="0"/>
          <w:kern w:val="32"/>
          <w:szCs w:val="32"/>
          <w:highlight w:val="none"/>
        </w:rPr>
        <w:t>【法律责任】</w:t>
      </w:r>
    </w:p>
    <w:p>
      <w:pPr>
        <w:ind w:firstLine="640"/>
        <w:rPr>
          <w:rFonts w:hint="eastAsia" w:ascii="宋体" w:hAnsi="宋体"/>
          <w:snapToGrid w:val="0"/>
          <w:color w:val="000000"/>
          <w:kern w:val="32"/>
          <w:szCs w:val="32"/>
          <w:highlight w:val="none"/>
        </w:rPr>
      </w:pPr>
      <w:bookmarkStart w:id="27" w:name="_Hlk211262080"/>
      <w:r>
        <w:rPr>
          <w:rFonts w:hint="eastAsia" w:ascii="宋体" w:hAnsi="宋体"/>
          <w:snapToGrid w:val="0"/>
          <w:color w:val="000000"/>
          <w:kern w:val="32"/>
          <w:szCs w:val="32"/>
          <w:highlight w:val="none"/>
        </w:rPr>
        <w:t>违反有关规定的，由城管执法部门按照《城市照明管理规定》（中华人民共和国住房和城乡</w:t>
      </w:r>
      <w:r>
        <w:rPr>
          <w:rFonts w:hint="eastAsia" w:ascii="仿宋_GB2312" w:hAnsi="仿宋_GB2312" w:cs="仿宋_GB2312"/>
          <w:snapToGrid w:val="0"/>
          <w:color w:val="000000"/>
          <w:kern w:val="32"/>
          <w:szCs w:val="32"/>
          <w:highlight w:val="none"/>
        </w:rPr>
        <w:t>建设部令第4号）和《</w:t>
      </w:r>
      <w:r>
        <w:rPr>
          <w:rFonts w:hint="eastAsia" w:ascii="宋体" w:hAnsi="宋体"/>
          <w:snapToGrid w:val="0"/>
          <w:color w:val="000000"/>
          <w:kern w:val="32"/>
          <w:szCs w:val="32"/>
          <w:highlight w:val="none"/>
        </w:rPr>
        <w:t>北京市市容环境卫生条例》的有关规定实施行政处罚。</w:t>
      </w:r>
      <w:bookmarkEnd w:id="27"/>
    </w:p>
    <w:bookmarkEnd w:id="25"/>
    <w:bookmarkEnd w:id="26"/>
    <w:p>
      <w:pPr>
        <w:keepNext/>
        <w:keepLines/>
        <w:adjustRightInd w:val="0"/>
        <w:snapToGrid w:val="0"/>
        <w:ind w:firstLine="0" w:firstLineChars="0"/>
        <w:jc w:val="center"/>
        <w:rPr>
          <w:rFonts w:hint="eastAsia" w:ascii="黑体" w:hAnsi="黑体" w:eastAsia="黑体"/>
          <w:snapToGrid w:val="0"/>
          <w:kern w:val="44"/>
          <w:szCs w:val="32"/>
        </w:rPr>
      </w:pPr>
      <w:r>
        <w:rPr>
          <w:rFonts w:hint="eastAsia" w:ascii="黑体" w:hAnsi="黑体" w:eastAsia="黑体"/>
          <w:snapToGrid w:val="0"/>
          <w:kern w:val="44"/>
          <w:szCs w:val="32"/>
        </w:rPr>
        <w:t>第五章  附　则</w:t>
      </w:r>
    </w:p>
    <w:p>
      <w:pPr>
        <w:numPr>
          <w:ilvl w:val="0"/>
          <w:numId w:val="1"/>
        </w:numPr>
        <w:adjustRightInd w:val="0"/>
        <w:snapToGrid w:val="0"/>
        <w:ind w:left="0" w:firstLine="640"/>
        <w:rPr>
          <w:rFonts w:hint="eastAsia" w:ascii="楷体_GB2312" w:hAnsi="楷体_GB2312" w:eastAsia="楷体_GB2312"/>
          <w:snapToGrid w:val="0"/>
          <w:kern w:val="32"/>
          <w:szCs w:val="32"/>
        </w:rPr>
      </w:pPr>
      <w:r>
        <w:rPr>
          <w:rFonts w:hint="eastAsia" w:ascii="楷体_GB2312" w:hAnsi="楷体_GB2312" w:eastAsia="楷体_GB2312"/>
          <w:snapToGrid w:val="0"/>
          <w:kern w:val="32"/>
          <w:szCs w:val="32"/>
        </w:rPr>
        <w:t>【施行时间】</w:t>
      </w:r>
    </w:p>
    <w:p>
      <w:pPr>
        <w:adjustRightInd w:val="0"/>
        <w:snapToGrid w:val="0"/>
        <w:ind w:firstLine="640"/>
        <w:rPr>
          <w:rFonts w:hint="eastAsia" w:hAnsi="仿宋_GB2312" w:cs="仿宋_GB2312"/>
          <w:snapToGrid w:val="0"/>
          <w:kern w:val="32"/>
          <w:szCs w:val="32"/>
        </w:rPr>
      </w:pPr>
      <w:r>
        <w:rPr>
          <w:rFonts w:hint="eastAsia" w:hAnsi="仿宋_GB2312" w:cs="仿宋_GB2312"/>
          <w:snapToGrid w:val="0"/>
          <w:kern w:val="32"/>
          <w:szCs w:val="32"/>
        </w:rPr>
        <w:t>本办法自2025年X月X日起施行。2008年4月30日施行的《北京市夜景照明管理办法》（京政办发〔2008〕27号）同时废止。</w:t>
      </w:r>
    </w:p>
    <w:p>
      <w:pPr>
        <w:ind w:firstLine="0" w:firstLineChars="0"/>
        <w:rPr>
          <w:rFonts w:hint="eastAsia" w:ascii="宋体" w:hAnsi="宋体"/>
          <w:snapToGrid w:val="0"/>
          <w:kern w:val="32"/>
          <w:szCs w:val="32"/>
        </w:rPr>
      </w:pPr>
    </w:p>
    <w:p>
      <w:pPr>
        <w:ind w:firstLine="640" w:firstLineChars="200"/>
        <w:rPr>
          <w:rFonts w:hint="eastAsia" w:ascii="黑体" w:hAnsi="黑体" w:eastAsia="黑体"/>
          <w:snapToGrid w:val="0"/>
          <w:kern w:val="32"/>
          <w:szCs w:val="32"/>
          <w:lang w:eastAsia="zh"/>
        </w:rPr>
      </w:pPr>
      <w:r>
        <w:rPr>
          <w:rFonts w:hint="eastAsia" w:ascii="宋体" w:hAnsi="宋体"/>
          <w:snapToGrid w:val="0"/>
          <w:kern w:val="32"/>
          <w:sz w:val="32"/>
          <w:szCs w:val="32"/>
          <w:lang w:eastAsia="zh"/>
        </w:rPr>
        <w:t>附表：北京市景观照明设施运行管理要求一览表</w:t>
      </w:r>
      <w:r>
        <w:rPr>
          <w:rFonts w:hint="eastAsia" w:ascii="宋体" w:hAnsi="宋体"/>
          <w:snapToGrid w:val="0"/>
          <w:kern w:val="32"/>
          <w:szCs w:val="32"/>
        </w:rPr>
        <w:br w:type="page"/>
      </w:r>
      <w:r>
        <w:rPr>
          <w:rFonts w:hint="eastAsia" w:ascii="黑体" w:hAnsi="黑体" w:eastAsia="黑体"/>
          <w:snapToGrid w:val="0"/>
          <w:kern w:val="32"/>
          <w:szCs w:val="32"/>
        </w:rPr>
        <w:t>附表</w:t>
      </w:r>
    </w:p>
    <w:p>
      <w:pPr>
        <w:spacing w:before="181" w:beforeLines="50" w:after="181" w:afterLines="50" w:line="660" w:lineRule="exact"/>
        <w:ind w:firstLine="0" w:firstLineChars="0"/>
        <w:jc w:val="center"/>
        <w:rPr>
          <w:rFonts w:hint="eastAsia" w:ascii="方正小标宋简体" w:hAnsi="方正小标宋简体" w:eastAsia="方正小标宋简体" w:cs="方正小标宋简体"/>
          <w:snapToGrid w:val="0"/>
          <w:kern w:val="32"/>
          <w:sz w:val="44"/>
          <w:szCs w:val="44"/>
        </w:rPr>
      </w:pPr>
      <w:r>
        <w:rPr>
          <w:rFonts w:hint="eastAsia" w:ascii="方正小标宋简体" w:hAnsi="方正小标宋简体" w:eastAsia="方正小标宋简体" w:cs="方正小标宋简体"/>
          <w:snapToGrid w:val="0"/>
          <w:kern w:val="32"/>
          <w:sz w:val="44"/>
          <w:szCs w:val="44"/>
        </w:rPr>
        <w:t>北京市景观照明设施运行管理要求一览表</w:t>
      </w:r>
    </w:p>
    <w:tbl>
      <w:tblPr>
        <w:tblStyle w:val="25"/>
        <w:tblW w:w="10848" w:type="dxa"/>
        <w:jc w:val="center"/>
        <w:tblLayout w:type="fixed"/>
        <w:tblCellMar>
          <w:top w:w="0" w:type="dxa"/>
          <w:left w:w="108" w:type="dxa"/>
          <w:bottom w:w="0" w:type="dxa"/>
          <w:right w:w="108" w:type="dxa"/>
        </w:tblCellMar>
      </w:tblPr>
      <w:tblGrid>
        <w:gridCol w:w="417"/>
        <w:gridCol w:w="732"/>
        <w:gridCol w:w="1560"/>
        <w:gridCol w:w="1275"/>
        <w:gridCol w:w="2570"/>
        <w:gridCol w:w="2225"/>
        <w:gridCol w:w="2069"/>
      </w:tblGrid>
      <w:tr>
        <w:tblPrEx>
          <w:tblCellMar>
            <w:top w:w="0" w:type="dxa"/>
            <w:left w:w="108" w:type="dxa"/>
            <w:bottom w:w="0" w:type="dxa"/>
            <w:right w:w="108" w:type="dxa"/>
          </w:tblCellMar>
        </w:tblPrEx>
        <w:trPr>
          <w:trHeight w:val="270" w:hRule="atLeast"/>
          <w:jc w:val="center"/>
        </w:trPr>
        <w:tc>
          <w:tcPr>
            <w:tcW w:w="114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hint="eastAsia" w:ascii="黑体" w:hAnsi="黑体" w:eastAsia="黑体" w:cs="黑体"/>
                <w:b w:val="0"/>
                <w:bCs w:val="0"/>
                <w:snapToGrid w:val="0"/>
                <w:color w:val="000000"/>
                <w:sz w:val="20"/>
                <w:szCs w:val="20"/>
              </w:rPr>
            </w:pPr>
            <w:r>
              <w:rPr>
                <w:rFonts w:hint="eastAsia" w:ascii="黑体" w:hAnsi="黑体" w:eastAsia="黑体" w:cs="黑体"/>
                <w:b w:val="0"/>
                <w:bCs w:val="0"/>
                <w:snapToGrid w:val="0"/>
                <w:color w:val="000000"/>
                <w:sz w:val="20"/>
                <w:szCs w:val="20"/>
              </w:rPr>
              <w:t>运行等级</w:t>
            </w:r>
          </w:p>
        </w:tc>
        <w:tc>
          <w:tcPr>
            <w:tcW w:w="283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hint="eastAsia" w:ascii="黑体" w:hAnsi="黑体" w:eastAsia="黑体" w:cs="黑体"/>
                <w:b w:val="0"/>
                <w:bCs w:val="0"/>
                <w:snapToGrid w:val="0"/>
                <w:color w:val="000000"/>
                <w:sz w:val="20"/>
                <w:szCs w:val="20"/>
              </w:rPr>
            </w:pPr>
            <w:r>
              <w:rPr>
                <w:rFonts w:hint="eastAsia" w:ascii="黑体" w:hAnsi="黑体" w:eastAsia="黑体" w:cs="黑体"/>
                <w:b w:val="0"/>
                <w:bCs w:val="0"/>
                <w:snapToGrid w:val="0"/>
                <w:color w:val="000000"/>
                <w:sz w:val="20"/>
                <w:szCs w:val="20"/>
              </w:rPr>
              <w:t>平日</w:t>
            </w:r>
          </w:p>
        </w:tc>
        <w:tc>
          <w:tcPr>
            <w:tcW w:w="25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hint="eastAsia" w:ascii="黑体" w:hAnsi="黑体" w:eastAsia="黑体" w:cs="黑体"/>
                <w:b w:val="0"/>
                <w:bCs w:val="0"/>
                <w:snapToGrid w:val="0"/>
                <w:color w:val="000000"/>
                <w:sz w:val="20"/>
                <w:szCs w:val="20"/>
              </w:rPr>
            </w:pPr>
            <w:r>
              <w:rPr>
                <w:rFonts w:hint="eastAsia" w:ascii="黑体" w:hAnsi="黑体" w:eastAsia="黑体" w:cs="黑体"/>
                <w:b w:val="0"/>
                <w:bCs w:val="0"/>
                <w:snapToGrid w:val="0"/>
                <w:color w:val="000000"/>
                <w:sz w:val="20"/>
                <w:szCs w:val="20"/>
              </w:rPr>
              <w:t>一般节假日</w:t>
            </w:r>
          </w:p>
        </w:tc>
        <w:tc>
          <w:tcPr>
            <w:tcW w:w="22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hint="eastAsia" w:ascii="黑体" w:hAnsi="黑体" w:eastAsia="黑体" w:cs="黑体"/>
                <w:b w:val="0"/>
                <w:bCs w:val="0"/>
                <w:snapToGrid w:val="0"/>
                <w:color w:val="000000"/>
                <w:sz w:val="20"/>
                <w:szCs w:val="20"/>
              </w:rPr>
            </w:pPr>
            <w:r>
              <w:rPr>
                <w:rFonts w:hint="eastAsia" w:ascii="黑体" w:hAnsi="黑体" w:eastAsia="黑体" w:cs="黑体"/>
                <w:b w:val="0"/>
                <w:bCs w:val="0"/>
                <w:snapToGrid w:val="0"/>
                <w:color w:val="000000"/>
                <w:sz w:val="20"/>
                <w:szCs w:val="20"/>
              </w:rPr>
              <w:t>重大节假日</w:t>
            </w:r>
          </w:p>
        </w:tc>
        <w:tc>
          <w:tcPr>
            <w:tcW w:w="2069" w:type="dxa"/>
            <w:tcBorders>
              <w:top w:val="single" w:color="000000" w:sz="4" w:space="0"/>
              <w:left w:val="single" w:color="000000" w:sz="4" w:space="0"/>
              <w:bottom w:val="single" w:color="000000" w:sz="4" w:space="0"/>
              <w:right w:val="single" w:color="000000" w:sz="4" w:space="0"/>
            </w:tcBorders>
          </w:tcPr>
          <w:p>
            <w:pPr>
              <w:widowControl/>
              <w:spacing w:line="240" w:lineRule="atLeast"/>
              <w:ind w:firstLine="0" w:firstLineChars="0"/>
              <w:jc w:val="center"/>
              <w:rPr>
                <w:rFonts w:hint="eastAsia" w:ascii="黑体" w:hAnsi="黑体" w:eastAsia="黑体" w:cs="黑体"/>
                <w:b w:val="0"/>
                <w:bCs w:val="0"/>
                <w:snapToGrid w:val="0"/>
                <w:color w:val="000000"/>
                <w:sz w:val="20"/>
                <w:szCs w:val="20"/>
              </w:rPr>
            </w:pPr>
            <w:r>
              <w:rPr>
                <w:rFonts w:hint="eastAsia" w:ascii="黑体" w:hAnsi="黑体" w:eastAsia="黑体" w:cs="黑体"/>
                <w:b w:val="0"/>
                <w:bCs w:val="0"/>
                <w:snapToGrid w:val="0"/>
                <w:color w:val="000000"/>
                <w:sz w:val="20"/>
                <w:szCs w:val="20"/>
              </w:rPr>
              <w:t>重大活动</w:t>
            </w:r>
          </w:p>
        </w:tc>
      </w:tr>
      <w:tr>
        <w:tblPrEx>
          <w:tblCellMar>
            <w:top w:w="0" w:type="dxa"/>
            <w:left w:w="108" w:type="dxa"/>
            <w:bottom w:w="0" w:type="dxa"/>
            <w:right w:w="108" w:type="dxa"/>
          </w:tblCellMar>
        </w:tblPrEx>
        <w:trPr>
          <w:trHeight w:val="1530" w:hRule="atLeast"/>
          <w:jc w:val="center"/>
        </w:trPr>
        <w:tc>
          <w:tcPr>
            <w:tcW w:w="114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hint="eastAsia" w:ascii="仿宋_GB2312" w:hAnsi="仿宋_GB2312" w:eastAsia="仿宋_GB2312" w:cs="仿宋_GB2312"/>
                <w:b w:val="0"/>
                <w:bCs w:val="0"/>
                <w:snapToGrid w:val="0"/>
                <w:color w:val="000000"/>
                <w:sz w:val="20"/>
                <w:szCs w:val="20"/>
              </w:rPr>
            </w:pPr>
            <w:r>
              <w:rPr>
                <w:rFonts w:hint="eastAsia" w:ascii="仿宋_GB2312" w:hAnsi="仿宋_GB2312" w:eastAsia="仿宋_GB2312" w:cs="仿宋_GB2312"/>
                <w:b w:val="0"/>
                <w:bCs w:val="0"/>
                <w:snapToGrid w:val="0"/>
                <w:color w:val="000000"/>
                <w:sz w:val="20"/>
                <w:szCs w:val="20"/>
              </w:rPr>
              <w:t>运行时间</w:t>
            </w:r>
          </w:p>
        </w:tc>
        <w:tc>
          <w:tcPr>
            <w:tcW w:w="283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hint="eastAsia" w:ascii="仿宋_GB2312" w:hAnsi="仿宋_GB2312" w:eastAsia="仿宋_GB2312" w:cs="仿宋_GB2312"/>
                <w:b w:val="0"/>
                <w:bCs w:val="0"/>
                <w:snapToGrid w:val="0"/>
                <w:color w:val="000000"/>
                <w:sz w:val="20"/>
                <w:szCs w:val="20"/>
              </w:rPr>
            </w:pPr>
            <w:r>
              <w:rPr>
                <w:rFonts w:hint="eastAsia" w:ascii="仿宋_GB2312" w:hAnsi="仿宋_GB2312" w:eastAsia="仿宋_GB2312" w:cs="仿宋_GB2312"/>
                <w:b w:val="0"/>
                <w:bCs w:val="0"/>
                <w:snapToGrid w:val="0"/>
                <w:color w:val="000000"/>
                <w:sz w:val="20"/>
                <w:szCs w:val="20"/>
              </w:rPr>
              <w:t>星期日至星期四</w:t>
            </w:r>
          </w:p>
        </w:tc>
        <w:tc>
          <w:tcPr>
            <w:tcW w:w="25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hint="eastAsia" w:ascii="仿宋_GB2312" w:hAnsi="仿宋_GB2312" w:eastAsia="仿宋_GB2312" w:cs="仿宋_GB2312"/>
                <w:b w:val="0"/>
                <w:bCs w:val="0"/>
                <w:snapToGrid w:val="0"/>
                <w:color w:val="000000"/>
                <w:sz w:val="20"/>
                <w:szCs w:val="20"/>
              </w:rPr>
            </w:pPr>
            <w:r>
              <w:rPr>
                <w:rFonts w:hint="eastAsia" w:ascii="仿宋_GB2312" w:hAnsi="仿宋_GB2312" w:eastAsia="仿宋_GB2312" w:cs="仿宋_GB2312"/>
                <w:b w:val="0"/>
                <w:bCs w:val="0"/>
                <w:snapToGrid w:val="0"/>
                <w:color w:val="000000"/>
                <w:sz w:val="20"/>
                <w:szCs w:val="20"/>
              </w:rPr>
              <w:t>（1）星期五、星期六；</w:t>
            </w:r>
            <w:r>
              <w:rPr>
                <w:rFonts w:hint="eastAsia" w:ascii="仿宋_GB2312" w:hAnsi="仿宋_GB2312" w:eastAsia="仿宋_GB2312" w:cs="仿宋_GB2312"/>
                <w:b w:val="0"/>
                <w:bCs w:val="0"/>
                <w:snapToGrid w:val="0"/>
                <w:color w:val="000000"/>
                <w:sz w:val="20"/>
                <w:szCs w:val="20"/>
              </w:rPr>
              <w:br w:type="textWrapping"/>
            </w:r>
            <w:r>
              <w:rPr>
                <w:rFonts w:hint="eastAsia" w:ascii="仿宋_GB2312" w:hAnsi="仿宋_GB2312" w:eastAsia="仿宋_GB2312" w:cs="仿宋_GB2312"/>
                <w:b w:val="0"/>
                <w:bCs w:val="0"/>
                <w:snapToGrid w:val="0"/>
                <w:color w:val="000000"/>
                <w:sz w:val="20"/>
                <w:szCs w:val="20"/>
              </w:rPr>
              <w:t>（2）端午节、中秋节期间，以及其他需要按照一般节假日对待的时间</w:t>
            </w:r>
          </w:p>
        </w:tc>
        <w:tc>
          <w:tcPr>
            <w:tcW w:w="22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hint="eastAsia" w:ascii="仿宋_GB2312" w:hAnsi="仿宋_GB2312" w:eastAsia="仿宋_GB2312" w:cs="仿宋_GB2312"/>
                <w:b w:val="0"/>
                <w:bCs w:val="0"/>
                <w:snapToGrid w:val="0"/>
                <w:color w:val="000000"/>
                <w:sz w:val="20"/>
                <w:szCs w:val="20"/>
                <w:lang w:eastAsia="zh"/>
              </w:rPr>
            </w:pPr>
            <w:r>
              <w:rPr>
                <w:rFonts w:hint="eastAsia" w:ascii="仿宋_GB2312" w:hAnsi="仿宋_GB2312" w:eastAsia="仿宋_GB2312" w:cs="仿宋_GB2312"/>
                <w:b w:val="0"/>
                <w:bCs w:val="0"/>
                <w:snapToGrid w:val="0"/>
                <w:color w:val="000000"/>
                <w:sz w:val="20"/>
                <w:szCs w:val="20"/>
              </w:rPr>
              <w:t>（1）春节、元旦、元宵节、国际劳动节和国庆节假日期间及其前一日；</w:t>
            </w:r>
            <w:r>
              <w:rPr>
                <w:rFonts w:hint="eastAsia" w:ascii="仿宋_GB2312" w:hAnsi="仿宋_GB2312" w:eastAsia="仿宋_GB2312" w:cs="仿宋_GB2312"/>
                <w:b w:val="0"/>
                <w:bCs w:val="0"/>
                <w:snapToGrid w:val="0"/>
                <w:color w:val="000000"/>
                <w:sz w:val="20"/>
                <w:szCs w:val="20"/>
              </w:rPr>
              <w:br w:type="textWrapping"/>
            </w:r>
            <w:r>
              <w:rPr>
                <w:rFonts w:hint="eastAsia" w:ascii="仿宋_GB2312" w:hAnsi="仿宋_GB2312" w:eastAsia="仿宋_GB2312" w:cs="仿宋_GB2312"/>
                <w:b w:val="0"/>
                <w:bCs w:val="0"/>
                <w:snapToGrid w:val="0"/>
                <w:sz w:val="20"/>
                <w:szCs w:val="20"/>
              </w:rPr>
              <w:t>（2）其他需要按照重大节日对待的时间等</w:t>
            </w:r>
            <w:r>
              <w:rPr>
                <w:rFonts w:hint="eastAsia" w:hAnsi="仿宋_GB2312" w:cs="仿宋_GB2312"/>
                <w:b w:val="0"/>
                <w:bCs w:val="0"/>
                <w:snapToGrid w:val="0"/>
                <w:sz w:val="20"/>
                <w:szCs w:val="20"/>
                <w:lang w:eastAsia="zh"/>
              </w:rPr>
              <w:t>。</w:t>
            </w:r>
          </w:p>
        </w:tc>
        <w:tc>
          <w:tcPr>
            <w:tcW w:w="2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hint="eastAsia" w:ascii="仿宋_GB2312" w:hAnsi="仿宋_GB2312" w:eastAsia="仿宋_GB2312" w:cs="仿宋_GB2312"/>
                <w:b w:val="0"/>
                <w:bCs w:val="0"/>
                <w:snapToGrid w:val="0"/>
                <w:color w:val="000000"/>
                <w:sz w:val="20"/>
                <w:szCs w:val="20"/>
              </w:rPr>
            </w:pPr>
            <w:r>
              <w:rPr>
                <w:rFonts w:hint="eastAsia" w:ascii="仿宋_GB2312" w:hAnsi="仿宋_GB2312" w:eastAsia="仿宋_GB2312" w:cs="仿宋_GB2312"/>
                <w:b w:val="0"/>
                <w:bCs w:val="0"/>
                <w:snapToGrid w:val="0"/>
                <w:color w:val="000000"/>
                <w:sz w:val="20"/>
                <w:szCs w:val="20"/>
              </w:rPr>
              <w:t>重大活动期间</w:t>
            </w:r>
          </w:p>
        </w:tc>
      </w:tr>
      <w:tr>
        <w:tblPrEx>
          <w:tblCellMar>
            <w:top w:w="0" w:type="dxa"/>
            <w:left w:w="108" w:type="dxa"/>
            <w:bottom w:w="0" w:type="dxa"/>
            <w:right w:w="108" w:type="dxa"/>
          </w:tblCellMar>
        </w:tblPrEx>
        <w:trPr>
          <w:trHeight w:val="270" w:hRule="atLeast"/>
          <w:jc w:val="center"/>
        </w:trPr>
        <w:tc>
          <w:tcPr>
            <w:tcW w:w="41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hint="eastAsia" w:ascii="仿宋_GB2312" w:hAnsi="仿宋_GB2312" w:eastAsia="仿宋_GB2312" w:cs="仿宋_GB2312"/>
                <w:b w:val="0"/>
                <w:bCs w:val="0"/>
                <w:snapToGrid w:val="0"/>
                <w:color w:val="000000"/>
                <w:sz w:val="20"/>
                <w:szCs w:val="20"/>
              </w:rPr>
            </w:pPr>
            <w:r>
              <w:rPr>
                <w:rFonts w:hint="eastAsia" w:ascii="仿宋_GB2312" w:hAnsi="仿宋_GB2312" w:eastAsia="仿宋_GB2312" w:cs="仿宋_GB2312"/>
                <w:b w:val="0"/>
                <w:bCs w:val="0"/>
                <w:snapToGrid w:val="0"/>
                <w:color w:val="000000"/>
                <w:sz w:val="20"/>
                <w:szCs w:val="20"/>
              </w:rPr>
              <w:t>设施启闭</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hint="eastAsia" w:ascii="仿宋_GB2312" w:hAnsi="仿宋_GB2312" w:eastAsia="仿宋_GB2312" w:cs="仿宋_GB2312"/>
                <w:b w:val="0"/>
                <w:bCs w:val="0"/>
                <w:snapToGrid w:val="0"/>
                <w:color w:val="000000"/>
                <w:sz w:val="20"/>
                <w:szCs w:val="20"/>
              </w:rPr>
            </w:pPr>
            <w:r>
              <w:rPr>
                <w:rFonts w:hint="eastAsia" w:ascii="仿宋_GB2312" w:hAnsi="仿宋_GB2312" w:eastAsia="仿宋_GB2312" w:cs="仿宋_GB2312"/>
                <w:b w:val="0"/>
                <w:bCs w:val="0"/>
                <w:snapToGrid w:val="0"/>
                <w:color w:val="000000"/>
                <w:sz w:val="20"/>
                <w:szCs w:val="20"/>
              </w:rPr>
              <w:t>开启时间</w:t>
            </w:r>
          </w:p>
        </w:tc>
        <w:tc>
          <w:tcPr>
            <w:tcW w:w="9699"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hint="eastAsia" w:ascii="仿宋_GB2312" w:hAnsi="仿宋_GB2312" w:eastAsia="仿宋_GB2312" w:cs="仿宋_GB2312"/>
                <w:b w:val="0"/>
                <w:bCs w:val="0"/>
                <w:snapToGrid w:val="0"/>
                <w:color w:val="000000"/>
                <w:sz w:val="20"/>
                <w:szCs w:val="20"/>
              </w:rPr>
            </w:pPr>
            <w:r>
              <w:rPr>
                <w:rFonts w:hint="eastAsia" w:ascii="仿宋_GB2312" w:hAnsi="仿宋_GB2312" w:eastAsia="仿宋_GB2312" w:cs="仿宋_GB2312"/>
                <w:b w:val="0"/>
                <w:bCs w:val="0"/>
                <w:snapToGrid w:val="0"/>
                <w:color w:val="000000"/>
                <w:sz w:val="20"/>
                <w:szCs w:val="20"/>
              </w:rPr>
              <w:t>随功能照明设施开启</w:t>
            </w:r>
          </w:p>
        </w:tc>
      </w:tr>
      <w:tr>
        <w:tblPrEx>
          <w:tblCellMar>
            <w:top w:w="0" w:type="dxa"/>
            <w:left w:w="108" w:type="dxa"/>
            <w:bottom w:w="0" w:type="dxa"/>
            <w:right w:w="108" w:type="dxa"/>
          </w:tblCellMar>
        </w:tblPrEx>
        <w:trPr>
          <w:trHeight w:val="765" w:hRule="atLeast"/>
          <w:jc w:val="center"/>
        </w:trPr>
        <w:tc>
          <w:tcPr>
            <w:tcW w:w="41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hint="eastAsia" w:ascii="仿宋_GB2312" w:hAnsi="仿宋_GB2312" w:eastAsia="仿宋_GB2312" w:cs="仿宋_GB2312"/>
                <w:b w:val="0"/>
                <w:bCs w:val="0"/>
                <w:snapToGrid w:val="0"/>
                <w:color w:val="000000"/>
                <w:sz w:val="20"/>
                <w:szCs w:val="20"/>
              </w:rPr>
            </w:pP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hint="eastAsia" w:ascii="仿宋_GB2312" w:hAnsi="仿宋_GB2312" w:eastAsia="仿宋_GB2312" w:cs="仿宋_GB2312"/>
                <w:b w:val="0"/>
                <w:bCs w:val="0"/>
                <w:snapToGrid w:val="0"/>
                <w:color w:val="000000"/>
                <w:sz w:val="20"/>
                <w:szCs w:val="20"/>
              </w:rPr>
            </w:pPr>
            <w:r>
              <w:rPr>
                <w:rFonts w:hint="eastAsia" w:ascii="仿宋_GB2312" w:hAnsi="仿宋_GB2312" w:eastAsia="仿宋_GB2312" w:cs="仿宋_GB2312"/>
                <w:b w:val="0"/>
                <w:bCs w:val="0"/>
                <w:snapToGrid w:val="0"/>
                <w:color w:val="000000"/>
                <w:sz w:val="20"/>
                <w:szCs w:val="20"/>
              </w:rPr>
              <w:t>关闭时间</w:t>
            </w:r>
          </w:p>
        </w:tc>
        <w:tc>
          <w:tcPr>
            <w:tcW w:w="283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hint="eastAsia" w:ascii="仿宋_GB2312" w:hAnsi="仿宋_GB2312" w:eastAsia="仿宋_GB2312" w:cs="仿宋_GB2312"/>
                <w:b w:val="0"/>
                <w:bCs w:val="0"/>
                <w:snapToGrid w:val="0"/>
                <w:color w:val="000000"/>
                <w:sz w:val="20"/>
                <w:szCs w:val="20"/>
              </w:rPr>
            </w:pPr>
            <w:r>
              <w:rPr>
                <w:rFonts w:hint="eastAsia" w:ascii="仿宋_GB2312" w:hAnsi="仿宋_GB2312" w:eastAsia="仿宋_GB2312" w:cs="仿宋_GB2312"/>
                <w:b w:val="0"/>
                <w:bCs w:val="0"/>
                <w:snapToGrid w:val="0"/>
                <w:color w:val="000000"/>
                <w:sz w:val="20"/>
                <w:szCs w:val="20"/>
              </w:rPr>
              <w:t>春季（3月—5月）、秋季（9月—11月）：每日22时</w:t>
            </w:r>
            <w:r>
              <w:rPr>
                <w:rFonts w:hint="eastAsia" w:ascii="仿宋_GB2312" w:hAnsi="仿宋_GB2312" w:eastAsia="仿宋_GB2312" w:cs="仿宋_GB2312"/>
                <w:b w:val="0"/>
                <w:bCs w:val="0"/>
                <w:snapToGrid w:val="0"/>
                <w:color w:val="000000"/>
                <w:sz w:val="20"/>
                <w:szCs w:val="20"/>
              </w:rPr>
              <w:br w:type="textWrapping"/>
            </w:r>
            <w:r>
              <w:rPr>
                <w:rFonts w:hint="eastAsia" w:ascii="仿宋_GB2312" w:hAnsi="仿宋_GB2312" w:eastAsia="仿宋_GB2312" w:cs="仿宋_GB2312"/>
                <w:b w:val="0"/>
                <w:bCs w:val="0"/>
                <w:snapToGrid w:val="0"/>
                <w:color w:val="000000"/>
                <w:sz w:val="20"/>
                <w:szCs w:val="20"/>
              </w:rPr>
              <w:t>夏季（6月—8月）：每日22时30分</w:t>
            </w:r>
            <w:r>
              <w:rPr>
                <w:rFonts w:hint="eastAsia" w:ascii="仿宋_GB2312" w:hAnsi="仿宋_GB2312" w:eastAsia="仿宋_GB2312" w:cs="仿宋_GB2312"/>
                <w:b w:val="0"/>
                <w:bCs w:val="0"/>
                <w:snapToGrid w:val="0"/>
                <w:color w:val="000000"/>
                <w:sz w:val="20"/>
                <w:szCs w:val="20"/>
              </w:rPr>
              <w:br w:type="textWrapping"/>
            </w:r>
            <w:r>
              <w:rPr>
                <w:rFonts w:hint="eastAsia" w:ascii="仿宋_GB2312" w:hAnsi="仿宋_GB2312" w:eastAsia="仿宋_GB2312" w:cs="仿宋_GB2312"/>
                <w:b w:val="0"/>
                <w:bCs w:val="0"/>
                <w:snapToGrid w:val="0"/>
                <w:color w:val="000000"/>
                <w:sz w:val="20"/>
                <w:szCs w:val="20"/>
              </w:rPr>
              <w:t>冬季（12月—次年2月）：每日21时</w:t>
            </w:r>
          </w:p>
        </w:tc>
        <w:tc>
          <w:tcPr>
            <w:tcW w:w="25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hint="eastAsia" w:ascii="仿宋_GB2312" w:hAnsi="仿宋_GB2312" w:eastAsia="仿宋_GB2312" w:cs="仿宋_GB2312"/>
                <w:b w:val="0"/>
                <w:bCs w:val="0"/>
                <w:snapToGrid w:val="0"/>
                <w:color w:val="000000"/>
                <w:sz w:val="20"/>
                <w:szCs w:val="20"/>
              </w:rPr>
            </w:pPr>
            <w:r>
              <w:rPr>
                <w:rFonts w:hint="eastAsia" w:ascii="仿宋_GB2312" w:hAnsi="仿宋_GB2312" w:eastAsia="仿宋_GB2312" w:cs="仿宋_GB2312"/>
                <w:b w:val="0"/>
                <w:bCs w:val="0"/>
                <w:snapToGrid w:val="0"/>
                <w:color w:val="000000"/>
                <w:sz w:val="20"/>
                <w:szCs w:val="20"/>
              </w:rPr>
              <w:t>春季（3月—5月）、秋季（9月—11月）：每日22时</w:t>
            </w:r>
            <w:r>
              <w:rPr>
                <w:rFonts w:hint="eastAsia" w:ascii="仿宋_GB2312" w:hAnsi="仿宋_GB2312" w:eastAsia="仿宋_GB2312" w:cs="仿宋_GB2312"/>
                <w:b w:val="0"/>
                <w:bCs w:val="0"/>
                <w:snapToGrid w:val="0"/>
                <w:color w:val="000000"/>
                <w:sz w:val="20"/>
                <w:szCs w:val="20"/>
              </w:rPr>
              <w:br w:type="textWrapping"/>
            </w:r>
            <w:r>
              <w:rPr>
                <w:rFonts w:hint="eastAsia" w:ascii="仿宋_GB2312" w:hAnsi="仿宋_GB2312" w:eastAsia="仿宋_GB2312" w:cs="仿宋_GB2312"/>
                <w:b w:val="0"/>
                <w:bCs w:val="0"/>
                <w:snapToGrid w:val="0"/>
                <w:color w:val="000000"/>
                <w:sz w:val="20"/>
                <w:szCs w:val="20"/>
              </w:rPr>
              <w:t>夏季（6月—8月）：每日23时</w:t>
            </w:r>
            <w:r>
              <w:rPr>
                <w:rFonts w:hint="eastAsia" w:ascii="仿宋_GB2312" w:hAnsi="仿宋_GB2312" w:eastAsia="仿宋_GB2312" w:cs="仿宋_GB2312"/>
                <w:b w:val="0"/>
                <w:bCs w:val="0"/>
                <w:snapToGrid w:val="0"/>
                <w:color w:val="000000"/>
                <w:sz w:val="20"/>
                <w:szCs w:val="20"/>
              </w:rPr>
              <w:br w:type="textWrapping"/>
            </w:r>
            <w:r>
              <w:rPr>
                <w:rFonts w:hint="eastAsia" w:ascii="仿宋_GB2312" w:hAnsi="仿宋_GB2312" w:eastAsia="仿宋_GB2312" w:cs="仿宋_GB2312"/>
                <w:b w:val="0"/>
                <w:bCs w:val="0"/>
                <w:snapToGrid w:val="0"/>
                <w:color w:val="000000"/>
                <w:sz w:val="20"/>
                <w:szCs w:val="20"/>
              </w:rPr>
              <w:t>冬季（12月—次年2月）：每日21时30分</w:t>
            </w:r>
          </w:p>
        </w:tc>
        <w:tc>
          <w:tcPr>
            <w:tcW w:w="22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hint="eastAsia" w:ascii="仿宋_GB2312" w:hAnsi="仿宋_GB2312" w:eastAsia="仿宋_GB2312" w:cs="仿宋_GB2312"/>
                <w:b w:val="0"/>
                <w:bCs w:val="0"/>
                <w:snapToGrid w:val="0"/>
                <w:color w:val="000000"/>
                <w:sz w:val="20"/>
                <w:szCs w:val="20"/>
              </w:rPr>
            </w:pPr>
            <w:r>
              <w:rPr>
                <w:rFonts w:hint="eastAsia" w:ascii="仿宋_GB2312" w:hAnsi="仿宋_GB2312" w:eastAsia="仿宋_GB2312" w:cs="仿宋_GB2312"/>
                <w:b w:val="0"/>
                <w:bCs w:val="0"/>
                <w:snapToGrid w:val="0"/>
                <w:color w:val="000000"/>
                <w:sz w:val="20"/>
                <w:szCs w:val="20"/>
              </w:rPr>
              <w:t>元旦、除夕跨年夜：次日凌晨1时</w:t>
            </w:r>
            <w:r>
              <w:rPr>
                <w:rFonts w:hint="eastAsia" w:ascii="仿宋_GB2312" w:hAnsi="仿宋_GB2312" w:eastAsia="仿宋_GB2312" w:cs="仿宋_GB2312"/>
                <w:b w:val="0"/>
                <w:bCs w:val="0"/>
                <w:snapToGrid w:val="0"/>
                <w:color w:val="000000"/>
                <w:sz w:val="20"/>
                <w:szCs w:val="20"/>
              </w:rPr>
              <w:br w:type="textWrapping"/>
            </w:r>
            <w:r>
              <w:rPr>
                <w:rFonts w:hint="eastAsia" w:ascii="仿宋_GB2312" w:hAnsi="仿宋_GB2312" w:eastAsia="仿宋_GB2312" w:cs="仿宋_GB2312"/>
                <w:b w:val="0"/>
                <w:bCs w:val="0"/>
                <w:snapToGrid w:val="0"/>
                <w:color w:val="000000"/>
                <w:sz w:val="20"/>
                <w:szCs w:val="20"/>
              </w:rPr>
              <w:t>其余时段：每日24时</w:t>
            </w:r>
          </w:p>
        </w:tc>
        <w:tc>
          <w:tcPr>
            <w:tcW w:w="2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hint="eastAsia" w:ascii="仿宋_GB2312" w:hAnsi="仿宋_GB2312" w:eastAsia="仿宋_GB2312" w:cs="仿宋_GB2312"/>
                <w:b w:val="0"/>
                <w:bCs w:val="0"/>
                <w:snapToGrid w:val="0"/>
                <w:color w:val="000000"/>
                <w:sz w:val="20"/>
                <w:szCs w:val="20"/>
              </w:rPr>
            </w:pPr>
            <w:r>
              <w:rPr>
                <w:rFonts w:hint="eastAsia" w:ascii="仿宋_GB2312" w:hAnsi="仿宋_GB2312" w:eastAsia="仿宋_GB2312" w:cs="仿宋_GB2312"/>
                <w:b w:val="0"/>
                <w:bCs w:val="0"/>
                <w:snapToGrid w:val="0"/>
                <w:color w:val="000000"/>
                <w:sz w:val="20"/>
                <w:szCs w:val="20"/>
              </w:rPr>
              <w:t>重大活动在元旦、除夕跨年夜举办的：次日凌晨1时</w:t>
            </w:r>
            <w:r>
              <w:rPr>
                <w:rFonts w:hint="eastAsia" w:ascii="仿宋_GB2312" w:hAnsi="仿宋_GB2312" w:eastAsia="仿宋_GB2312" w:cs="仿宋_GB2312"/>
                <w:b w:val="0"/>
                <w:bCs w:val="0"/>
                <w:snapToGrid w:val="0"/>
                <w:color w:val="000000"/>
                <w:sz w:val="20"/>
                <w:szCs w:val="20"/>
              </w:rPr>
              <w:br w:type="textWrapping"/>
            </w:r>
            <w:r>
              <w:rPr>
                <w:rFonts w:hint="eastAsia" w:ascii="仿宋_GB2312" w:hAnsi="仿宋_GB2312" w:eastAsia="仿宋_GB2312" w:cs="仿宋_GB2312"/>
                <w:b w:val="0"/>
                <w:bCs w:val="0"/>
                <w:snapToGrid w:val="0"/>
                <w:color w:val="000000"/>
                <w:sz w:val="20"/>
                <w:szCs w:val="20"/>
              </w:rPr>
              <w:t>其余时段：每日24时</w:t>
            </w:r>
          </w:p>
        </w:tc>
      </w:tr>
      <w:tr>
        <w:tblPrEx>
          <w:tblCellMar>
            <w:top w:w="0" w:type="dxa"/>
            <w:left w:w="108" w:type="dxa"/>
            <w:bottom w:w="0" w:type="dxa"/>
            <w:right w:w="108" w:type="dxa"/>
          </w:tblCellMar>
        </w:tblPrEx>
        <w:trPr>
          <w:trHeight w:val="1275" w:hRule="atLeast"/>
          <w:jc w:val="center"/>
        </w:trPr>
        <w:tc>
          <w:tcPr>
            <w:tcW w:w="41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hint="eastAsia" w:ascii="仿宋_GB2312" w:hAnsi="仿宋_GB2312" w:eastAsia="仿宋_GB2312" w:cs="仿宋_GB2312"/>
                <w:b w:val="0"/>
                <w:bCs w:val="0"/>
                <w:snapToGrid w:val="0"/>
                <w:color w:val="000000"/>
                <w:sz w:val="20"/>
                <w:szCs w:val="20"/>
              </w:rPr>
            </w:pPr>
            <w:r>
              <w:rPr>
                <w:rFonts w:hint="eastAsia" w:ascii="仿宋_GB2312" w:hAnsi="仿宋_GB2312" w:eastAsia="仿宋_GB2312" w:cs="仿宋_GB2312"/>
                <w:b w:val="0"/>
                <w:bCs w:val="0"/>
                <w:snapToGrid w:val="0"/>
                <w:color w:val="000000"/>
                <w:sz w:val="20"/>
                <w:szCs w:val="20"/>
              </w:rPr>
              <w:t>运行管理</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hint="eastAsia" w:ascii="仿宋_GB2312" w:hAnsi="仿宋_GB2312" w:eastAsia="仿宋_GB2312" w:cs="仿宋_GB2312"/>
                <w:b w:val="0"/>
                <w:bCs w:val="0"/>
                <w:snapToGrid w:val="0"/>
                <w:color w:val="000000"/>
                <w:sz w:val="20"/>
                <w:szCs w:val="20"/>
              </w:rPr>
            </w:pPr>
            <w:r>
              <w:rPr>
                <w:rFonts w:hint="eastAsia" w:ascii="仿宋_GB2312" w:hAnsi="仿宋_GB2312" w:eastAsia="仿宋_GB2312" w:cs="仿宋_GB2312"/>
                <w:b w:val="0"/>
                <w:bCs w:val="0"/>
                <w:snapToGrid w:val="0"/>
                <w:color w:val="000000"/>
                <w:sz w:val="20"/>
                <w:szCs w:val="20"/>
              </w:rPr>
              <w:t>区域范围</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hint="eastAsia" w:ascii="仿宋_GB2312" w:hAnsi="仿宋_GB2312" w:eastAsia="仿宋_GB2312" w:cs="仿宋_GB2312"/>
                <w:b w:val="0"/>
                <w:bCs w:val="0"/>
                <w:snapToGrid w:val="0"/>
                <w:color w:val="000000"/>
                <w:sz w:val="20"/>
                <w:szCs w:val="20"/>
              </w:rPr>
            </w:pPr>
            <w:r>
              <w:rPr>
                <w:rFonts w:hint="eastAsia" w:ascii="仿宋_GB2312" w:hAnsi="仿宋_GB2312" w:eastAsia="仿宋_GB2312" w:cs="仿宋_GB2312"/>
                <w:b w:val="0"/>
                <w:bCs w:val="0"/>
                <w:snapToGrid w:val="0"/>
                <w:color w:val="000000"/>
                <w:sz w:val="20"/>
                <w:szCs w:val="20"/>
              </w:rPr>
              <w:t>天安门地区、</w:t>
            </w:r>
            <w:r>
              <w:rPr>
                <w:rFonts w:hint="eastAsia" w:ascii="仿宋_GB2312" w:hAnsi="仿宋_GB2312" w:eastAsia="仿宋_GB2312" w:cs="仿宋_GB2312"/>
                <w:b w:val="0"/>
                <w:bCs w:val="0"/>
                <w:snapToGrid w:val="0"/>
                <w:sz w:val="20"/>
                <w:szCs w:val="20"/>
              </w:rPr>
              <w:t>长安街及其延长线（新兴桥至国贸桥）</w:t>
            </w:r>
            <w:r>
              <w:rPr>
                <w:rFonts w:hint="eastAsia" w:ascii="仿宋_GB2312" w:hAnsi="仿宋_GB2312" w:eastAsia="仿宋_GB2312" w:cs="仿宋_GB2312"/>
                <w:b w:val="0"/>
                <w:bCs w:val="0"/>
                <w:snapToGrid w:val="0"/>
                <w:color w:val="000000"/>
                <w:sz w:val="20"/>
                <w:szCs w:val="20"/>
              </w:rPr>
              <w:t>、传统中轴线的景观照明</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hint="eastAsia" w:ascii="仿宋_GB2312" w:hAnsi="仿宋_GB2312" w:eastAsia="仿宋_GB2312" w:cs="仿宋_GB2312"/>
                <w:b w:val="0"/>
                <w:bCs w:val="0"/>
                <w:snapToGrid w:val="0"/>
                <w:color w:val="000000"/>
                <w:sz w:val="20"/>
                <w:szCs w:val="20"/>
              </w:rPr>
            </w:pPr>
            <w:r>
              <w:rPr>
                <w:rFonts w:hint="eastAsia" w:ascii="仿宋_GB2312" w:hAnsi="仿宋_GB2312" w:eastAsia="仿宋_GB2312" w:cs="仿宋_GB2312"/>
                <w:b w:val="0"/>
                <w:bCs w:val="0"/>
                <w:snapToGrid w:val="0"/>
                <w:color w:val="000000"/>
                <w:sz w:val="20"/>
                <w:szCs w:val="20"/>
              </w:rPr>
              <w:t>二环路沿线，以及重点商圈、重要活动场所的景观照明</w:t>
            </w:r>
          </w:p>
        </w:tc>
        <w:tc>
          <w:tcPr>
            <w:tcW w:w="25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hint="eastAsia" w:ascii="仿宋_GB2312" w:hAnsi="仿宋_GB2312" w:eastAsia="仿宋_GB2312" w:cs="仿宋_GB2312"/>
                <w:b w:val="0"/>
                <w:bCs w:val="0"/>
                <w:snapToGrid w:val="0"/>
                <w:color w:val="000000"/>
                <w:sz w:val="20"/>
                <w:szCs w:val="20"/>
              </w:rPr>
            </w:pPr>
            <w:r>
              <w:rPr>
                <w:rFonts w:hint="eastAsia" w:ascii="仿宋_GB2312" w:hAnsi="仿宋_GB2312" w:eastAsia="仿宋_GB2312" w:cs="仿宋_GB2312"/>
                <w:b w:val="0"/>
                <w:bCs w:val="0"/>
                <w:snapToGrid w:val="0"/>
                <w:color w:val="000000"/>
                <w:sz w:val="20"/>
                <w:szCs w:val="20"/>
              </w:rPr>
              <w:t>天安门地区、</w:t>
            </w:r>
            <w:r>
              <w:rPr>
                <w:rFonts w:hint="eastAsia" w:ascii="仿宋_GB2312" w:hAnsi="仿宋_GB2312" w:eastAsia="仿宋_GB2312" w:cs="仿宋_GB2312"/>
                <w:b w:val="0"/>
                <w:bCs w:val="0"/>
                <w:snapToGrid w:val="0"/>
                <w:sz w:val="20"/>
                <w:szCs w:val="20"/>
              </w:rPr>
              <w:t>长安街及其延长线（五棵松桥至四惠桥）</w:t>
            </w:r>
            <w:r>
              <w:rPr>
                <w:rFonts w:hint="eastAsia" w:ascii="仿宋_GB2312" w:hAnsi="仿宋_GB2312" w:eastAsia="仿宋_GB2312" w:cs="仿宋_GB2312"/>
                <w:b w:val="0"/>
                <w:bCs w:val="0"/>
                <w:snapToGrid w:val="0"/>
                <w:color w:val="000000"/>
                <w:sz w:val="20"/>
                <w:szCs w:val="20"/>
              </w:rPr>
              <w:t>和传统中轴线、二三四环路沿线，重点站区及机场、重点商圈、地标建筑、重要活动场所的景观照明</w:t>
            </w:r>
          </w:p>
        </w:tc>
        <w:tc>
          <w:tcPr>
            <w:tcW w:w="22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hint="eastAsia" w:ascii="仿宋_GB2312" w:hAnsi="仿宋_GB2312" w:eastAsia="仿宋_GB2312" w:cs="仿宋_GB2312"/>
                <w:b w:val="0"/>
                <w:bCs w:val="0"/>
                <w:snapToGrid w:val="0"/>
                <w:color w:val="000000"/>
                <w:sz w:val="20"/>
                <w:szCs w:val="20"/>
              </w:rPr>
            </w:pPr>
            <w:r>
              <w:rPr>
                <w:rFonts w:hint="eastAsia" w:ascii="仿宋_GB2312" w:hAnsi="仿宋_GB2312" w:eastAsia="仿宋_GB2312" w:cs="仿宋_GB2312"/>
                <w:b w:val="0"/>
                <w:bCs w:val="0"/>
                <w:snapToGrid w:val="0"/>
                <w:color w:val="000000"/>
                <w:sz w:val="20"/>
                <w:szCs w:val="20"/>
              </w:rPr>
              <w:t>全市范围普通类和临时类景观照明</w:t>
            </w:r>
          </w:p>
        </w:tc>
        <w:tc>
          <w:tcPr>
            <w:tcW w:w="2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hint="eastAsia" w:ascii="仿宋_GB2312" w:hAnsi="仿宋_GB2312" w:eastAsia="仿宋_GB2312" w:cs="仿宋_GB2312"/>
                <w:b w:val="0"/>
                <w:bCs w:val="0"/>
                <w:snapToGrid w:val="0"/>
                <w:color w:val="000000"/>
                <w:sz w:val="20"/>
                <w:szCs w:val="20"/>
              </w:rPr>
            </w:pPr>
            <w:r>
              <w:rPr>
                <w:rFonts w:hint="eastAsia" w:ascii="仿宋_GB2312" w:hAnsi="仿宋_GB2312" w:eastAsia="仿宋_GB2312" w:cs="仿宋_GB2312"/>
                <w:b w:val="0"/>
                <w:bCs w:val="0"/>
                <w:snapToGrid w:val="0"/>
                <w:color w:val="000000"/>
                <w:sz w:val="20"/>
                <w:szCs w:val="20"/>
              </w:rPr>
              <w:t>活动所在区域的景观照明</w:t>
            </w:r>
          </w:p>
        </w:tc>
      </w:tr>
      <w:tr>
        <w:tblPrEx>
          <w:tblCellMar>
            <w:top w:w="0" w:type="dxa"/>
            <w:left w:w="108" w:type="dxa"/>
            <w:bottom w:w="0" w:type="dxa"/>
            <w:right w:w="108" w:type="dxa"/>
          </w:tblCellMar>
        </w:tblPrEx>
        <w:trPr>
          <w:trHeight w:val="699" w:hRule="atLeast"/>
          <w:jc w:val="center"/>
        </w:trPr>
        <w:tc>
          <w:tcPr>
            <w:tcW w:w="41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hint="eastAsia" w:ascii="仿宋_GB2312" w:hAnsi="仿宋_GB2312" w:eastAsia="仿宋_GB2312" w:cs="仿宋_GB2312"/>
                <w:b w:val="0"/>
                <w:bCs w:val="0"/>
                <w:snapToGrid w:val="0"/>
                <w:color w:val="000000"/>
                <w:sz w:val="20"/>
                <w:szCs w:val="20"/>
              </w:rPr>
            </w:pP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hint="eastAsia" w:ascii="仿宋_GB2312" w:hAnsi="仿宋_GB2312" w:eastAsia="仿宋_GB2312" w:cs="仿宋_GB2312"/>
                <w:b w:val="0"/>
                <w:bCs w:val="0"/>
                <w:snapToGrid w:val="0"/>
                <w:color w:val="000000"/>
                <w:sz w:val="20"/>
                <w:szCs w:val="20"/>
              </w:rPr>
            </w:pPr>
            <w:r>
              <w:rPr>
                <w:rFonts w:hint="eastAsia" w:ascii="仿宋_GB2312" w:hAnsi="仿宋_GB2312" w:eastAsia="仿宋_GB2312" w:cs="仿宋_GB2312"/>
                <w:b w:val="0"/>
                <w:bCs w:val="0"/>
                <w:snapToGrid w:val="0"/>
                <w:color w:val="000000"/>
                <w:sz w:val="20"/>
                <w:szCs w:val="20"/>
              </w:rPr>
              <w:t>运行模式</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hint="eastAsia" w:ascii="仿宋_GB2312" w:hAnsi="仿宋_GB2312" w:eastAsia="仿宋_GB2312" w:cs="仿宋_GB2312"/>
                <w:b w:val="0"/>
                <w:bCs w:val="0"/>
                <w:snapToGrid w:val="0"/>
                <w:color w:val="000000"/>
                <w:sz w:val="20"/>
                <w:szCs w:val="20"/>
              </w:rPr>
            </w:pPr>
            <w:r>
              <w:rPr>
                <w:rFonts w:hint="eastAsia" w:ascii="仿宋_GB2312" w:hAnsi="仿宋_GB2312" w:eastAsia="仿宋_GB2312" w:cs="仿宋_GB2312"/>
                <w:b w:val="0"/>
                <w:bCs w:val="0"/>
                <w:snapToGrid w:val="0"/>
                <w:color w:val="000000"/>
                <w:sz w:val="20"/>
                <w:szCs w:val="20"/>
              </w:rPr>
              <w:t>观赏模式</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hint="eastAsia" w:ascii="仿宋_GB2312" w:hAnsi="仿宋_GB2312" w:eastAsia="仿宋_GB2312" w:cs="仿宋_GB2312"/>
                <w:b w:val="0"/>
                <w:bCs w:val="0"/>
                <w:snapToGrid w:val="0"/>
                <w:color w:val="000000"/>
                <w:sz w:val="20"/>
                <w:szCs w:val="20"/>
              </w:rPr>
            </w:pPr>
            <w:r>
              <w:rPr>
                <w:rFonts w:hint="eastAsia" w:ascii="仿宋_GB2312" w:hAnsi="仿宋_GB2312" w:eastAsia="仿宋_GB2312" w:cs="仿宋_GB2312"/>
                <w:b w:val="0"/>
                <w:bCs w:val="0"/>
                <w:snapToGrid w:val="0"/>
                <w:color w:val="000000"/>
                <w:sz w:val="20"/>
                <w:szCs w:val="20"/>
              </w:rPr>
              <w:t>节能模式</w:t>
            </w:r>
          </w:p>
        </w:tc>
        <w:tc>
          <w:tcPr>
            <w:tcW w:w="25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hint="eastAsia" w:ascii="仿宋_GB2312" w:hAnsi="仿宋_GB2312" w:eastAsia="仿宋_GB2312" w:cs="仿宋_GB2312"/>
                <w:b w:val="0"/>
                <w:bCs w:val="0"/>
                <w:snapToGrid w:val="0"/>
                <w:color w:val="000000"/>
                <w:sz w:val="20"/>
                <w:szCs w:val="20"/>
              </w:rPr>
            </w:pPr>
            <w:r>
              <w:rPr>
                <w:rFonts w:hint="eastAsia" w:ascii="仿宋_GB2312" w:hAnsi="仿宋_GB2312" w:eastAsia="仿宋_GB2312" w:cs="仿宋_GB2312"/>
                <w:b w:val="0"/>
                <w:bCs w:val="0"/>
                <w:snapToGrid w:val="0"/>
                <w:color w:val="000000"/>
                <w:sz w:val="20"/>
                <w:szCs w:val="20"/>
              </w:rPr>
              <w:t>观赏模式</w:t>
            </w:r>
          </w:p>
        </w:tc>
        <w:tc>
          <w:tcPr>
            <w:tcW w:w="22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hint="eastAsia" w:ascii="仿宋_GB2312" w:hAnsi="仿宋_GB2312" w:eastAsia="仿宋_GB2312" w:cs="仿宋_GB2312"/>
                <w:b w:val="0"/>
                <w:bCs w:val="0"/>
                <w:snapToGrid w:val="0"/>
                <w:color w:val="000000"/>
                <w:sz w:val="20"/>
                <w:szCs w:val="20"/>
              </w:rPr>
            </w:pPr>
            <w:r>
              <w:rPr>
                <w:rFonts w:hint="eastAsia" w:ascii="仿宋_GB2312" w:hAnsi="仿宋_GB2312" w:eastAsia="仿宋_GB2312" w:cs="仿宋_GB2312"/>
                <w:b w:val="0"/>
                <w:bCs w:val="0"/>
                <w:snapToGrid w:val="0"/>
                <w:color w:val="000000"/>
                <w:sz w:val="20"/>
                <w:szCs w:val="20"/>
              </w:rPr>
              <w:t>庆典模式</w:t>
            </w:r>
          </w:p>
        </w:tc>
        <w:tc>
          <w:tcPr>
            <w:tcW w:w="2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hint="eastAsia" w:ascii="仿宋_GB2312" w:hAnsi="仿宋_GB2312" w:eastAsia="仿宋_GB2312" w:cs="仿宋_GB2312"/>
                <w:b w:val="0"/>
                <w:bCs w:val="0"/>
                <w:snapToGrid w:val="0"/>
                <w:color w:val="000000"/>
                <w:sz w:val="20"/>
                <w:szCs w:val="20"/>
              </w:rPr>
            </w:pPr>
            <w:r>
              <w:rPr>
                <w:rFonts w:hint="eastAsia" w:ascii="仿宋_GB2312" w:hAnsi="仿宋_GB2312" w:eastAsia="仿宋_GB2312" w:cs="仿宋_GB2312"/>
                <w:b w:val="0"/>
                <w:bCs w:val="0"/>
                <w:snapToGrid w:val="0"/>
                <w:color w:val="000000"/>
                <w:sz w:val="20"/>
                <w:szCs w:val="20"/>
              </w:rPr>
              <w:t>庆典模式。同步开启建筑内透光、临时灯饰以及第五立面灯光</w:t>
            </w:r>
          </w:p>
        </w:tc>
      </w:tr>
      <w:tr>
        <w:tblPrEx>
          <w:tblCellMar>
            <w:top w:w="0" w:type="dxa"/>
            <w:left w:w="108" w:type="dxa"/>
            <w:bottom w:w="0" w:type="dxa"/>
            <w:right w:w="108" w:type="dxa"/>
          </w:tblCellMar>
        </w:tblPrEx>
        <w:trPr>
          <w:trHeight w:val="699" w:hRule="atLeast"/>
          <w:jc w:val="center"/>
        </w:trPr>
        <w:tc>
          <w:tcPr>
            <w:tcW w:w="41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hint="eastAsia" w:ascii="仿宋_GB2312" w:hAnsi="仿宋_GB2312" w:eastAsia="仿宋_GB2312" w:cs="仿宋_GB2312"/>
                <w:b w:val="0"/>
                <w:bCs w:val="0"/>
                <w:snapToGrid w:val="0"/>
                <w:color w:val="000000"/>
                <w:sz w:val="20"/>
                <w:szCs w:val="20"/>
              </w:rPr>
            </w:pPr>
          </w:p>
        </w:tc>
        <w:tc>
          <w:tcPr>
            <w:tcW w:w="73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tLeast"/>
              <w:ind w:firstLine="0" w:firstLineChars="0"/>
              <w:jc w:val="center"/>
              <w:rPr>
                <w:rFonts w:hint="eastAsia" w:ascii="仿宋_GB2312" w:hAnsi="仿宋_GB2312" w:eastAsia="仿宋_GB2312" w:cs="仿宋_GB2312"/>
                <w:b w:val="0"/>
                <w:bCs w:val="0"/>
                <w:snapToGrid w:val="0"/>
                <w:color w:val="000000"/>
                <w:sz w:val="20"/>
                <w:szCs w:val="20"/>
              </w:rPr>
            </w:pPr>
            <w:r>
              <w:rPr>
                <w:rFonts w:hint="eastAsia" w:ascii="仿宋_GB2312" w:hAnsi="仿宋_GB2312" w:eastAsia="仿宋_GB2312" w:cs="仿宋_GB2312"/>
                <w:b w:val="0"/>
                <w:bCs w:val="0"/>
                <w:snapToGrid w:val="0"/>
                <w:color w:val="000000"/>
                <w:sz w:val="20"/>
                <w:szCs w:val="20"/>
              </w:rPr>
              <w:t>运行光色要求</w:t>
            </w:r>
          </w:p>
        </w:tc>
        <w:tc>
          <w:tcPr>
            <w:tcW w:w="283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hint="eastAsia" w:ascii="仿宋_GB2312" w:hAnsi="仿宋_GB2312" w:eastAsia="仿宋_GB2312" w:cs="仿宋_GB2312"/>
                <w:b w:val="0"/>
                <w:bCs w:val="0"/>
                <w:snapToGrid w:val="0"/>
                <w:color w:val="000000"/>
                <w:sz w:val="20"/>
                <w:szCs w:val="20"/>
              </w:rPr>
            </w:pPr>
            <w:r>
              <w:rPr>
                <w:rFonts w:hint="eastAsia" w:ascii="仿宋_GB2312" w:hAnsi="仿宋_GB2312" w:eastAsia="仿宋_GB2312" w:cs="仿宋_GB2312"/>
                <w:b w:val="0"/>
                <w:bCs w:val="0"/>
                <w:snapToGrid w:val="0"/>
                <w:color w:val="000000"/>
                <w:sz w:val="20"/>
                <w:szCs w:val="20"/>
              </w:rPr>
              <w:t>以静态单色光为主，可结合季节变化统一光色。</w:t>
            </w:r>
            <w:r>
              <w:rPr>
                <w:rFonts w:hint="eastAsia" w:ascii="仿宋_GB2312" w:hAnsi="仿宋_GB2312" w:eastAsia="仿宋_GB2312" w:cs="仿宋_GB2312"/>
                <w:b w:val="0"/>
                <w:bCs w:val="0"/>
                <w:snapToGrid w:val="0"/>
                <w:color w:val="000000"/>
                <w:sz w:val="20"/>
                <w:szCs w:val="20"/>
              </w:rPr>
              <w:br w:type="textWrapping"/>
            </w:r>
            <w:r>
              <w:rPr>
                <w:rFonts w:hint="eastAsia" w:ascii="仿宋_GB2312" w:hAnsi="仿宋_GB2312" w:eastAsia="仿宋_GB2312" w:cs="仿宋_GB2312"/>
                <w:b w:val="0"/>
                <w:bCs w:val="0"/>
                <w:snapToGrid w:val="0"/>
                <w:color w:val="000000"/>
                <w:sz w:val="20"/>
                <w:szCs w:val="20"/>
              </w:rPr>
              <w:t>（1）春秋季以中性光为主；</w:t>
            </w:r>
            <w:r>
              <w:rPr>
                <w:rFonts w:hint="eastAsia" w:ascii="仿宋_GB2312" w:hAnsi="仿宋_GB2312" w:eastAsia="仿宋_GB2312" w:cs="仿宋_GB2312"/>
                <w:b w:val="0"/>
                <w:bCs w:val="0"/>
                <w:snapToGrid w:val="0"/>
                <w:color w:val="000000"/>
                <w:sz w:val="20"/>
                <w:szCs w:val="20"/>
              </w:rPr>
              <w:br w:type="textWrapping"/>
            </w:r>
            <w:r>
              <w:rPr>
                <w:rFonts w:hint="eastAsia" w:ascii="仿宋_GB2312" w:hAnsi="仿宋_GB2312" w:eastAsia="仿宋_GB2312" w:cs="仿宋_GB2312"/>
                <w:b w:val="0"/>
                <w:bCs w:val="0"/>
                <w:snapToGrid w:val="0"/>
                <w:color w:val="000000"/>
                <w:sz w:val="20"/>
                <w:szCs w:val="20"/>
              </w:rPr>
              <w:t>（2）夏季以中性光为主或根据场景需要适当采用冷色光；</w:t>
            </w:r>
            <w:r>
              <w:rPr>
                <w:rFonts w:hint="eastAsia" w:ascii="仿宋_GB2312" w:hAnsi="仿宋_GB2312" w:eastAsia="仿宋_GB2312" w:cs="仿宋_GB2312"/>
                <w:b w:val="0"/>
                <w:bCs w:val="0"/>
                <w:snapToGrid w:val="0"/>
                <w:color w:val="000000"/>
                <w:sz w:val="20"/>
                <w:szCs w:val="20"/>
              </w:rPr>
              <w:br w:type="textWrapping"/>
            </w:r>
            <w:r>
              <w:rPr>
                <w:rFonts w:hint="eastAsia" w:ascii="仿宋_GB2312" w:hAnsi="仿宋_GB2312" w:eastAsia="仿宋_GB2312" w:cs="仿宋_GB2312"/>
                <w:b w:val="0"/>
                <w:bCs w:val="0"/>
                <w:snapToGrid w:val="0"/>
                <w:color w:val="000000"/>
                <w:sz w:val="20"/>
                <w:szCs w:val="20"/>
              </w:rPr>
              <w:t>（3）冬季以暖色光为主。</w:t>
            </w:r>
          </w:p>
        </w:tc>
        <w:tc>
          <w:tcPr>
            <w:tcW w:w="25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hint="eastAsia" w:ascii="仿宋_GB2312" w:hAnsi="仿宋_GB2312" w:eastAsia="仿宋_GB2312" w:cs="仿宋_GB2312"/>
                <w:b w:val="0"/>
                <w:bCs w:val="0"/>
                <w:snapToGrid w:val="0"/>
                <w:color w:val="000000"/>
                <w:sz w:val="20"/>
                <w:szCs w:val="20"/>
              </w:rPr>
            </w:pPr>
            <w:r>
              <w:rPr>
                <w:rFonts w:hint="eastAsia" w:ascii="仿宋_GB2312" w:hAnsi="仿宋_GB2312" w:eastAsia="仿宋_GB2312" w:cs="仿宋_GB2312"/>
                <w:b w:val="0"/>
                <w:bCs w:val="0"/>
                <w:snapToGrid w:val="0"/>
                <w:color w:val="000000"/>
                <w:sz w:val="20"/>
                <w:szCs w:val="20"/>
              </w:rPr>
              <w:t>以静态单色光为主，可结合季节变化统一光色。</w:t>
            </w:r>
            <w:r>
              <w:rPr>
                <w:rFonts w:hint="eastAsia" w:ascii="仿宋_GB2312" w:hAnsi="仿宋_GB2312" w:eastAsia="仿宋_GB2312" w:cs="仿宋_GB2312"/>
                <w:b w:val="0"/>
                <w:bCs w:val="0"/>
                <w:snapToGrid w:val="0"/>
                <w:color w:val="000000"/>
                <w:sz w:val="20"/>
                <w:szCs w:val="20"/>
              </w:rPr>
              <w:br w:type="textWrapping"/>
            </w:r>
            <w:r>
              <w:rPr>
                <w:rFonts w:hint="eastAsia" w:ascii="仿宋_GB2312" w:hAnsi="仿宋_GB2312" w:eastAsia="仿宋_GB2312" w:cs="仿宋_GB2312"/>
                <w:b w:val="0"/>
                <w:bCs w:val="0"/>
                <w:snapToGrid w:val="0"/>
                <w:color w:val="000000"/>
                <w:sz w:val="20"/>
                <w:szCs w:val="20"/>
              </w:rPr>
              <w:t>（1）春秋季以中性光为主；</w:t>
            </w:r>
            <w:r>
              <w:rPr>
                <w:rFonts w:hint="eastAsia" w:ascii="仿宋_GB2312" w:hAnsi="仿宋_GB2312" w:eastAsia="仿宋_GB2312" w:cs="仿宋_GB2312"/>
                <w:b w:val="0"/>
                <w:bCs w:val="0"/>
                <w:snapToGrid w:val="0"/>
                <w:color w:val="000000"/>
                <w:sz w:val="20"/>
                <w:szCs w:val="20"/>
              </w:rPr>
              <w:br w:type="textWrapping"/>
            </w:r>
            <w:r>
              <w:rPr>
                <w:rFonts w:hint="eastAsia" w:ascii="仿宋_GB2312" w:hAnsi="仿宋_GB2312" w:eastAsia="仿宋_GB2312" w:cs="仿宋_GB2312"/>
                <w:b w:val="0"/>
                <w:bCs w:val="0"/>
                <w:snapToGrid w:val="0"/>
                <w:color w:val="000000"/>
                <w:sz w:val="20"/>
                <w:szCs w:val="20"/>
              </w:rPr>
              <w:t>（2）夏季以中性光为主或根据场景需要适当采用冷色光；</w:t>
            </w:r>
            <w:r>
              <w:rPr>
                <w:rFonts w:hint="eastAsia" w:ascii="仿宋_GB2312" w:hAnsi="仿宋_GB2312" w:eastAsia="仿宋_GB2312" w:cs="仿宋_GB2312"/>
                <w:b w:val="0"/>
                <w:bCs w:val="0"/>
                <w:snapToGrid w:val="0"/>
                <w:color w:val="000000"/>
                <w:sz w:val="20"/>
                <w:szCs w:val="20"/>
              </w:rPr>
              <w:br w:type="textWrapping"/>
            </w:r>
            <w:r>
              <w:rPr>
                <w:rFonts w:hint="eastAsia" w:ascii="仿宋_GB2312" w:hAnsi="仿宋_GB2312" w:eastAsia="仿宋_GB2312" w:cs="仿宋_GB2312"/>
                <w:b w:val="0"/>
                <w:bCs w:val="0"/>
                <w:snapToGrid w:val="0"/>
                <w:color w:val="000000"/>
                <w:sz w:val="20"/>
                <w:szCs w:val="20"/>
              </w:rPr>
              <w:t>（3）冬季以暖色光为主。</w:t>
            </w:r>
            <w:r>
              <w:rPr>
                <w:rFonts w:hint="eastAsia" w:ascii="仿宋_GB2312" w:hAnsi="仿宋_GB2312" w:eastAsia="仿宋_GB2312" w:cs="仿宋_GB2312"/>
                <w:b w:val="0"/>
                <w:bCs w:val="0"/>
                <w:snapToGrid w:val="0"/>
                <w:color w:val="000000"/>
                <w:sz w:val="20"/>
                <w:szCs w:val="20"/>
              </w:rPr>
              <w:br w:type="textWrapping"/>
            </w:r>
            <w:r>
              <w:rPr>
                <w:rFonts w:hint="eastAsia" w:ascii="仿宋_GB2312" w:hAnsi="仿宋_GB2312" w:eastAsia="仿宋_GB2312" w:cs="仿宋_GB2312"/>
                <w:b w:val="0"/>
                <w:bCs w:val="0"/>
                <w:snapToGrid w:val="0"/>
                <w:color w:val="000000"/>
                <w:sz w:val="20"/>
                <w:szCs w:val="20"/>
              </w:rPr>
              <w:t>重点商圈、重要活动场所的景观照明光色及动态不限。</w:t>
            </w:r>
          </w:p>
        </w:tc>
        <w:tc>
          <w:tcPr>
            <w:tcW w:w="22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hint="eastAsia" w:ascii="仿宋_GB2312" w:hAnsi="仿宋_GB2312" w:eastAsia="仿宋_GB2312" w:cs="仿宋_GB2312"/>
                <w:b w:val="0"/>
                <w:bCs w:val="0"/>
                <w:snapToGrid w:val="0"/>
                <w:color w:val="000000"/>
                <w:sz w:val="20"/>
                <w:szCs w:val="20"/>
              </w:rPr>
            </w:pPr>
            <w:r>
              <w:rPr>
                <w:rFonts w:hint="eastAsia" w:ascii="仿宋_GB2312" w:hAnsi="仿宋_GB2312" w:eastAsia="仿宋_GB2312" w:cs="仿宋_GB2312"/>
                <w:b w:val="0"/>
                <w:bCs w:val="0"/>
                <w:snapToGrid w:val="0"/>
                <w:color w:val="000000"/>
                <w:sz w:val="20"/>
                <w:szCs w:val="20"/>
              </w:rPr>
              <w:t>以暖色光为主，重点商圈、重要活动场所、特色园区、公园景区、滨水河道的景观照明光色及动态不限，可进行主题性演绎。</w:t>
            </w:r>
          </w:p>
        </w:tc>
        <w:tc>
          <w:tcPr>
            <w:tcW w:w="20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hint="eastAsia" w:ascii="仿宋_GB2312" w:hAnsi="仿宋_GB2312" w:eastAsia="仿宋_GB2312" w:cs="仿宋_GB2312"/>
                <w:b w:val="0"/>
                <w:bCs w:val="0"/>
                <w:snapToGrid w:val="0"/>
                <w:color w:val="000000"/>
                <w:sz w:val="20"/>
                <w:szCs w:val="20"/>
              </w:rPr>
            </w:pPr>
            <w:r>
              <w:rPr>
                <w:rFonts w:hint="eastAsia" w:ascii="仿宋_GB2312" w:hAnsi="仿宋_GB2312" w:eastAsia="仿宋_GB2312" w:cs="仿宋_GB2312"/>
                <w:b w:val="0"/>
                <w:bCs w:val="0"/>
                <w:snapToGrid w:val="0"/>
                <w:color w:val="000000"/>
                <w:sz w:val="20"/>
                <w:szCs w:val="20"/>
              </w:rPr>
              <w:t>以暖色光为主，重点商圈、重要活动场所、特色园区、公园景区、滨水河道的景观照明光色及动态不限，可进行主题性演绎。</w:t>
            </w:r>
          </w:p>
        </w:tc>
      </w:tr>
    </w:tbl>
    <w:p>
      <w:pPr>
        <w:snapToGrid w:val="0"/>
        <w:spacing w:line="240" w:lineRule="auto"/>
        <w:ind w:firstLine="0" w:firstLineChars="0"/>
        <w:rPr>
          <w:rFonts w:hint="eastAsia" w:ascii="仿宋_GB2312" w:hAnsi="仿宋_GB2312" w:cs="仿宋_GB2312"/>
          <w:snapToGrid w:val="0"/>
          <w:kern w:val="32"/>
          <w:sz w:val="19"/>
          <w:szCs w:val="19"/>
          <w:highlight w:val="none"/>
        </w:rPr>
      </w:pPr>
      <w:r>
        <w:rPr>
          <w:rFonts w:hint="eastAsia" w:ascii="仿宋_GB2312" w:hAnsi="仿宋_GB2312" w:cs="仿宋_GB2312"/>
          <w:snapToGrid w:val="0"/>
          <w:kern w:val="32"/>
          <w:sz w:val="19"/>
          <w:szCs w:val="19"/>
          <w:highlight w:val="none"/>
        </w:rPr>
        <w:t>注：1.天安门地区平日和一般节假日景观照明关闭时间为23时，重大节假日关闭时间保持不变。</w:t>
      </w:r>
    </w:p>
    <w:p>
      <w:pPr>
        <w:snapToGrid w:val="0"/>
        <w:spacing w:line="240" w:lineRule="auto"/>
        <w:ind w:left="573" w:leftChars="117" w:hanging="199" w:hangingChars="105"/>
        <w:rPr>
          <w:rFonts w:hint="eastAsia" w:ascii="仿宋_GB2312" w:hAnsi="仿宋_GB2312" w:cs="仿宋_GB2312"/>
          <w:snapToGrid w:val="0"/>
          <w:kern w:val="32"/>
          <w:sz w:val="19"/>
          <w:szCs w:val="19"/>
          <w:highlight w:val="none"/>
        </w:rPr>
      </w:pPr>
      <w:r>
        <w:rPr>
          <w:rFonts w:hint="eastAsia" w:ascii="仿宋_GB2312" w:hAnsi="仿宋_GB2312" w:cs="仿宋_GB2312"/>
          <w:snapToGrid w:val="0"/>
          <w:kern w:val="32"/>
          <w:sz w:val="19"/>
          <w:szCs w:val="19"/>
          <w:highlight w:val="none"/>
        </w:rPr>
        <w:t>2.各运行模式情况如下：（1）节能模式：即开启少量的轮廓照明，达到有效识别和节能的效果。</w:t>
      </w:r>
    </w:p>
    <w:p>
      <w:pPr>
        <w:snapToGrid w:val="0"/>
        <w:spacing w:line="240" w:lineRule="auto"/>
        <w:ind w:left="518" w:leftChars="162" w:firstLine="0" w:firstLineChars="0"/>
        <w:rPr>
          <w:lang w:bidi="ar"/>
        </w:rPr>
      </w:pPr>
      <w:r>
        <w:rPr>
          <w:rFonts w:hint="eastAsia" w:ascii="仿宋_GB2312" w:hAnsi="仿宋_GB2312" w:cs="仿宋_GB2312"/>
          <w:snapToGrid w:val="0"/>
          <w:kern w:val="32"/>
          <w:sz w:val="19"/>
          <w:szCs w:val="19"/>
          <w:highlight w:val="none"/>
        </w:rPr>
        <w:t>（2）观赏模式：即开启部分景观照明，达到良好的观赏效果；可结合不同地区文化、节日、时令等主题进行呈现，在暑假期间，可根据市民及游客实际需求进行适当提升。（3）庆典模式：即全部开启景观照明，采用动态和静态结合的展示方式，达到最佳的照明效果。鼓励采用媒体立面展示景观照明。</w:t>
      </w:r>
      <w:bookmarkEnd w:id="0"/>
    </w:p>
    <w:sectPr>
      <w:headerReference r:id="rId5" w:type="default"/>
      <w:footerReference r:id="rId6" w:type="default"/>
      <w:pgSz w:w="11906" w:h="16838"/>
      <w:pgMar w:top="2098" w:right="1474" w:bottom="1984" w:left="1587" w:header="851" w:footer="1417" w:gutter="0"/>
      <w:cols w:space="720" w:num="1"/>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99515" cy="230505"/>
              <wp:effectExtent l="0" t="0" r="635" b="63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99693" cy="230505"/>
                      </a:xfrm>
                      <a:prstGeom prst="rect">
                        <a:avLst/>
                      </a:prstGeom>
                      <a:noFill/>
                      <a:ln>
                        <a:noFill/>
                      </a:ln>
                      <a:effectLst/>
                    </wps:spPr>
                    <wps:txbx>
                      <w:txbxContent>
                        <w:p>
                          <w:pPr>
                            <w:pStyle w:val="18"/>
                            <w:ind w:firstLine="0" w:firstLineChars="0"/>
                            <w:jc w:val="center"/>
                            <w:rPr>
                              <w:rFonts w:hint="eastAsia" w:ascii="宋体" w:hAnsi="宋体" w:cs="宋体"/>
                              <w:sz w:val="32"/>
                              <w:szCs w:val="32"/>
                              <w:lang w:eastAsia="zh"/>
                            </w:rPr>
                          </w:pPr>
                          <w:r>
                            <w:rPr>
                              <w:rFonts w:hint="eastAsia" w:ascii="宋体" w:hAnsi="宋体" w:cs="宋体"/>
                              <w:sz w:val="32"/>
                              <w:szCs w:val="32"/>
                              <w:lang w:eastAsia="zh"/>
                            </w:rPr>
                            <w:t>—</w:t>
                          </w:r>
                          <w:r>
                            <w:rPr>
                              <w:rFonts w:ascii="宋体" w:hAnsi="宋体" w:cs="宋体"/>
                              <w:sz w:val="32"/>
                              <w:szCs w:val="32"/>
                              <w:lang w:eastAsia="zh"/>
                            </w:rPr>
                            <w:t xml:space="preserve"> </w:t>
                          </w:r>
                          <w:r>
                            <w:rPr>
                              <w:rFonts w:hint="eastAsia" w:ascii="宋体" w:hAnsi="宋体" w:cs="宋体"/>
                              <w:sz w:val="32"/>
                              <w:szCs w:val="32"/>
                              <w:lang w:eastAsia="zh"/>
                            </w:rPr>
                            <w:fldChar w:fldCharType="begin"/>
                          </w:r>
                          <w:r>
                            <w:rPr>
                              <w:rFonts w:ascii="宋体" w:hAnsi="宋体" w:cs="宋体"/>
                              <w:sz w:val="32"/>
                              <w:szCs w:val="32"/>
                              <w:lang w:eastAsia="zh"/>
                            </w:rPr>
                            <w:instrText xml:space="preserve"> PAGE  \* MERGEFORMAT </w:instrText>
                          </w:r>
                          <w:r>
                            <w:rPr>
                              <w:rFonts w:hint="eastAsia" w:ascii="宋体" w:hAnsi="宋体" w:cs="宋体"/>
                              <w:sz w:val="32"/>
                              <w:szCs w:val="32"/>
                              <w:lang w:eastAsia="zh"/>
                            </w:rPr>
                            <w:fldChar w:fldCharType="separate"/>
                          </w:r>
                          <w:r>
                            <w:rPr>
                              <w:rFonts w:ascii="宋体" w:hAnsi="宋体" w:cs="宋体"/>
                              <w:sz w:val="32"/>
                              <w:szCs w:val="32"/>
                              <w:lang w:eastAsia="zh"/>
                            </w:rPr>
                            <w:t>- 1 -</w:t>
                          </w:r>
                          <w:r>
                            <w:rPr>
                              <w:rFonts w:hint="eastAsia" w:ascii="宋体" w:hAnsi="宋体" w:cs="宋体"/>
                              <w:sz w:val="32"/>
                              <w:szCs w:val="32"/>
                              <w:lang w:eastAsia="zh"/>
                            </w:rPr>
                            <w:fldChar w:fldCharType="end"/>
                          </w:r>
                          <w:r>
                            <w:rPr>
                              <w:rFonts w:ascii="宋体" w:hAnsi="宋体" w:cs="宋体"/>
                              <w:sz w:val="32"/>
                              <w:szCs w:val="32"/>
                              <w:lang w:eastAsia="zh"/>
                            </w:rPr>
                            <w:t xml:space="preserve"> —</w:t>
                          </w:r>
                        </w:p>
                      </w:txbxContent>
                    </wps:txbx>
                    <wps:bodyPr rot="0" vert="horz" wrap="square" lIns="0" tIns="0" rIns="0" bIns="0" anchor="t" anchorCtr="0" upright="1">
                      <a:spAutoFit/>
                    </wps:bodyPr>
                  </wps:wsp>
                </a:graphicData>
              </a:graphic>
            </wp:anchor>
          </w:drawing>
        </mc:Choice>
        <mc:Fallback>
          <w:pict>
            <v:shape id="_x0000_s1026" o:spid="_x0000_s1026" o:spt="202" type="#_x0000_t202" style="position:absolute;left:0pt;margin-top:0pt;height:18.15pt;width:94.45pt;mso-position-horizontal:outside;mso-position-horizontal-relative:margin;z-index:251659264;mso-width-relative:page;mso-height-relative:page;" filled="f" stroked="f" coordsize="21600,21600" o:gfxdata="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AAhfpy&#10;0wAAAAQBAAAPAAAAAAAAAAEAIAAAADgAAABkcnMvZG93bnJldi54bWxQSwECFAAUAAAACACHTuJA&#10;xoAOGxACAAATBAAADgAAAAAAAAABACAAAAA4AQAAZHJzL2Uyb0RvYy54bWxQSwUGAAAAAAYABgBZ&#10;AQAAugUAAAAA&#10;">
              <v:fill on="f" focussize="0,0"/>
              <v:stroke on="f"/>
              <v:imagedata o:title=""/>
              <o:lock v:ext="edit" aspectratio="f"/>
              <v:textbox inset="0mm,0mm,0mm,0mm" style="mso-fit-shape-to-text:t;">
                <w:txbxContent>
                  <w:p>
                    <w:pPr>
                      <w:pStyle w:val="18"/>
                      <w:ind w:firstLine="0" w:firstLineChars="0"/>
                      <w:jc w:val="center"/>
                      <w:rPr>
                        <w:rFonts w:hint="eastAsia" w:ascii="宋体" w:hAnsi="宋体" w:cs="宋体"/>
                        <w:sz w:val="32"/>
                        <w:szCs w:val="32"/>
                        <w:lang w:eastAsia="zh"/>
                      </w:rPr>
                    </w:pPr>
                    <w:r>
                      <w:rPr>
                        <w:rFonts w:hint="eastAsia" w:ascii="宋体" w:hAnsi="宋体" w:cs="宋体"/>
                        <w:sz w:val="32"/>
                        <w:szCs w:val="32"/>
                        <w:lang w:eastAsia="zh"/>
                      </w:rPr>
                      <w:t>—</w:t>
                    </w:r>
                    <w:r>
                      <w:rPr>
                        <w:rFonts w:ascii="宋体" w:hAnsi="宋体" w:cs="宋体"/>
                        <w:sz w:val="32"/>
                        <w:szCs w:val="32"/>
                        <w:lang w:eastAsia="zh"/>
                      </w:rPr>
                      <w:t xml:space="preserve"> </w:t>
                    </w:r>
                    <w:r>
                      <w:rPr>
                        <w:rFonts w:hint="eastAsia" w:ascii="宋体" w:hAnsi="宋体" w:cs="宋体"/>
                        <w:sz w:val="32"/>
                        <w:szCs w:val="32"/>
                        <w:lang w:eastAsia="zh"/>
                      </w:rPr>
                      <w:fldChar w:fldCharType="begin"/>
                    </w:r>
                    <w:r>
                      <w:rPr>
                        <w:rFonts w:ascii="宋体" w:hAnsi="宋体" w:cs="宋体"/>
                        <w:sz w:val="32"/>
                        <w:szCs w:val="32"/>
                        <w:lang w:eastAsia="zh"/>
                      </w:rPr>
                      <w:instrText xml:space="preserve"> PAGE  \* MERGEFORMAT </w:instrText>
                    </w:r>
                    <w:r>
                      <w:rPr>
                        <w:rFonts w:hint="eastAsia" w:ascii="宋体" w:hAnsi="宋体" w:cs="宋体"/>
                        <w:sz w:val="32"/>
                        <w:szCs w:val="32"/>
                        <w:lang w:eastAsia="zh"/>
                      </w:rPr>
                      <w:fldChar w:fldCharType="separate"/>
                    </w:r>
                    <w:r>
                      <w:rPr>
                        <w:rFonts w:ascii="宋体" w:hAnsi="宋体" w:cs="宋体"/>
                        <w:sz w:val="32"/>
                        <w:szCs w:val="32"/>
                        <w:lang w:eastAsia="zh"/>
                      </w:rPr>
                      <w:t>- 1 -</w:t>
                    </w:r>
                    <w:r>
                      <w:rPr>
                        <w:rFonts w:hint="eastAsia" w:ascii="宋体" w:hAnsi="宋体" w:cs="宋体"/>
                        <w:sz w:val="32"/>
                        <w:szCs w:val="32"/>
                        <w:lang w:eastAsia="zh"/>
                      </w:rPr>
                      <w:fldChar w:fldCharType="end"/>
                    </w:r>
                    <w:r>
                      <w:rPr>
                        <w:rFonts w:ascii="宋体" w:hAnsi="宋体" w:cs="宋体"/>
                        <w:sz w:val="32"/>
                        <w:szCs w:val="32"/>
                        <w:lang w:eastAsia="zh"/>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4218A5"/>
    <w:multiLevelType w:val="multilevel"/>
    <w:tmpl w:val="514218A5"/>
    <w:lvl w:ilvl="0" w:tentative="0">
      <w:start w:val="1"/>
      <w:numFmt w:val="chineseCountingThousand"/>
      <w:lvlText w:val="第%1条"/>
      <w:lvlJc w:val="left"/>
      <w:pPr>
        <w:ind w:left="1007" w:hanging="440"/>
      </w:pPr>
      <w:rPr>
        <w:rFonts w:hint="eastAsia" w:ascii="楷体_GB2312" w:eastAsia="楷体_GB2312" w:cs="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320"/>
  <w:noPunctuationKerning w:val="1"/>
  <w:characterSpacingControl w:val="doNotCompress"/>
  <w:footnotePr>
    <w:footnote w:id="0"/>
    <w:footnote w:id="1"/>
  </w:footnotePr>
  <w:endnotePr>
    <w:endnote w:id="0"/>
    <w:endnote w:id="1"/>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A27"/>
    <w:rsid w:val="0001488A"/>
    <w:rsid w:val="00031D3E"/>
    <w:rsid w:val="00041A98"/>
    <w:rsid w:val="00055535"/>
    <w:rsid w:val="00074169"/>
    <w:rsid w:val="00076AA0"/>
    <w:rsid w:val="00085BA3"/>
    <w:rsid w:val="00087B8A"/>
    <w:rsid w:val="000D59AE"/>
    <w:rsid w:val="000D6C9B"/>
    <w:rsid w:val="000E1B0A"/>
    <w:rsid w:val="000E7D99"/>
    <w:rsid w:val="000F3721"/>
    <w:rsid w:val="00100FA5"/>
    <w:rsid w:val="0010468E"/>
    <w:rsid w:val="00107700"/>
    <w:rsid w:val="00130E0F"/>
    <w:rsid w:val="00134BA0"/>
    <w:rsid w:val="00141DD6"/>
    <w:rsid w:val="00143726"/>
    <w:rsid w:val="00165E0E"/>
    <w:rsid w:val="001A4CAE"/>
    <w:rsid w:val="001A6D54"/>
    <w:rsid w:val="001B6A2B"/>
    <w:rsid w:val="001C52F9"/>
    <w:rsid w:val="001C537F"/>
    <w:rsid w:val="001D0E4A"/>
    <w:rsid w:val="001F798A"/>
    <w:rsid w:val="00203A27"/>
    <w:rsid w:val="0021482B"/>
    <w:rsid w:val="00223C43"/>
    <w:rsid w:val="002242E3"/>
    <w:rsid w:val="00235883"/>
    <w:rsid w:val="00247822"/>
    <w:rsid w:val="00255CE7"/>
    <w:rsid w:val="00262280"/>
    <w:rsid w:val="0026583E"/>
    <w:rsid w:val="002661F8"/>
    <w:rsid w:val="00267F5D"/>
    <w:rsid w:val="00273941"/>
    <w:rsid w:val="002909AE"/>
    <w:rsid w:val="0029194D"/>
    <w:rsid w:val="00294622"/>
    <w:rsid w:val="002957CD"/>
    <w:rsid w:val="002A3790"/>
    <w:rsid w:val="002B21D6"/>
    <w:rsid w:val="002B337A"/>
    <w:rsid w:val="002B7B94"/>
    <w:rsid w:val="002D4164"/>
    <w:rsid w:val="002E0335"/>
    <w:rsid w:val="002E2530"/>
    <w:rsid w:val="002F2690"/>
    <w:rsid w:val="002F274E"/>
    <w:rsid w:val="002F4FF9"/>
    <w:rsid w:val="00303C34"/>
    <w:rsid w:val="00305C5B"/>
    <w:rsid w:val="00310DB0"/>
    <w:rsid w:val="00311250"/>
    <w:rsid w:val="00321823"/>
    <w:rsid w:val="00324CCF"/>
    <w:rsid w:val="00334A7A"/>
    <w:rsid w:val="00337009"/>
    <w:rsid w:val="00346A95"/>
    <w:rsid w:val="00347504"/>
    <w:rsid w:val="0035052E"/>
    <w:rsid w:val="0035277C"/>
    <w:rsid w:val="00357F2C"/>
    <w:rsid w:val="003611DD"/>
    <w:rsid w:val="00374AD9"/>
    <w:rsid w:val="003951BB"/>
    <w:rsid w:val="003A5189"/>
    <w:rsid w:val="003B42F3"/>
    <w:rsid w:val="003C37B5"/>
    <w:rsid w:val="003C38AE"/>
    <w:rsid w:val="003D3A73"/>
    <w:rsid w:val="003E05D6"/>
    <w:rsid w:val="003F3339"/>
    <w:rsid w:val="003F5F8D"/>
    <w:rsid w:val="00401EC9"/>
    <w:rsid w:val="00431C60"/>
    <w:rsid w:val="004374DA"/>
    <w:rsid w:val="00442862"/>
    <w:rsid w:val="00444780"/>
    <w:rsid w:val="004561EC"/>
    <w:rsid w:val="0046410F"/>
    <w:rsid w:val="004705EA"/>
    <w:rsid w:val="004837D5"/>
    <w:rsid w:val="00484B51"/>
    <w:rsid w:val="004910BD"/>
    <w:rsid w:val="004949BA"/>
    <w:rsid w:val="00496F5B"/>
    <w:rsid w:val="004A10D7"/>
    <w:rsid w:val="004C4448"/>
    <w:rsid w:val="004D11ED"/>
    <w:rsid w:val="004D6297"/>
    <w:rsid w:val="004F3A3D"/>
    <w:rsid w:val="00504FC7"/>
    <w:rsid w:val="00511257"/>
    <w:rsid w:val="0051579C"/>
    <w:rsid w:val="005232B9"/>
    <w:rsid w:val="00526EAE"/>
    <w:rsid w:val="00530DC5"/>
    <w:rsid w:val="00546746"/>
    <w:rsid w:val="00551478"/>
    <w:rsid w:val="00553D10"/>
    <w:rsid w:val="00553DA3"/>
    <w:rsid w:val="00561CAD"/>
    <w:rsid w:val="005648F3"/>
    <w:rsid w:val="005A5381"/>
    <w:rsid w:val="005A5F4E"/>
    <w:rsid w:val="005D5E5B"/>
    <w:rsid w:val="005E4EA9"/>
    <w:rsid w:val="005E7AF6"/>
    <w:rsid w:val="005F3A97"/>
    <w:rsid w:val="006062D7"/>
    <w:rsid w:val="0061308E"/>
    <w:rsid w:val="00622BE2"/>
    <w:rsid w:val="0062736C"/>
    <w:rsid w:val="006378A5"/>
    <w:rsid w:val="00640D9E"/>
    <w:rsid w:val="006410FB"/>
    <w:rsid w:val="00647ACA"/>
    <w:rsid w:val="006566C3"/>
    <w:rsid w:val="006601BC"/>
    <w:rsid w:val="006662A9"/>
    <w:rsid w:val="006B058C"/>
    <w:rsid w:val="006B7DBF"/>
    <w:rsid w:val="006D59B6"/>
    <w:rsid w:val="006E48BA"/>
    <w:rsid w:val="006F4C5E"/>
    <w:rsid w:val="00713288"/>
    <w:rsid w:val="00742BD9"/>
    <w:rsid w:val="00745C74"/>
    <w:rsid w:val="00751ECC"/>
    <w:rsid w:val="00771B52"/>
    <w:rsid w:val="0077208C"/>
    <w:rsid w:val="007843A1"/>
    <w:rsid w:val="00786821"/>
    <w:rsid w:val="007A20CC"/>
    <w:rsid w:val="007A2E0A"/>
    <w:rsid w:val="007B0439"/>
    <w:rsid w:val="007B6488"/>
    <w:rsid w:val="007B74B4"/>
    <w:rsid w:val="007B79FF"/>
    <w:rsid w:val="007C2105"/>
    <w:rsid w:val="007C3ABF"/>
    <w:rsid w:val="007D7F8A"/>
    <w:rsid w:val="007E4319"/>
    <w:rsid w:val="007F79B4"/>
    <w:rsid w:val="00815929"/>
    <w:rsid w:val="00815EE6"/>
    <w:rsid w:val="00824E07"/>
    <w:rsid w:val="00832652"/>
    <w:rsid w:val="00843BF6"/>
    <w:rsid w:val="00844A57"/>
    <w:rsid w:val="00847796"/>
    <w:rsid w:val="00847A56"/>
    <w:rsid w:val="00855395"/>
    <w:rsid w:val="00857320"/>
    <w:rsid w:val="00857757"/>
    <w:rsid w:val="0086618F"/>
    <w:rsid w:val="008A7DB3"/>
    <w:rsid w:val="008B21E5"/>
    <w:rsid w:val="008B394C"/>
    <w:rsid w:val="008C75E7"/>
    <w:rsid w:val="008E3DD6"/>
    <w:rsid w:val="008E7B09"/>
    <w:rsid w:val="009012DB"/>
    <w:rsid w:val="0091343C"/>
    <w:rsid w:val="00914ADE"/>
    <w:rsid w:val="00920E24"/>
    <w:rsid w:val="00927A57"/>
    <w:rsid w:val="00933D91"/>
    <w:rsid w:val="00934005"/>
    <w:rsid w:val="0094756F"/>
    <w:rsid w:val="00947AF0"/>
    <w:rsid w:val="00952052"/>
    <w:rsid w:val="0098771A"/>
    <w:rsid w:val="0099063F"/>
    <w:rsid w:val="00990CDA"/>
    <w:rsid w:val="00994DBE"/>
    <w:rsid w:val="009A1FC0"/>
    <w:rsid w:val="009A5883"/>
    <w:rsid w:val="009C2759"/>
    <w:rsid w:val="009C79C7"/>
    <w:rsid w:val="009D6BE4"/>
    <w:rsid w:val="009E1331"/>
    <w:rsid w:val="009E143C"/>
    <w:rsid w:val="009E383B"/>
    <w:rsid w:val="009F5875"/>
    <w:rsid w:val="00A15047"/>
    <w:rsid w:val="00A33CB5"/>
    <w:rsid w:val="00A40C45"/>
    <w:rsid w:val="00A5030C"/>
    <w:rsid w:val="00A5411D"/>
    <w:rsid w:val="00A54DBF"/>
    <w:rsid w:val="00A83FA3"/>
    <w:rsid w:val="00AA5F25"/>
    <w:rsid w:val="00AA7CFE"/>
    <w:rsid w:val="00AB6400"/>
    <w:rsid w:val="00AC2391"/>
    <w:rsid w:val="00AC71A8"/>
    <w:rsid w:val="00AD380D"/>
    <w:rsid w:val="00AE470B"/>
    <w:rsid w:val="00AE613E"/>
    <w:rsid w:val="00AF6E7F"/>
    <w:rsid w:val="00B0068E"/>
    <w:rsid w:val="00B1001E"/>
    <w:rsid w:val="00B2411E"/>
    <w:rsid w:val="00B2443D"/>
    <w:rsid w:val="00B519C1"/>
    <w:rsid w:val="00B5700C"/>
    <w:rsid w:val="00B6050D"/>
    <w:rsid w:val="00B669AD"/>
    <w:rsid w:val="00B773BD"/>
    <w:rsid w:val="00B846EB"/>
    <w:rsid w:val="00B852DD"/>
    <w:rsid w:val="00BA5690"/>
    <w:rsid w:val="00BA7641"/>
    <w:rsid w:val="00BC0A53"/>
    <w:rsid w:val="00BD63CF"/>
    <w:rsid w:val="00BD63D2"/>
    <w:rsid w:val="00BD6EDD"/>
    <w:rsid w:val="00BE1DCC"/>
    <w:rsid w:val="00C03F16"/>
    <w:rsid w:val="00C04A58"/>
    <w:rsid w:val="00C05134"/>
    <w:rsid w:val="00C47535"/>
    <w:rsid w:val="00C609F4"/>
    <w:rsid w:val="00C62BE9"/>
    <w:rsid w:val="00C7794E"/>
    <w:rsid w:val="00C8006E"/>
    <w:rsid w:val="00C8463A"/>
    <w:rsid w:val="00C9026C"/>
    <w:rsid w:val="00C925A8"/>
    <w:rsid w:val="00C94893"/>
    <w:rsid w:val="00C94B75"/>
    <w:rsid w:val="00CA3822"/>
    <w:rsid w:val="00CA3B36"/>
    <w:rsid w:val="00CA5867"/>
    <w:rsid w:val="00CB1C2E"/>
    <w:rsid w:val="00CB23B6"/>
    <w:rsid w:val="00CB6E4D"/>
    <w:rsid w:val="00CC055A"/>
    <w:rsid w:val="00D02B41"/>
    <w:rsid w:val="00D07A33"/>
    <w:rsid w:val="00D12279"/>
    <w:rsid w:val="00D12855"/>
    <w:rsid w:val="00D13CA1"/>
    <w:rsid w:val="00D229CB"/>
    <w:rsid w:val="00D26502"/>
    <w:rsid w:val="00D30B97"/>
    <w:rsid w:val="00D547E9"/>
    <w:rsid w:val="00D60644"/>
    <w:rsid w:val="00D64639"/>
    <w:rsid w:val="00D67ECD"/>
    <w:rsid w:val="00D73DBE"/>
    <w:rsid w:val="00D76E98"/>
    <w:rsid w:val="00D80738"/>
    <w:rsid w:val="00DA1E1B"/>
    <w:rsid w:val="00DB4CB8"/>
    <w:rsid w:val="00DB5088"/>
    <w:rsid w:val="00DC1720"/>
    <w:rsid w:val="00DD5868"/>
    <w:rsid w:val="00E13761"/>
    <w:rsid w:val="00E16037"/>
    <w:rsid w:val="00E17B6C"/>
    <w:rsid w:val="00E54855"/>
    <w:rsid w:val="00E63D73"/>
    <w:rsid w:val="00EA398C"/>
    <w:rsid w:val="00EB4DD1"/>
    <w:rsid w:val="00ED145A"/>
    <w:rsid w:val="00ED1F7D"/>
    <w:rsid w:val="00EE6B82"/>
    <w:rsid w:val="00F046D5"/>
    <w:rsid w:val="00F1282C"/>
    <w:rsid w:val="00F172EF"/>
    <w:rsid w:val="00F20287"/>
    <w:rsid w:val="00F244D3"/>
    <w:rsid w:val="00F444BD"/>
    <w:rsid w:val="00F5483F"/>
    <w:rsid w:val="00F62C2F"/>
    <w:rsid w:val="00F62FC4"/>
    <w:rsid w:val="00F630F5"/>
    <w:rsid w:val="00F647DB"/>
    <w:rsid w:val="00F66574"/>
    <w:rsid w:val="00F82B29"/>
    <w:rsid w:val="00F94578"/>
    <w:rsid w:val="00F97718"/>
    <w:rsid w:val="00FA52B3"/>
    <w:rsid w:val="00FA753A"/>
    <w:rsid w:val="00FB08FE"/>
    <w:rsid w:val="00FB196E"/>
    <w:rsid w:val="00FB21D4"/>
    <w:rsid w:val="00FD066B"/>
    <w:rsid w:val="00FD68E0"/>
    <w:rsid w:val="00FE1A8B"/>
    <w:rsid w:val="00FE2F75"/>
    <w:rsid w:val="00FE567E"/>
    <w:rsid w:val="00FE5E60"/>
    <w:rsid w:val="00FE6719"/>
    <w:rsid w:val="00FF05C3"/>
    <w:rsid w:val="00FF2B03"/>
    <w:rsid w:val="00FF6C64"/>
    <w:rsid w:val="01B02834"/>
    <w:rsid w:val="02117E40"/>
    <w:rsid w:val="031640B3"/>
    <w:rsid w:val="03FF52C8"/>
    <w:rsid w:val="04FA74BA"/>
    <w:rsid w:val="053C6EDC"/>
    <w:rsid w:val="05E7DCB3"/>
    <w:rsid w:val="070D149F"/>
    <w:rsid w:val="07577FFE"/>
    <w:rsid w:val="0826278D"/>
    <w:rsid w:val="086BE5B1"/>
    <w:rsid w:val="08F653D3"/>
    <w:rsid w:val="09073D64"/>
    <w:rsid w:val="092D646E"/>
    <w:rsid w:val="0AFF715F"/>
    <w:rsid w:val="0BC1013B"/>
    <w:rsid w:val="0C4D75AF"/>
    <w:rsid w:val="0C7FE731"/>
    <w:rsid w:val="0DDF853A"/>
    <w:rsid w:val="0EEE79D7"/>
    <w:rsid w:val="0F152C78"/>
    <w:rsid w:val="0F7C6B81"/>
    <w:rsid w:val="0FB252BC"/>
    <w:rsid w:val="0FB726D8"/>
    <w:rsid w:val="0FFC8C08"/>
    <w:rsid w:val="10E931EA"/>
    <w:rsid w:val="114A4B44"/>
    <w:rsid w:val="124A70DD"/>
    <w:rsid w:val="1327754A"/>
    <w:rsid w:val="13973A60"/>
    <w:rsid w:val="14612339"/>
    <w:rsid w:val="15932B49"/>
    <w:rsid w:val="15CD1A24"/>
    <w:rsid w:val="15CF5786"/>
    <w:rsid w:val="15D91307"/>
    <w:rsid w:val="15E3435E"/>
    <w:rsid w:val="15FF829B"/>
    <w:rsid w:val="164063F1"/>
    <w:rsid w:val="17084CD0"/>
    <w:rsid w:val="173B5246"/>
    <w:rsid w:val="17E05DED"/>
    <w:rsid w:val="17FE4840"/>
    <w:rsid w:val="182F3742"/>
    <w:rsid w:val="1AFFB273"/>
    <w:rsid w:val="1B684764"/>
    <w:rsid w:val="1B865A95"/>
    <w:rsid w:val="1BEE3A9E"/>
    <w:rsid w:val="1CBA53F0"/>
    <w:rsid w:val="1D440BCC"/>
    <w:rsid w:val="1D8F397F"/>
    <w:rsid w:val="1DE6A607"/>
    <w:rsid w:val="1E7F3B55"/>
    <w:rsid w:val="1EB70F36"/>
    <w:rsid w:val="1EEE0DC5"/>
    <w:rsid w:val="1EF77A51"/>
    <w:rsid w:val="1F5E9FFD"/>
    <w:rsid w:val="1F6FC8F2"/>
    <w:rsid w:val="1F7B121A"/>
    <w:rsid w:val="1F87A6E1"/>
    <w:rsid w:val="1FAD2A59"/>
    <w:rsid w:val="1FBE0094"/>
    <w:rsid w:val="1FD57241"/>
    <w:rsid w:val="1FDE80DB"/>
    <w:rsid w:val="1FF34926"/>
    <w:rsid w:val="1FF628B7"/>
    <w:rsid w:val="1FFF7CCD"/>
    <w:rsid w:val="1FFFA390"/>
    <w:rsid w:val="20295276"/>
    <w:rsid w:val="207213CB"/>
    <w:rsid w:val="22043AD7"/>
    <w:rsid w:val="23DD6EEB"/>
    <w:rsid w:val="23FA052B"/>
    <w:rsid w:val="26443593"/>
    <w:rsid w:val="267FBD03"/>
    <w:rsid w:val="26815A72"/>
    <w:rsid w:val="26B34EA5"/>
    <w:rsid w:val="27AB9380"/>
    <w:rsid w:val="27FFFD27"/>
    <w:rsid w:val="286A511C"/>
    <w:rsid w:val="28A76BA9"/>
    <w:rsid w:val="293B3AEA"/>
    <w:rsid w:val="29ED0944"/>
    <w:rsid w:val="29EF4EE1"/>
    <w:rsid w:val="2A535E1E"/>
    <w:rsid w:val="2AB7A7CA"/>
    <w:rsid w:val="2AE7080F"/>
    <w:rsid w:val="2AF1244F"/>
    <w:rsid w:val="2BC1281A"/>
    <w:rsid w:val="2BED823A"/>
    <w:rsid w:val="2BFF25E0"/>
    <w:rsid w:val="2C853EA0"/>
    <w:rsid w:val="2CD68FBE"/>
    <w:rsid w:val="2D0E52F1"/>
    <w:rsid w:val="2D7F6998"/>
    <w:rsid w:val="2D8B4C90"/>
    <w:rsid w:val="2DDD4680"/>
    <w:rsid w:val="2DFF76E4"/>
    <w:rsid w:val="2E7F31E3"/>
    <w:rsid w:val="2EAB4C14"/>
    <w:rsid w:val="2EFF342B"/>
    <w:rsid w:val="2FD3ADF3"/>
    <w:rsid w:val="2FF5BC8E"/>
    <w:rsid w:val="2FFF5B1A"/>
    <w:rsid w:val="2FFF78A6"/>
    <w:rsid w:val="30827036"/>
    <w:rsid w:val="30D874FF"/>
    <w:rsid w:val="31285C28"/>
    <w:rsid w:val="31EFA5CA"/>
    <w:rsid w:val="31FE5DD6"/>
    <w:rsid w:val="324E75EC"/>
    <w:rsid w:val="32831ABB"/>
    <w:rsid w:val="32B80FCD"/>
    <w:rsid w:val="335B3FF1"/>
    <w:rsid w:val="33B59E6F"/>
    <w:rsid w:val="345D7A29"/>
    <w:rsid w:val="34603C63"/>
    <w:rsid w:val="348F385B"/>
    <w:rsid w:val="3596E705"/>
    <w:rsid w:val="359D5A3F"/>
    <w:rsid w:val="35DD5264"/>
    <w:rsid w:val="365F417A"/>
    <w:rsid w:val="36DE9945"/>
    <w:rsid w:val="36E2AFC0"/>
    <w:rsid w:val="36E6BD0A"/>
    <w:rsid w:val="372120A4"/>
    <w:rsid w:val="37572364"/>
    <w:rsid w:val="376E25C7"/>
    <w:rsid w:val="377D65E6"/>
    <w:rsid w:val="37BFD1F0"/>
    <w:rsid w:val="37C24EC8"/>
    <w:rsid w:val="37E5532C"/>
    <w:rsid w:val="37EBC661"/>
    <w:rsid w:val="3826345F"/>
    <w:rsid w:val="384E01FB"/>
    <w:rsid w:val="38A57165"/>
    <w:rsid w:val="39203D3E"/>
    <w:rsid w:val="395DD098"/>
    <w:rsid w:val="39754190"/>
    <w:rsid w:val="39BB0DF4"/>
    <w:rsid w:val="39DF1BEC"/>
    <w:rsid w:val="3A732AA3"/>
    <w:rsid w:val="3AB7889C"/>
    <w:rsid w:val="3B251D62"/>
    <w:rsid w:val="3B3B6F74"/>
    <w:rsid w:val="3B6B2A3C"/>
    <w:rsid w:val="3B76B62C"/>
    <w:rsid w:val="3B778874"/>
    <w:rsid w:val="3BB7BC7F"/>
    <w:rsid w:val="3BBE9835"/>
    <w:rsid w:val="3BDFD9FB"/>
    <w:rsid w:val="3BED0E55"/>
    <w:rsid w:val="3BED86A1"/>
    <w:rsid w:val="3BF98596"/>
    <w:rsid w:val="3C3FAD4A"/>
    <w:rsid w:val="3C6FC69C"/>
    <w:rsid w:val="3CEB2D9E"/>
    <w:rsid w:val="3D5FFC5F"/>
    <w:rsid w:val="3D6FAEDA"/>
    <w:rsid w:val="3D6FC1B2"/>
    <w:rsid w:val="3DDFA1F5"/>
    <w:rsid w:val="3DE46C32"/>
    <w:rsid w:val="3DE49F43"/>
    <w:rsid w:val="3DF6FF2B"/>
    <w:rsid w:val="3DF7BFC3"/>
    <w:rsid w:val="3DF8D527"/>
    <w:rsid w:val="3DFCBD08"/>
    <w:rsid w:val="3E1609DA"/>
    <w:rsid w:val="3E200924"/>
    <w:rsid w:val="3E7F6640"/>
    <w:rsid w:val="3EBD6A03"/>
    <w:rsid w:val="3EBDA11A"/>
    <w:rsid w:val="3ECF4D95"/>
    <w:rsid w:val="3ED75F87"/>
    <w:rsid w:val="3EDE7B98"/>
    <w:rsid w:val="3EE504F2"/>
    <w:rsid w:val="3EE951EC"/>
    <w:rsid w:val="3F377CBF"/>
    <w:rsid w:val="3F6ACB0F"/>
    <w:rsid w:val="3F7DEA6A"/>
    <w:rsid w:val="3F7E2B57"/>
    <w:rsid w:val="3F85A638"/>
    <w:rsid w:val="3FADE375"/>
    <w:rsid w:val="3FAF3C83"/>
    <w:rsid w:val="3FBB7271"/>
    <w:rsid w:val="3FBC668F"/>
    <w:rsid w:val="3FBF17F2"/>
    <w:rsid w:val="3FBF6A2F"/>
    <w:rsid w:val="3FDC9630"/>
    <w:rsid w:val="3FDFF10A"/>
    <w:rsid w:val="3FE19C12"/>
    <w:rsid w:val="3FEB6DB3"/>
    <w:rsid w:val="3FF6AC2B"/>
    <w:rsid w:val="3FF94AB1"/>
    <w:rsid w:val="3FFD837D"/>
    <w:rsid w:val="3FFF90F9"/>
    <w:rsid w:val="41C31A5A"/>
    <w:rsid w:val="41E76807"/>
    <w:rsid w:val="42CB6A02"/>
    <w:rsid w:val="43B77BE7"/>
    <w:rsid w:val="43BB6BBE"/>
    <w:rsid w:val="43DE26AE"/>
    <w:rsid w:val="43DE5AB9"/>
    <w:rsid w:val="44AA725F"/>
    <w:rsid w:val="46DFAF9E"/>
    <w:rsid w:val="473352ED"/>
    <w:rsid w:val="47C84AD3"/>
    <w:rsid w:val="47D2DD44"/>
    <w:rsid w:val="47F7AF70"/>
    <w:rsid w:val="47FB564C"/>
    <w:rsid w:val="4880045B"/>
    <w:rsid w:val="48F33E66"/>
    <w:rsid w:val="497E2630"/>
    <w:rsid w:val="49F7EFE3"/>
    <w:rsid w:val="4B77A119"/>
    <w:rsid w:val="4BDD33FC"/>
    <w:rsid w:val="4CD93CBD"/>
    <w:rsid w:val="4CE8810E"/>
    <w:rsid w:val="4DDEF8EB"/>
    <w:rsid w:val="4DFC72FD"/>
    <w:rsid w:val="4E9F665C"/>
    <w:rsid w:val="4EA76741"/>
    <w:rsid w:val="4EB25C4C"/>
    <w:rsid w:val="4EBD0F22"/>
    <w:rsid w:val="4ED72347"/>
    <w:rsid w:val="4EDF4DE1"/>
    <w:rsid w:val="4EFB38A5"/>
    <w:rsid w:val="4EFCBACD"/>
    <w:rsid w:val="4EFF9264"/>
    <w:rsid w:val="4F0B258D"/>
    <w:rsid w:val="4F756840"/>
    <w:rsid w:val="4F81216A"/>
    <w:rsid w:val="4FBFD5D8"/>
    <w:rsid w:val="4FDFA987"/>
    <w:rsid w:val="4FF6AC00"/>
    <w:rsid w:val="4FFD34A5"/>
    <w:rsid w:val="4FFF15B6"/>
    <w:rsid w:val="4FFF9242"/>
    <w:rsid w:val="50155D7D"/>
    <w:rsid w:val="50F7B38B"/>
    <w:rsid w:val="512651BA"/>
    <w:rsid w:val="51BA6CFE"/>
    <w:rsid w:val="51BE045E"/>
    <w:rsid w:val="52B968CA"/>
    <w:rsid w:val="52E24BC6"/>
    <w:rsid w:val="52F97457"/>
    <w:rsid w:val="53BD233A"/>
    <w:rsid w:val="53E9E019"/>
    <w:rsid w:val="559B1181"/>
    <w:rsid w:val="5677C447"/>
    <w:rsid w:val="56F52014"/>
    <w:rsid w:val="57763155"/>
    <w:rsid w:val="57A26E3E"/>
    <w:rsid w:val="57A61EEF"/>
    <w:rsid w:val="57A8256A"/>
    <w:rsid w:val="57DD84B6"/>
    <w:rsid w:val="57E4A489"/>
    <w:rsid w:val="57FFD2A1"/>
    <w:rsid w:val="5827444F"/>
    <w:rsid w:val="586ECC01"/>
    <w:rsid w:val="58FF3A55"/>
    <w:rsid w:val="59BB2A08"/>
    <w:rsid w:val="59FA4A62"/>
    <w:rsid w:val="5ABFCA4D"/>
    <w:rsid w:val="5AD732F9"/>
    <w:rsid w:val="5AEFDD88"/>
    <w:rsid w:val="5BB7EF36"/>
    <w:rsid w:val="5BF5C3C2"/>
    <w:rsid w:val="5BFBBA9D"/>
    <w:rsid w:val="5BFBCF65"/>
    <w:rsid w:val="5C7DF26F"/>
    <w:rsid w:val="5CB3A7F9"/>
    <w:rsid w:val="5CBDF8CA"/>
    <w:rsid w:val="5CF76947"/>
    <w:rsid w:val="5D5FB5B5"/>
    <w:rsid w:val="5D6CA061"/>
    <w:rsid w:val="5DF6DA34"/>
    <w:rsid w:val="5DFD40F7"/>
    <w:rsid w:val="5EB58BB9"/>
    <w:rsid w:val="5EBCC04D"/>
    <w:rsid w:val="5EBD2284"/>
    <w:rsid w:val="5ED339AD"/>
    <w:rsid w:val="5ED80443"/>
    <w:rsid w:val="5EE52157"/>
    <w:rsid w:val="5EEBA6E1"/>
    <w:rsid w:val="5EEC01B7"/>
    <w:rsid w:val="5EFF018F"/>
    <w:rsid w:val="5F0D98AA"/>
    <w:rsid w:val="5F104F75"/>
    <w:rsid w:val="5F5D0FD4"/>
    <w:rsid w:val="5F5ED62E"/>
    <w:rsid w:val="5F5F74A2"/>
    <w:rsid w:val="5F7A1624"/>
    <w:rsid w:val="5F7B2365"/>
    <w:rsid w:val="5F7BBD02"/>
    <w:rsid w:val="5F7BF379"/>
    <w:rsid w:val="5F8C5128"/>
    <w:rsid w:val="5F9F09D1"/>
    <w:rsid w:val="5F9FCD85"/>
    <w:rsid w:val="5FBC781F"/>
    <w:rsid w:val="5FBCA8A4"/>
    <w:rsid w:val="5FBF3848"/>
    <w:rsid w:val="5FDE53D0"/>
    <w:rsid w:val="5FEAFDB2"/>
    <w:rsid w:val="5FF00CA0"/>
    <w:rsid w:val="5FF79E46"/>
    <w:rsid w:val="5FFAF8DA"/>
    <w:rsid w:val="5FFDC97E"/>
    <w:rsid w:val="5FFE18F7"/>
    <w:rsid w:val="5FFF1B76"/>
    <w:rsid w:val="5FFF30E5"/>
    <w:rsid w:val="5FFF96BF"/>
    <w:rsid w:val="60857BD4"/>
    <w:rsid w:val="608852E4"/>
    <w:rsid w:val="609F4FCE"/>
    <w:rsid w:val="617F2168"/>
    <w:rsid w:val="6250371C"/>
    <w:rsid w:val="62820508"/>
    <w:rsid w:val="62FFCAF8"/>
    <w:rsid w:val="635A5A62"/>
    <w:rsid w:val="63F5A7A3"/>
    <w:rsid w:val="648E21CB"/>
    <w:rsid w:val="64FB5917"/>
    <w:rsid w:val="651A3995"/>
    <w:rsid w:val="654F68F1"/>
    <w:rsid w:val="6551480A"/>
    <w:rsid w:val="657B7007"/>
    <w:rsid w:val="65DC91EC"/>
    <w:rsid w:val="66987806"/>
    <w:rsid w:val="66EF52FA"/>
    <w:rsid w:val="66FF2DF5"/>
    <w:rsid w:val="67753DD6"/>
    <w:rsid w:val="67DF497F"/>
    <w:rsid w:val="67F3F938"/>
    <w:rsid w:val="67F400DA"/>
    <w:rsid w:val="67FBD7F4"/>
    <w:rsid w:val="67FDC56A"/>
    <w:rsid w:val="695980D7"/>
    <w:rsid w:val="695D1163"/>
    <w:rsid w:val="696F25BF"/>
    <w:rsid w:val="697E7EE6"/>
    <w:rsid w:val="69BF63ED"/>
    <w:rsid w:val="69E7BF6F"/>
    <w:rsid w:val="69F5117D"/>
    <w:rsid w:val="6A927E4E"/>
    <w:rsid w:val="6B36B2FA"/>
    <w:rsid w:val="6B4F84FC"/>
    <w:rsid w:val="6B6E58D6"/>
    <w:rsid w:val="6B9FA325"/>
    <w:rsid w:val="6BA8E8D2"/>
    <w:rsid w:val="6BAD7EC0"/>
    <w:rsid w:val="6BBC49D7"/>
    <w:rsid w:val="6BC16BAD"/>
    <w:rsid w:val="6BEA3CBA"/>
    <w:rsid w:val="6BF371D3"/>
    <w:rsid w:val="6BF6412B"/>
    <w:rsid w:val="6BF73A9D"/>
    <w:rsid w:val="6BFD82C8"/>
    <w:rsid w:val="6BFF1CBE"/>
    <w:rsid w:val="6CB30E13"/>
    <w:rsid w:val="6CBF3711"/>
    <w:rsid w:val="6CCFB1D6"/>
    <w:rsid w:val="6D4F564F"/>
    <w:rsid w:val="6D6281C7"/>
    <w:rsid w:val="6D7DE3CD"/>
    <w:rsid w:val="6D845638"/>
    <w:rsid w:val="6DCEF2B5"/>
    <w:rsid w:val="6DDF7621"/>
    <w:rsid w:val="6DFE40AF"/>
    <w:rsid w:val="6E740CE4"/>
    <w:rsid w:val="6E7B9E2B"/>
    <w:rsid w:val="6E7FEEEC"/>
    <w:rsid w:val="6EBFEBEC"/>
    <w:rsid w:val="6ED8EBCD"/>
    <w:rsid w:val="6EE91ECE"/>
    <w:rsid w:val="6EEB6121"/>
    <w:rsid w:val="6EEF18AD"/>
    <w:rsid w:val="6EFF7088"/>
    <w:rsid w:val="6EFF8667"/>
    <w:rsid w:val="6F194AA3"/>
    <w:rsid w:val="6F3BA56A"/>
    <w:rsid w:val="6F3FC5CA"/>
    <w:rsid w:val="6F5F0E07"/>
    <w:rsid w:val="6F6B62CB"/>
    <w:rsid w:val="6F6BBC4F"/>
    <w:rsid w:val="6F7B0084"/>
    <w:rsid w:val="6F7EC3CD"/>
    <w:rsid w:val="6F871437"/>
    <w:rsid w:val="6F97D26F"/>
    <w:rsid w:val="6F97F423"/>
    <w:rsid w:val="6FAF2817"/>
    <w:rsid w:val="6FBBE8BE"/>
    <w:rsid w:val="6FD799B2"/>
    <w:rsid w:val="6FDA1555"/>
    <w:rsid w:val="6FDF1DEB"/>
    <w:rsid w:val="6FE953FB"/>
    <w:rsid w:val="6FE957FD"/>
    <w:rsid w:val="6FEB13A5"/>
    <w:rsid w:val="6FEECB7F"/>
    <w:rsid w:val="6FEF1CEC"/>
    <w:rsid w:val="6FFF71AA"/>
    <w:rsid w:val="708567A9"/>
    <w:rsid w:val="71214141"/>
    <w:rsid w:val="71B13F10"/>
    <w:rsid w:val="71BBEE40"/>
    <w:rsid w:val="72606965"/>
    <w:rsid w:val="733B24F2"/>
    <w:rsid w:val="7356F11B"/>
    <w:rsid w:val="737F7860"/>
    <w:rsid w:val="73B18EC1"/>
    <w:rsid w:val="73C323FA"/>
    <w:rsid w:val="73C65187"/>
    <w:rsid w:val="73C82B32"/>
    <w:rsid w:val="73DCDE1C"/>
    <w:rsid w:val="73EF4645"/>
    <w:rsid w:val="73F778BF"/>
    <w:rsid w:val="73FEB48E"/>
    <w:rsid w:val="749B1616"/>
    <w:rsid w:val="74AD4DA6"/>
    <w:rsid w:val="756BEF95"/>
    <w:rsid w:val="756FE471"/>
    <w:rsid w:val="7577BCF8"/>
    <w:rsid w:val="75AB9092"/>
    <w:rsid w:val="75D55782"/>
    <w:rsid w:val="75EF3FF1"/>
    <w:rsid w:val="75EFCE25"/>
    <w:rsid w:val="75F1716D"/>
    <w:rsid w:val="75F51EA3"/>
    <w:rsid w:val="75FD3E32"/>
    <w:rsid w:val="75FD41BB"/>
    <w:rsid w:val="75FF1652"/>
    <w:rsid w:val="764BECD6"/>
    <w:rsid w:val="766FA8FC"/>
    <w:rsid w:val="76A57F4B"/>
    <w:rsid w:val="76AFF58F"/>
    <w:rsid w:val="76BD1B79"/>
    <w:rsid w:val="76BFDDE7"/>
    <w:rsid w:val="76BFFFD4"/>
    <w:rsid w:val="76CEED79"/>
    <w:rsid w:val="772B05D5"/>
    <w:rsid w:val="774F7DE5"/>
    <w:rsid w:val="775E3763"/>
    <w:rsid w:val="77767A98"/>
    <w:rsid w:val="777F5912"/>
    <w:rsid w:val="779F1F8B"/>
    <w:rsid w:val="77B7158E"/>
    <w:rsid w:val="77BF6ADC"/>
    <w:rsid w:val="77BF9B49"/>
    <w:rsid w:val="77CFE2DE"/>
    <w:rsid w:val="77E532C9"/>
    <w:rsid w:val="77E63998"/>
    <w:rsid w:val="77F178DB"/>
    <w:rsid w:val="77F5E146"/>
    <w:rsid w:val="77FD7EE9"/>
    <w:rsid w:val="77FFECED"/>
    <w:rsid w:val="783F2C83"/>
    <w:rsid w:val="785506C7"/>
    <w:rsid w:val="786A7C6C"/>
    <w:rsid w:val="78BFD59B"/>
    <w:rsid w:val="78DC6615"/>
    <w:rsid w:val="78EFE69E"/>
    <w:rsid w:val="790C20A8"/>
    <w:rsid w:val="797F8EB4"/>
    <w:rsid w:val="798B96ED"/>
    <w:rsid w:val="798F8E63"/>
    <w:rsid w:val="79C50246"/>
    <w:rsid w:val="79DF659F"/>
    <w:rsid w:val="79EBC7AE"/>
    <w:rsid w:val="79EEBDE5"/>
    <w:rsid w:val="79F74F36"/>
    <w:rsid w:val="79F76C00"/>
    <w:rsid w:val="79FDEA98"/>
    <w:rsid w:val="7A3C3CE9"/>
    <w:rsid w:val="7A4A3C98"/>
    <w:rsid w:val="7A6F2CF9"/>
    <w:rsid w:val="7ACE9A52"/>
    <w:rsid w:val="7AF6AB1F"/>
    <w:rsid w:val="7AF94529"/>
    <w:rsid w:val="7AFF0B24"/>
    <w:rsid w:val="7B276AEA"/>
    <w:rsid w:val="7B51019C"/>
    <w:rsid w:val="7B6F4301"/>
    <w:rsid w:val="7B7DB13E"/>
    <w:rsid w:val="7BB72D35"/>
    <w:rsid w:val="7BBB652F"/>
    <w:rsid w:val="7BCBB653"/>
    <w:rsid w:val="7BCF7B8F"/>
    <w:rsid w:val="7BD30D16"/>
    <w:rsid w:val="7BD754C0"/>
    <w:rsid w:val="7BDBC5A1"/>
    <w:rsid w:val="7BDFB330"/>
    <w:rsid w:val="7BDFB8B4"/>
    <w:rsid w:val="7BE3431A"/>
    <w:rsid w:val="7BEBA4A9"/>
    <w:rsid w:val="7BEFC71F"/>
    <w:rsid w:val="7BF8DCC4"/>
    <w:rsid w:val="7BF9A3AC"/>
    <w:rsid w:val="7BFB9296"/>
    <w:rsid w:val="7BFD1632"/>
    <w:rsid w:val="7BFE0821"/>
    <w:rsid w:val="7BFE22A1"/>
    <w:rsid w:val="7BFED37F"/>
    <w:rsid w:val="7BFF1B9A"/>
    <w:rsid w:val="7BFF37D6"/>
    <w:rsid w:val="7C6F6032"/>
    <w:rsid w:val="7C775EE0"/>
    <w:rsid w:val="7C8812CD"/>
    <w:rsid w:val="7CDB4053"/>
    <w:rsid w:val="7CF89A1A"/>
    <w:rsid w:val="7CFED70E"/>
    <w:rsid w:val="7CFF4834"/>
    <w:rsid w:val="7CFF7224"/>
    <w:rsid w:val="7D3E5A64"/>
    <w:rsid w:val="7D5FE1D6"/>
    <w:rsid w:val="7D7B13AE"/>
    <w:rsid w:val="7D7EF2C0"/>
    <w:rsid w:val="7D82607A"/>
    <w:rsid w:val="7D8F4A33"/>
    <w:rsid w:val="7DAD89B7"/>
    <w:rsid w:val="7DAE6D1D"/>
    <w:rsid w:val="7DAFB848"/>
    <w:rsid w:val="7DB29E0F"/>
    <w:rsid w:val="7DBEF224"/>
    <w:rsid w:val="7DCE3D46"/>
    <w:rsid w:val="7DDB0EE7"/>
    <w:rsid w:val="7DDD30AF"/>
    <w:rsid w:val="7DDDC0F9"/>
    <w:rsid w:val="7DDEC94D"/>
    <w:rsid w:val="7DDF8BA4"/>
    <w:rsid w:val="7DE781D3"/>
    <w:rsid w:val="7DF69B71"/>
    <w:rsid w:val="7DFB3791"/>
    <w:rsid w:val="7DFB3A0F"/>
    <w:rsid w:val="7DFC48F3"/>
    <w:rsid w:val="7DFD8AAA"/>
    <w:rsid w:val="7DFDEB36"/>
    <w:rsid w:val="7DFE4AF8"/>
    <w:rsid w:val="7DFF0AB2"/>
    <w:rsid w:val="7DFFBE72"/>
    <w:rsid w:val="7E167116"/>
    <w:rsid w:val="7E1758C8"/>
    <w:rsid w:val="7E514A25"/>
    <w:rsid w:val="7E5EE523"/>
    <w:rsid w:val="7E77A8C6"/>
    <w:rsid w:val="7E7915E2"/>
    <w:rsid w:val="7E7E38CC"/>
    <w:rsid w:val="7E89FE94"/>
    <w:rsid w:val="7E9E2EF6"/>
    <w:rsid w:val="7EA79834"/>
    <w:rsid w:val="7EAFBA24"/>
    <w:rsid w:val="7EC728C8"/>
    <w:rsid w:val="7EDB4F59"/>
    <w:rsid w:val="7EDD2715"/>
    <w:rsid w:val="7EDF04FD"/>
    <w:rsid w:val="7EDFE070"/>
    <w:rsid w:val="7EF70958"/>
    <w:rsid w:val="7EFD1448"/>
    <w:rsid w:val="7EFE7058"/>
    <w:rsid w:val="7EFEB18D"/>
    <w:rsid w:val="7EFF1791"/>
    <w:rsid w:val="7F0FBA4D"/>
    <w:rsid w:val="7F1A5438"/>
    <w:rsid w:val="7F1B47A5"/>
    <w:rsid w:val="7F374C01"/>
    <w:rsid w:val="7F3D4AFE"/>
    <w:rsid w:val="7F49520D"/>
    <w:rsid w:val="7F4F2921"/>
    <w:rsid w:val="7F67E7D8"/>
    <w:rsid w:val="7F6B8A13"/>
    <w:rsid w:val="7F6F7631"/>
    <w:rsid w:val="7F77F04B"/>
    <w:rsid w:val="7F7E1DD1"/>
    <w:rsid w:val="7F7F1751"/>
    <w:rsid w:val="7F7F3592"/>
    <w:rsid w:val="7F7F8E1C"/>
    <w:rsid w:val="7F7FADD8"/>
    <w:rsid w:val="7F8C4F7D"/>
    <w:rsid w:val="7F8E21B7"/>
    <w:rsid w:val="7F8F3CE2"/>
    <w:rsid w:val="7F9FD754"/>
    <w:rsid w:val="7FA7A851"/>
    <w:rsid w:val="7FB2DEB3"/>
    <w:rsid w:val="7FB7A4BF"/>
    <w:rsid w:val="7FB9240D"/>
    <w:rsid w:val="7FBD1726"/>
    <w:rsid w:val="7FBE093F"/>
    <w:rsid w:val="7FBEB0EA"/>
    <w:rsid w:val="7FBF1040"/>
    <w:rsid w:val="7FBFC5B4"/>
    <w:rsid w:val="7FCD41FE"/>
    <w:rsid w:val="7FD6027A"/>
    <w:rsid w:val="7FD88EEA"/>
    <w:rsid w:val="7FDBB4B6"/>
    <w:rsid w:val="7FDF1A29"/>
    <w:rsid w:val="7FDF8266"/>
    <w:rsid w:val="7FDFB3D8"/>
    <w:rsid w:val="7FDFC3D5"/>
    <w:rsid w:val="7FDFCC30"/>
    <w:rsid w:val="7FE29E89"/>
    <w:rsid w:val="7FE54ECB"/>
    <w:rsid w:val="7FE641B3"/>
    <w:rsid w:val="7FEBE19B"/>
    <w:rsid w:val="7FEF143A"/>
    <w:rsid w:val="7FF229F0"/>
    <w:rsid w:val="7FF5B6B1"/>
    <w:rsid w:val="7FF754B5"/>
    <w:rsid w:val="7FF7F3DF"/>
    <w:rsid w:val="7FF7F443"/>
    <w:rsid w:val="7FFA3754"/>
    <w:rsid w:val="7FFB55EC"/>
    <w:rsid w:val="7FFD9D6E"/>
    <w:rsid w:val="7FFDDC47"/>
    <w:rsid w:val="7FFF6FCE"/>
    <w:rsid w:val="7FFF8F96"/>
    <w:rsid w:val="7FFFF55B"/>
    <w:rsid w:val="81DA4A67"/>
    <w:rsid w:val="87F97FCC"/>
    <w:rsid w:val="8FE156E9"/>
    <w:rsid w:val="9237CE44"/>
    <w:rsid w:val="93F24068"/>
    <w:rsid w:val="95F76733"/>
    <w:rsid w:val="9B6D11C9"/>
    <w:rsid w:val="9BFF52AA"/>
    <w:rsid w:val="9D552F51"/>
    <w:rsid w:val="9E3FC54A"/>
    <w:rsid w:val="9EBB05A7"/>
    <w:rsid w:val="9EFDA3FF"/>
    <w:rsid w:val="9F3D7E2C"/>
    <w:rsid w:val="9F4E80ED"/>
    <w:rsid w:val="9F6BF52F"/>
    <w:rsid w:val="9FAF7DBE"/>
    <w:rsid w:val="9FBBC5AD"/>
    <w:rsid w:val="9FEE9489"/>
    <w:rsid w:val="9FF37BC2"/>
    <w:rsid w:val="9FF79E86"/>
    <w:rsid w:val="A396F440"/>
    <w:rsid w:val="A3ABAF94"/>
    <w:rsid w:val="A67B43FA"/>
    <w:rsid w:val="A6FDAD75"/>
    <w:rsid w:val="A78F4A8D"/>
    <w:rsid w:val="A7DF6C52"/>
    <w:rsid w:val="AAF9A3D7"/>
    <w:rsid w:val="AB1ECEE9"/>
    <w:rsid w:val="ABBF6BAB"/>
    <w:rsid w:val="ABEC89B1"/>
    <w:rsid w:val="ABFE0FF7"/>
    <w:rsid w:val="ACE13CD6"/>
    <w:rsid w:val="ACFFD472"/>
    <w:rsid w:val="AD9F6917"/>
    <w:rsid w:val="ADB75B17"/>
    <w:rsid w:val="ADDFC7BD"/>
    <w:rsid w:val="ADFACFA8"/>
    <w:rsid w:val="ADFEA540"/>
    <w:rsid w:val="AE5E7A59"/>
    <w:rsid w:val="AEAFDC68"/>
    <w:rsid w:val="AFC7B411"/>
    <w:rsid w:val="AFFE753F"/>
    <w:rsid w:val="B0DBB700"/>
    <w:rsid w:val="B23E3630"/>
    <w:rsid w:val="B2BD809C"/>
    <w:rsid w:val="B393FBC4"/>
    <w:rsid w:val="B3FE3146"/>
    <w:rsid w:val="B47F4E31"/>
    <w:rsid w:val="B5BF5A02"/>
    <w:rsid w:val="B5C16C09"/>
    <w:rsid w:val="B6BDC644"/>
    <w:rsid w:val="B772BA21"/>
    <w:rsid w:val="B7779E87"/>
    <w:rsid w:val="B7BF2628"/>
    <w:rsid w:val="B7D69899"/>
    <w:rsid w:val="B7DE5F20"/>
    <w:rsid w:val="B7F469A8"/>
    <w:rsid w:val="B8FE141E"/>
    <w:rsid w:val="B93EAAB7"/>
    <w:rsid w:val="B98B1314"/>
    <w:rsid w:val="B9B35E89"/>
    <w:rsid w:val="B9CBC798"/>
    <w:rsid w:val="B9CFC6C5"/>
    <w:rsid w:val="B9F7D3E0"/>
    <w:rsid w:val="BA951829"/>
    <w:rsid w:val="BAFF210D"/>
    <w:rsid w:val="BB3E20F6"/>
    <w:rsid w:val="BB3F0D03"/>
    <w:rsid w:val="BB4E93BB"/>
    <w:rsid w:val="BB9FD6F1"/>
    <w:rsid w:val="BBBD6EA3"/>
    <w:rsid w:val="BBCE9EB4"/>
    <w:rsid w:val="BBDDB4A7"/>
    <w:rsid w:val="BBED8DED"/>
    <w:rsid w:val="BBEFAB56"/>
    <w:rsid w:val="BBF642F3"/>
    <w:rsid w:val="BCF61D2E"/>
    <w:rsid w:val="BCFB1B52"/>
    <w:rsid w:val="BCFF72F8"/>
    <w:rsid w:val="BD5FB8B2"/>
    <w:rsid w:val="BD773E5B"/>
    <w:rsid w:val="BD7E3694"/>
    <w:rsid w:val="BD8F6A1E"/>
    <w:rsid w:val="BDBFF83E"/>
    <w:rsid w:val="BDCFB3CF"/>
    <w:rsid w:val="BDDCCFFB"/>
    <w:rsid w:val="BDFF2D54"/>
    <w:rsid w:val="BEEC028B"/>
    <w:rsid w:val="BEF54584"/>
    <w:rsid w:val="BEFFB048"/>
    <w:rsid w:val="BF4B35D6"/>
    <w:rsid w:val="BF6891ED"/>
    <w:rsid w:val="BF6C1637"/>
    <w:rsid w:val="BF6D3D86"/>
    <w:rsid w:val="BF7C6250"/>
    <w:rsid w:val="BF7D89FD"/>
    <w:rsid w:val="BF7ECB0D"/>
    <w:rsid w:val="BF9D4E67"/>
    <w:rsid w:val="BF9F9945"/>
    <w:rsid w:val="BFAFC409"/>
    <w:rsid w:val="BFBDD7D4"/>
    <w:rsid w:val="BFCF0B2A"/>
    <w:rsid w:val="BFDB8368"/>
    <w:rsid w:val="BFDF5170"/>
    <w:rsid w:val="BFEF13F9"/>
    <w:rsid w:val="BFEF5305"/>
    <w:rsid w:val="BFF3229C"/>
    <w:rsid w:val="BFF69EE4"/>
    <w:rsid w:val="BFFF0F03"/>
    <w:rsid w:val="BFFF1E12"/>
    <w:rsid w:val="BFFF4329"/>
    <w:rsid w:val="BFFF8208"/>
    <w:rsid w:val="C1F70060"/>
    <w:rsid w:val="C3A91159"/>
    <w:rsid w:val="C7DF1102"/>
    <w:rsid w:val="C7F7A54C"/>
    <w:rsid w:val="C7FF84D9"/>
    <w:rsid w:val="C8F84945"/>
    <w:rsid w:val="CB6F6056"/>
    <w:rsid w:val="CBCFAF00"/>
    <w:rsid w:val="CBD1066A"/>
    <w:rsid w:val="CBD91440"/>
    <w:rsid w:val="CBE70174"/>
    <w:rsid w:val="CDBEE5C3"/>
    <w:rsid w:val="CDFF07ED"/>
    <w:rsid w:val="CEFAD2B9"/>
    <w:rsid w:val="CEFEA0BE"/>
    <w:rsid w:val="CEFF1D1C"/>
    <w:rsid w:val="CF367CF0"/>
    <w:rsid w:val="CF7FB12E"/>
    <w:rsid w:val="CFBBFC2D"/>
    <w:rsid w:val="CFEBF825"/>
    <w:rsid w:val="CFEE4D4F"/>
    <w:rsid w:val="D0DFE749"/>
    <w:rsid w:val="D0EF91F7"/>
    <w:rsid w:val="D337270C"/>
    <w:rsid w:val="D3F6B5E2"/>
    <w:rsid w:val="D56F30D2"/>
    <w:rsid w:val="D5992815"/>
    <w:rsid w:val="D6957B84"/>
    <w:rsid w:val="D6F7FA31"/>
    <w:rsid w:val="D6FA8B42"/>
    <w:rsid w:val="D6FFFA0F"/>
    <w:rsid w:val="D76F5FD9"/>
    <w:rsid w:val="D776C32D"/>
    <w:rsid w:val="D77A35D9"/>
    <w:rsid w:val="D7BB10D0"/>
    <w:rsid w:val="D7CF5CDB"/>
    <w:rsid w:val="D7DBA622"/>
    <w:rsid w:val="D7F5EB87"/>
    <w:rsid w:val="D7F72752"/>
    <w:rsid w:val="D7F7EAC5"/>
    <w:rsid w:val="D7FCAA4A"/>
    <w:rsid w:val="D87E40EF"/>
    <w:rsid w:val="D9AF366B"/>
    <w:rsid w:val="DA1CB024"/>
    <w:rsid w:val="DB372D38"/>
    <w:rsid w:val="DB6F9F69"/>
    <w:rsid w:val="DBCD5064"/>
    <w:rsid w:val="DBD78825"/>
    <w:rsid w:val="DBE50D7E"/>
    <w:rsid w:val="DBE61C9E"/>
    <w:rsid w:val="DBED8900"/>
    <w:rsid w:val="DBFFCA01"/>
    <w:rsid w:val="DC9F3ADF"/>
    <w:rsid w:val="DCDFC0DF"/>
    <w:rsid w:val="DCE6491D"/>
    <w:rsid w:val="DCFDF627"/>
    <w:rsid w:val="DD465D2C"/>
    <w:rsid w:val="DDDB4CE6"/>
    <w:rsid w:val="DDDDE942"/>
    <w:rsid w:val="DDFBC78F"/>
    <w:rsid w:val="DDFF7831"/>
    <w:rsid w:val="DED9C7BB"/>
    <w:rsid w:val="DEDB2001"/>
    <w:rsid w:val="DEEAA02E"/>
    <w:rsid w:val="DEF4D0FF"/>
    <w:rsid w:val="DFB3985D"/>
    <w:rsid w:val="DFBF13FC"/>
    <w:rsid w:val="DFBF1BCD"/>
    <w:rsid w:val="DFDB0F71"/>
    <w:rsid w:val="DFEF9F22"/>
    <w:rsid w:val="DFEFD051"/>
    <w:rsid w:val="DFF5B38C"/>
    <w:rsid w:val="DFFB9240"/>
    <w:rsid w:val="DFFE276E"/>
    <w:rsid w:val="DFFFFBBD"/>
    <w:rsid w:val="E2AD4BEF"/>
    <w:rsid w:val="E3DB9474"/>
    <w:rsid w:val="E3FF4AAF"/>
    <w:rsid w:val="E44FD1B8"/>
    <w:rsid w:val="E45F6946"/>
    <w:rsid w:val="E5DFEAF3"/>
    <w:rsid w:val="E5FDD640"/>
    <w:rsid w:val="E6FA6D68"/>
    <w:rsid w:val="E73B0278"/>
    <w:rsid w:val="E76C8042"/>
    <w:rsid w:val="E7E710FC"/>
    <w:rsid w:val="E7E7A3F3"/>
    <w:rsid w:val="E7F70FB6"/>
    <w:rsid w:val="E7FEEF29"/>
    <w:rsid w:val="E9F316B9"/>
    <w:rsid w:val="EA5BE8AF"/>
    <w:rsid w:val="EAC11183"/>
    <w:rsid w:val="EB7BE6E2"/>
    <w:rsid w:val="EBB7D7D1"/>
    <w:rsid w:val="EBBB0F58"/>
    <w:rsid w:val="EBBF8667"/>
    <w:rsid w:val="EBFB1CE0"/>
    <w:rsid w:val="EBFEA5E0"/>
    <w:rsid w:val="EBFFEF54"/>
    <w:rsid w:val="ECF70372"/>
    <w:rsid w:val="ED675AD7"/>
    <w:rsid w:val="EDDDD6DD"/>
    <w:rsid w:val="EDFDC2EE"/>
    <w:rsid w:val="EE1DD5AB"/>
    <w:rsid w:val="EE78B887"/>
    <w:rsid w:val="EF076E6C"/>
    <w:rsid w:val="EF57312D"/>
    <w:rsid w:val="EF57E6AA"/>
    <w:rsid w:val="EF89FF57"/>
    <w:rsid w:val="EF9F5D0A"/>
    <w:rsid w:val="EFB005E7"/>
    <w:rsid w:val="EFC77098"/>
    <w:rsid w:val="EFD73937"/>
    <w:rsid w:val="EFDC65D7"/>
    <w:rsid w:val="EFDF7DE1"/>
    <w:rsid w:val="EFEF372F"/>
    <w:rsid w:val="EFF3BC94"/>
    <w:rsid w:val="EFF598DF"/>
    <w:rsid w:val="EFF7044C"/>
    <w:rsid w:val="EFFFC765"/>
    <w:rsid w:val="F0EEC1B0"/>
    <w:rsid w:val="F0F90CF8"/>
    <w:rsid w:val="F1FF5A03"/>
    <w:rsid w:val="F2238610"/>
    <w:rsid w:val="F2C7646D"/>
    <w:rsid w:val="F33F5192"/>
    <w:rsid w:val="F35D6C67"/>
    <w:rsid w:val="F37BD35D"/>
    <w:rsid w:val="F3B38389"/>
    <w:rsid w:val="F3DCB456"/>
    <w:rsid w:val="F3FE079D"/>
    <w:rsid w:val="F3FF4AB4"/>
    <w:rsid w:val="F45B304B"/>
    <w:rsid w:val="F47E9B12"/>
    <w:rsid w:val="F4B95DA1"/>
    <w:rsid w:val="F4FD2BC0"/>
    <w:rsid w:val="F4FD8D7E"/>
    <w:rsid w:val="F55DBE22"/>
    <w:rsid w:val="F5BEF69F"/>
    <w:rsid w:val="F5BFB619"/>
    <w:rsid w:val="F5D373CB"/>
    <w:rsid w:val="F5DF858F"/>
    <w:rsid w:val="F5EA0F1B"/>
    <w:rsid w:val="F5F18F5C"/>
    <w:rsid w:val="F5F618E5"/>
    <w:rsid w:val="F60DAA5E"/>
    <w:rsid w:val="F67FE0F7"/>
    <w:rsid w:val="F6AF26BA"/>
    <w:rsid w:val="F6B77D3C"/>
    <w:rsid w:val="F6F308D5"/>
    <w:rsid w:val="F6F7DA03"/>
    <w:rsid w:val="F6FBA65A"/>
    <w:rsid w:val="F6FD0CBF"/>
    <w:rsid w:val="F6FF4FEB"/>
    <w:rsid w:val="F6FF55DF"/>
    <w:rsid w:val="F6FF5C53"/>
    <w:rsid w:val="F75CE852"/>
    <w:rsid w:val="F75D2CF5"/>
    <w:rsid w:val="F75F67F5"/>
    <w:rsid w:val="F77EDFF4"/>
    <w:rsid w:val="F7A35FE3"/>
    <w:rsid w:val="F7D93843"/>
    <w:rsid w:val="F7DA5D31"/>
    <w:rsid w:val="F7E5FCC9"/>
    <w:rsid w:val="F7E82F6D"/>
    <w:rsid w:val="F7EC6657"/>
    <w:rsid w:val="F7EC79C8"/>
    <w:rsid w:val="F7F65DD6"/>
    <w:rsid w:val="F7FAEED1"/>
    <w:rsid w:val="F7FD348E"/>
    <w:rsid w:val="F7FF3AD2"/>
    <w:rsid w:val="F86381A3"/>
    <w:rsid w:val="F8FC58AB"/>
    <w:rsid w:val="F94FAAA2"/>
    <w:rsid w:val="F99DE431"/>
    <w:rsid w:val="F9B2FF3E"/>
    <w:rsid w:val="F9D456CA"/>
    <w:rsid w:val="F9EC8682"/>
    <w:rsid w:val="F9F56FFD"/>
    <w:rsid w:val="FA73B9A7"/>
    <w:rsid w:val="FAA97F0A"/>
    <w:rsid w:val="FAF72112"/>
    <w:rsid w:val="FAFE5A2D"/>
    <w:rsid w:val="FB0DB3E3"/>
    <w:rsid w:val="FB7358E8"/>
    <w:rsid w:val="FB77AF48"/>
    <w:rsid w:val="FB7E87EF"/>
    <w:rsid w:val="FB992B41"/>
    <w:rsid w:val="FB9CEA95"/>
    <w:rsid w:val="FBBB7749"/>
    <w:rsid w:val="FBC3CA95"/>
    <w:rsid w:val="FBCD6E4D"/>
    <w:rsid w:val="FBD709E6"/>
    <w:rsid w:val="FBDD9326"/>
    <w:rsid w:val="FBDF2EE8"/>
    <w:rsid w:val="FBDF74C4"/>
    <w:rsid w:val="FBEDD4A6"/>
    <w:rsid w:val="FBEE64E9"/>
    <w:rsid w:val="FBEF8B55"/>
    <w:rsid w:val="FBFCB574"/>
    <w:rsid w:val="FBFD5892"/>
    <w:rsid w:val="FBFE19DA"/>
    <w:rsid w:val="FBFE335D"/>
    <w:rsid w:val="FBFF84A0"/>
    <w:rsid w:val="FC5F80FB"/>
    <w:rsid w:val="FC727123"/>
    <w:rsid w:val="FC9D9EFF"/>
    <w:rsid w:val="FCAA951F"/>
    <w:rsid w:val="FCE7827F"/>
    <w:rsid w:val="FCE96DCA"/>
    <w:rsid w:val="FCEAE3F6"/>
    <w:rsid w:val="FCF7B208"/>
    <w:rsid w:val="FCFC3F40"/>
    <w:rsid w:val="FCFE01AE"/>
    <w:rsid w:val="FCFF2177"/>
    <w:rsid w:val="FD2A5E42"/>
    <w:rsid w:val="FD367D7A"/>
    <w:rsid w:val="FD3C80AA"/>
    <w:rsid w:val="FD3F6FC6"/>
    <w:rsid w:val="FD3FCF72"/>
    <w:rsid w:val="FD5FFEAE"/>
    <w:rsid w:val="FD6E25DD"/>
    <w:rsid w:val="FD6F3756"/>
    <w:rsid w:val="FD7BA4BD"/>
    <w:rsid w:val="FD955AB9"/>
    <w:rsid w:val="FD9E0E06"/>
    <w:rsid w:val="FD9F18D6"/>
    <w:rsid w:val="FDAE4685"/>
    <w:rsid w:val="FDAED346"/>
    <w:rsid w:val="FDB85AD1"/>
    <w:rsid w:val="FDBE29C5"/>
    <w:rsid w:val="FDD71F75"/>
    <w:rsid w:val="FDE54AA8"/>
    <w:rsid w:val="FDE5BC4E"/>
    <w:rsid w:val="FDED08BF"/>
    <w:rsid w:val="FDED3BFC"/>
    <w:rsid w:val="FDF792D5"/>
    <w:rsid w:val="FDFD0818"/>
    <w:rsid w:val="FDFF7BE5"/>
    <w:rsid w:val="FE351C32"/>
    <w:rsid w:val="FE3B1D78"/>
    <w:rsid w:val="FE7D2F59"/>
    <w:rsid w:val="FE9D4D98"/>
    <w:rsid w:val="FE9F7DF9"/>
    <w:rsid w:val="FE9FA88E"/>
    <w:rsid w:val="FEB7F6FE"/>
    <w:rsid w:val="FEBD20EB"/>
    <w:rsid w:val="FEBDED56"/>
    <w:rsid w:val="FEBE2D9B"/>
    <w:rsid w:val="FEBF74E7"/>
    <w:rsid w:val="FEBFE5A6"/>
    <w:rsid w:val="FEDC3D7B"/>
    <w:rsid w:val="FEDDB732"/>
    <w:rsid w:val="FEDF987C"/>
    <w:rsid w:val="FEEF62E3"/>
    <w:rsid w:val="FEF702AB"/>
    <w:rsid w:val="FEFB1BAE"/>
    <w:rsid w:val="FEFB93EB"/>
    <w:rsid w:val="FEFBDAAB"/>
    <w:rsid w:val="FEFDE911"/>
    <w:rsid w:val="FEFE917C"/>
    <w:rsid w:val="FEFF5309"/>
    <w:rsid w:val="FEFF8370"/>
    <w:rsid w:val="FEFFB680"/>
    <w:rsid w:val="FEFFE40D"/>
    <w:rsid w:val="FF1FB0B9"/>
    <w:rsid w:val="FF2322D3"/>
    <w:rsid w:val="FF3BB33A"/>
    <w:rsid w:val="FF57F4A1"/>
    <w:rsid w:val="FF6B33C7"/>
    <w:rsid w:val="FF6E22B4"/>
    <w:rsid w:val="FF6F54DD"/>
    <w:rsid w:val="FF7B89B4"/>
    <w:rsid w:val="FF7F6E56"/>
    <w:rsid w:val="FF7FE39F"/>
    <w:rsid w:val="FF8D5688"/>
    <w:rsid w:val="FF9A162B"/>
    <w:rsid w:val="FF9DF91C"/>
    <w:rsid w:val="FF9FE245"/>
    <w:rsid w:val="FFAD7F8F"/>
    <w:rsid w:val="FFB5BF0F"/>
    <w:rsid w:val="FFB6710F"/>
    <w:rsid w:val="FFB78FBE"/>
    <w:rsid w:val="FFB7FAC9"/>
    <w:rsid w:val="FFBAD9E5"/>
    <w:rsid w:val="FFBB3DB3"/>
    <w:rsid w:val="FFBD8CE7"/>
    <w:rsid w:val="FFBD93A0"/>
    <w:rsid w:val="FFBF979E"/>
    <w:rsid w:val="FFBFF163"/>
    <w:rsid w:val="FFC6AFAD"/>
    <w:rsid w:val="FFD314F6"/>
    <w:rsid w:val="FFD596A1"/>
    <w:rsid w:val="FFDAB059"/>
    <w:rsid w:val="FFDB5EBC"/>
    <w:rsid w:val="FFDD9D71"/>
    <w:rsid w:val="FFDDEBDE"/>
    <w:rsid w:val="FFDFBB16"/>
    <w:rsid w:val="FFE5C4CF"/>
    <w:rsid w:val="FFE61966"/>
    <w:rsid w:val="FFEB189B"/>
    <w:rsid w:val="FFEB5344"/>
    <w:rsid w:val="FFEBCBE6"/>
    <w:rsid w:val="FFEBD0BD"/>
    <w:rsid w:val="FFECE920"/>
    <w:rsid w:val="FFEDAD29"/>
    <w:rsid w:val="FFEF1B6B"/>
    <w:rsid w:val="FFEF757C"/>
    <w:rsid w:val="FFF3F6CA"/>
    <w:rsid w:val="FFF4DC38"/>
    <w:rsid w:val="FFF79658"/>
    <w:rsid w:val="FFF7A498"/>
    <w:rsid w:val="FFF912F7"/>
    <w:rsid w:val="FFFB064F"/>
    <w:rsid w:val="FFFBD8C9"/>
    <w:rsid w:val="FFFC4F3E"/>
    <w:rsid w:val="FFFC89FA"/>
    <w:rsid w:val="FFFDD69F"/>
    <w:rsid w:val="FFFED9A9"/>
    <w:rsid w:val="FFFEE4ED"/>
    <w:rsid w:val="FFFEEFB2"/>
    <w:rsid w:val="FFFF14C1"/>
    <w:rsid w:val="FFFF4BEE"/>
    <w:rsid w:val="FFFF5F6B"/>
    <w:rsid w:val="FFFFC981"/>
    <w:rsid w:val="FFFFDF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仿宋_GB2312" w:hAnsi="Arial" w:eastAsia="仿宋_GB2312" w:cs="Times New Roman"/>
      <w:sz w:val="32"/>
      <w:szCs w:val="24"/>
      <w:lang w:val="en-US" w:eastAsia="zh-CN" w:bidi="ar-SA"/>
    </w:rPr>
  </w:style>
  <w:style w:type="paragraph" w:styleId="3">
    <w:name w:val="heading 1"/>
    <w:basedOn w:val="1"/>
    <w:next w:val="1"/>
    <w:link w:val="31"/>
    <w:qFormat/>
    <w:uiPriority w:val="0"/>
    <w:pPr>
      <w:keepNext/>
      <w:keepLines/>
      <w:outlineLvl w:val="0"/>
    </w:pPr>
    <w:rPr>
      <w:rFonts w:ascii="黑体" w:hAnsi="等线 Light" w:eastAsia="黑体"/>
      <w:szCs w:val="48"/>
    </w:rPr>
  </w:style>
  <w:style w:type="paragraph" w:styleId="4">
    <w:name w:val="heading 2"/>
    <w:basedOn w:val="1"/>
    <w:next w:val="1"/>
    <w:link w:val="32"/>
    <w:qFormat/>
    <w:uiPriority w:val="9"/>
    <w:pPr>
      <w:keepNext/>
      <w:keepLines/>
      <w:outlineLvl w:val="1"/>
    </w:pPr>
    <w:rPr>
      <w:rFonts w:ascii="楷体_GB2312" w:hAnsi="等线 Light" w:eastAsia="楷体_GB2312"/>
      <w:szCs w:val="40"/>
    </w:rPr>
  </w:style>
  <w:style w:type="paragraph" w:styleId="5">
    <w:name w:val="heading 3"/>
    <w:basedOn w:val="1"/>
    <w:next w:val="1"/>
    <w:link w:val="33"/>
    <w:qFormat/>
    <w:uiPriority w:val="9"/>
    <w:pPr>
      <w:keepNext/>
      <w:keepLines/>
      <w:outlineLvl w:val="2"/>
    </w:pPr>
    <w:rPr>
      <w:rFonts w:hAnsi="等线 Light"/>
      <w:szCs w:val="32"/>
    </w:rPr>
  </w:style>
  <w:style w:type="paragraph" w:styleId="6">
    <w:name w:val="heading 4"/>
    <w:basedOn w:val="1"/>
    <w:next w:val="1"/>
    <w:link w:val="34"/>
    <w:qFormat/>
    <w:uiPriority w:val="9"/>
    <w:pPr>
      <w:keepNext/>
      <w:keepLines/>
      <w:spacing w:before="80" w:after="40"/>
      <w:outlineLvl w:val="3"/>
    </w:pPr>
    <w:rPr>
      <w:color w:val="0F4761"/>
      <w:sz w:val="28"/>
      <w:szCs w:val="28"/>
    </w:rPr>
  </w:style>
  <w:style w:type="paragraph" w:styleId="7">
    <w:name w:val="heading 5"/>
    <w:basedOn w:val="1"/>
    <w:next w:val="1"/>
    <w:link w:val="35"/>
    <w:qFormat/>
    <w:uiPriority w:val="9"/>
    <w:pPr>
      <w:keepNext/>
      <w:keepLines/>
      <w:spacing w:before="80" w:after="40"/>
      <w:outlineLvl w:val="4"/>
    </w:pPr>
    <w:rPr>
      <w:color w:val="0F4761"/>
    </w:rPr>
  </w:style>
  <w:style w:type="paragraph" w:styleId="8">
    <w:name w:val="heading 6"/>
    <w:basedOn w:val="1"/>
    <w:next w:val="1"/>
    <w:link w:val="36"/>
    <w:qFormat/>
    <w:uiPriority w:val="9"/>
    <w:pPr>
      <w:keepNext/>
      <w:keepLines/>
      <w:spacing w:before="40"/>
      <w:outlineLvl w:val="5"/>
    </w:pPr>
    <w:rPr>
      <w:b/>
      <w:bCs/>
      <w:color w:val="0F4761"/>
    </w:rPr>
  </w:style>
  <w:style w:type="paragraph" w:styleId="9">
    <w:name w:val="heading 7"/>
    <w:basedOn w:val="1"/>
    <w:next w:val="1"/>
    <w:link w:val="37"/>
    <w:qFormat/>
    <w:uiPriority w:val="9"/>
    <w:pPr>
      <w:keepNext/>
      <w:keepLines/>
      <w:spacing w:before="40"/>
      <w:outlineLvl w:val="6"/>
    </w:pPr>
    <w:rPr>
      <w:b/>
      <w:bCs/>
      <w:color w:val="595959"/>
    </w:rPr>
  </w:style>
  <w:style w:type="paragraph" w:styleId="10">
    <w:name w:val="heading 8"/>
    <w:basedOn w:val="1"/>
    <w:next w:val="1"/>
    <w:link w:val="38"/>
    <w:qFormat/>
    <w:uiPriority w:val="9"/>
    <w:pPr>
      <w:keepNext/>
      <w:keepLines/>
      <w:outlineLvl w:val="7"/>
    </w:pPr>
    <w:rPr>
      <w:color w:val="595959"/>
    </w:rPr>
  </w:style>
  <w:style w:type="paragraph" w:styleId="11">
    <w:name w:val="heading 9"/>
    <w:basedOn w:val="1"/>
    <w:next w:val="1"/>
    <w:link w:val="39"/>
    <w:qFormat/>
    <w:uiPriority w:val="9"/>
    <w:pPr>
      <w:keepNext/>
      <w:keepLines/>
      <w:outlineLvl w:val="8"/>
    </w:pPr>
    <w:rPr>
      <w:rFonts w:eastAsia="等线 Light"/>
      <w:color w:val="595959"/>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pPr>
  </w:style>
  <w:style w:type="paragraph" w:styleId="12">
    <w:name w:val="caption"/>
    <w:basedOn w:val="1"/>
    <w:next w:val="1"/>
    <w:unhideWhenUsed/>
    <w:qFormat/>
    <w:uiPriority w:val="35"/>
    <w:rPr>
      <w:rFonts w:eastAsia="黑体" w:asciiTheme="majorHAnsi" w:hAnsiTheme="majorHAnsi" w:cstheme="majorBidi"/>
      <w:sz w:val="20"/>
      <w:szCs w:val="20"/>
    </w:rPr>
  </w:style>
  <w:style w:type="paragraph" w:styleId="13">
    <w:name w:val="annotation text"/>
    <w:basedOn w:val="1"/>
    <w:semiHidden/>
    <w:unhideWhenUsed/>
    <w:qFormat/>
    <w:uiPriority w:val="99"/>
    <w:pPr>
      <w:jc w:val="left"/>
    </w:pPr>
  </w:style>
  <w:style w:type="paragraph" w:styleId="14">
    <w:name w:val="Body Text"/>
    <w:basedOn w:val="1"/>
    <w:next w:val="15"/>
    <w:link w:val="40"/>
    <w:qFormat/>
    <w:uiPriority w:val="1"/>
    <w:pPr>
      <w:adjustRightInd w:val="0"/>
      <w:snapToGrid w:val="0"/>
      <w:spacing w:before="50" w:beforeLines="50" w:after="50" w:afterLines="50"/>
      <w:outlineLvl w:val="2"/>
    </w:pPr>
    <w:rPr>
      <w:rFonts w:hAnsi="Times New Roman" w:cs="Arial"/>
      <w:b/>
      <w:color w:val="000000"/>
      <w:kern w:val="2"/>
      <w:szCs w:val="32"/>
    </w:rPr>
  </w:style>
  <w:style w:type="paragraph" w:customStyle="1" w:styleId="15">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6">
    <w:name w:val="toc 3"/>
    <w:basedOn w:val="1"/>
    <w:next w:val="1"/>
    <w:qFormat/>
    <w:uiPriority w:val="39"/>
    <w:pPr>
      <w:suppressAutoHyphens/>
      <w:ind w:left="840" w:leftChars="400"/>
    </w:pPr>
    <w:rPr>
      <w:rFonts w:ascii="Calibri" w:hAnsi="Calibri"/>
      <w:kern w:val="2"/>
      <w:sz w:val="21"/>
      <w:szCs w:val="21"/>
    </w:rPr>
  </w:style>
  <w:style w:type="paragraph" w:styleId="17">
    <w:name w:val="Balloon Text"/>
    <w:basedOn w:val="1"/>
    <w:link w:val="41"/>
    <w:unhideWhenUsed/>
    <w:qFormat/>
    <w:uiPriority w:val="99"/>
    <w:rPr>
      <w:sz w:val="18"/>
      <w:szCs w:val="18"/>
    </w:rPr>
  </w:style>
  <w:style w:type="paragraph" w:styleId="18">
    <w:name w:val="footer"/>
    <w:basedOn w:val="1"/>
    <w:next w:val="1"/>
    <w:link w:val="42"/>
    <w:qFormat/>
    <w:uiPriority w:val="99"/>
    <w:pPr>
      <w:tabs>
        <w:tab w:val="center" w:pos="4153"/>
        <w:tab w:val="right" w:pos="8306"/>
      </w:tabs>
      <w:snapToGrid w:val="0"/>
      <w:jc w:val="left"/>
    </w:pPr>
    <w:rPr>
      <w:sz w:val="18"/>
      <w:szCs w:val="18"/>
    </w:rPr>
  </w:style>
  <w:style w:type="paragraph" w:styleId="19">
    <w:name w:val="header"/>
    <w:basedOn w:val="1"/>
    <w:link w:val="43"/>
    <w:qFormat/>
    <w:uiPriority w:val="99"/>
    <w:pPr>
      <w:tabs>
        <w:tab w:val="center" w:pos="4153"/>
        <w:tab w:val="right" w:pos="8306"/>
      </w:tabs>
      <w:snapToGrid w:val="0"/>
      <w:jc w:val="center"/>
    </w:pPr>
    <w:rPr>
      <w:sz w:val="18"/>
      <w:szCs w:val="18"/>
    </w:rPr>
  </w:style>
  <w:style w:type="paragraph" w:styleId="20">
    <w:name w:val="toc 1"/>
    <w:basedOn w:val="1"/>
    <w:next w:val="1"/>
    <w:qFormat/>
    <w:uiPriority w:val="39"/>
    <w:pPr>
      <w:widowControl/>
      <w:spacing w:after="100" w:line="259" w:lineRule="auto"/>
      <w:jc w:val="left"/>
    </w:pPr>
    <w:rPr>
      <w:rFonts w:ascii="等线" w:hAnsi="等线" w:eastAsia="等线"/>
      <w:sz w:val="22"/>
      <w:szCs w:val="22"/>
    </w:rPr>
  </w:style>
  <w:style w:type="paragraph" w:styleId="21">
    <w:name w:val="Subtitle"/>
    <w:basedOn w:val="1"/>
    <w:next w:val="1"/>
    <w:link w:val="44"/>
    <w:qFormat/>
    <w:uiPriority w:val="11"/>
    <w:pPr>
      <w:jc w:val="center"/>
    </w:pPr>
    <w:rPr>
      <w:rFonts w:ascii="等线 Light" w:hAnsi="等线 Light" w:eastAsia="等线 Light"/>
      <w:color w:val="595959"/>
      <w:spacing w:val="15"/>
      <w:sz w:val="28"/>
      <w:szCs w:val="28"/>
    </w:rPr>
  </w:style>
  <w:style w:type="paragraph" w:styleId="22">
    <w:name w:val="toc 2"/>
    <w:basedOn w:val="1"/>
    <w:next w:val="1"/>
    <w:qFormat/>
    <w:uiPriority w:val="39"/>
    <w:pPr>
      <w:widowControl/>
      <w:spacing w:after="100" w:line="259" w:lineRule="auto"/>
      <w:ind w:left="220"/>
      <w:jc w:val="left"/>
    </w:pPr>
    <w:rPr>
      <w:rFonts w:ascii="等线" w:hAnsi="等线" w:eastAsia="等线"/>
      <w:sz w:val="22"/>
      <w:szCs w:val="22"/>
    </w:rPr>
  </w:style>
  <w:style w:type="paragraph" w:styleId="23">
    <w:name w:val="Normal (Web)"/>
    <w:basedOn w:val="1"/>
    <w:qFormat/>
    <w:uiPriority w:val="99"/>
    <w:pPr>
      <w:widowControl/>
      <w:spacing w:before="100" w:beforeAutospacing="1" w:after="100" w:afterAutospacing="1"/>
      <w:jc w:val="left"/>
    </w:pPr>
    <w:rPr>
      <w:rFonts w:ascii="宋体" w:hAnsi="宋体" w:cs="宋体"/>
    </w:rPr>
  </w:style>
  <w:style w:type="paragraph" w:styleId="24">
    <w:name w:val="Title"/>
    <w:basedOn w:val="1"/>
    <w:next w:val="1"/>
    <w:link w:val="45"/>
    <w:qFormat/>
    <w:uiPriority w:val="0"/>
    <w:pPr>
      <w:spacing w:line="640" w:lineRule="exact"/>
      <w:ind w:firstLine="0" w:firstLineChars="0"/>
      <w:contextualSpacing/>
      <w:jc w:val="center"/>
    </w:pPr>
    <w:rPr>
      <w:rFonts w:ascii="等线 Light" w:hAnsi="等线 Light" w:eastAsia="方正小标宋简体"/>
      <w:spacing w:val="-10"/>
      <w:kern w:val="28"/>
      <w:sz w:val="44"/>
      <w:szCs w:val="56"/>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Emphasis"/>
    <w:basedOn w:val="27"/>
    <w:qFormat/>
    <w:uiPriority w:val="20"/>
    <w:rPr>
      <w:i/>
    </w:rPr>
  </w:style>
  <w:style w:type="character" w:styleId="29">
    <w:name w:val="Hyperlink"/>
    <w:basedOn w:val="27"/>
    <w:unhideWhenUsed/>
    <w:qFormat/>
    <w:uiPriority w:val="99"/>
    <w:rPr>
      <w:color w:val="0000FF"/>
      <w:u w:val="single"/>
    </w:rPr>
  </w:style>
  <w:style w:type="character" w:styleId="30">
    <w:name w:val="annotation reference"/>
    <w:basedOn w:val="27"/>
    <w:semiHidden/>
    <w:unhideWhenUsed/>
    <w:qFormat/>
    <w:uiPriority w:val="99"/>
    <w:rPr>
      <w:sz w:val="21"/>
      <w:szCs w:val="21"/>
    </w:rPr>
  </w:style>
  <w:style w:type="character" w:customStyle="1" w:styleId="31">
    <w:name w:val="标题 1 字符"/>
    <w:link w:val="3"/>
    <w:qFormat/>
    <w:uiPriority w:val="0"/>
    <w:rPr>
      <w:rFonts w:ascii="黑体" w:hAnsi="等线 Light" w:eastAsia="黑体"/>
      <w:sz w:val="32"/>
      <w:szCs w:val="48"/>
    </w:rPr>
  </w:style>
  <w:style w:type="character" w:customStyle="1" w:styleId="32">
    <w:name w:val="标题 2 字符"/>
    <w:link w:val="4"/>
    <w:qFormat/>
    <w:uiPriority w:val="9"/>
    <w:rPr>
      <w:rFonts w:ascii="楷体_GB2312" w:hAnsi="等线 Light" w:eastAsia="楷体_GB2312"/>
      <w:sz w:val="32"/>
      <w:szCs w:val="40"/>
    </w:rPr>
  </w:style>
  <w:style w:type="character" w:customStyle="1" w:styleId="33">
    <w:name w:val="标题 3 字符"/>
    <w:link w:val="5"/>
    <w:qFormat/>
    <w:uiPriority w:val="9"/>
    <w:rPr>
      <w:rFonts w:ascii="仿宋_GB2312" w:hAnsi="等线 Light" w:eastAsia="仿宋_GB2312"/>
      <w:sz w:val="32"/>
      <w:szCs w:val="32"/>
    </w:rPr>
  </w:style>
  <w:style w:type="character" w:customStyle="1" w:styleId="34">
    <w:name w:val="标题 4 字符"/>
    <w:link w:val="6"/>
    <w:qFormat/>
    <w:uiPriority w:val="9"/>
    <w:rPr>
      <w:rFonts w:cs="Times New Roman"/>
      <w:color w:val="0F4761"/>
      <w:sz w:val="28"/>
      <w:szCs w:val="28"/>
    </w:rPr>
  </w:style>
  <w:style w:type="character" w:customStyle="1" w:styleId="35">
    <w:name w:val="标题 5 字符"/>
    <w:link w:val="7"/>
    <w:qFormat/>
    <w:uiPriority w:val="9"/>
    <w:rPr>
      <w:rFonts w:cs="Times New Roman"/>
      <w:color w:val="0F4761"/>
      <w:sz w:val="24"/>
      <w:szCs w:val="24"/>
    </w:rPr>
  </w:style>
  <w:style w:type="character" w:customStyle="1" w:styleId="36">
    <w:name w:val="标题 6 字符"/>
    <w:link w:val="8"/>
    <w:qFormat/>
    <w:uiPriority w:val="9"/>
    <w:rPr>
      <w:rFonts w:cs="Times New Roman"/>
      <w:b/>
      <w:bCs/>
      <w:color w:val="0F4761"/>
    </w:rPr>
  </w:style>
  <w:style w:type="character" w:customStyle="1" w:styleId="37">
    <w:name w:val="标题 7 字符"/>
    <w:link w:val="9"/>
    <w:qFormat/>
    <w:uiPriority w:val="9"/>
    <w:rPr>
      <w:rFonts w:cs="Times New Roman"/>
      <w:b/>
      <w:bCs/>
      <w:color w:val="595959"/>
    </w:rPr>
  </w:style>
  <w:style w:type="character" w:customStyle="1" w:styleId="38">
    <w:name w:val="标题 8 字符"/>
    <w:link w:val="10"/>
    <w:qFormat/>
    <w:uiPriority w:val="9"/>
    <w:rPr>
      <w:rFonts w:cs="Times New Roman"/>
      <w:color w:val="595959"/>
    </w:rPr>
  </w:style>
  <w:style w:type="character" w:customStyle="1" w:styleId="39">
    <w:name w:val="标题 9 字符"/>
    <w:link w:val="11"/>
    <w:qFormat/>
    <w:uiPriority w:val="9"/>
    <w:rPr>
      <w:rFonts w:eastAsia="等线 Light" w:cs="Times New Roman"/>
      <w:color w:val="595959"/>
    </w:rPr>
  </w:style>
  <w:style w:type="character" w:customStyle="1" w:styleId="40">
    <w:name w:val="正文文本 字符"/>
    <w:link w:val="14"/>
    <w:qFormat/>
    <w:uiPriority w:val="1"/>
    <w:rPr>
      <w:rFonts w:ascii="仿宋_GB2312" w:hAnsi="Times New Roman" w:eastAsia="宋体"/>
      <w:b/>
      <w:color w:val="000000"/>
      <w:sz w:val="32"/>
      <w:szCs w:val="32"/>
    </w:rPr>
  </w:style>
  <w:style w:type="character" w:customStyle="1" w:styleId="41">
    <w:name w:val="批注框文本 字符"/>
    <w:basedOn w:val="27"/>
    <w:link w:val="17"/>
    <w:semiHidden/>
    <w:qFormat/>
    <w:uiPriority w:val="99"/>
    <w:rPr>
      <w:rFonts w:ascii="Arial" w:hAnsi="Arial"/>
      <w:sz w:val="18"/>
      <w:szCs w:val="18"/>
    </w:rPr>
  </w:style>
  <w:style w:type="character" w:customStyle="1" w:styleId="42">
    <w:name w:val="页脚 字符"/>
    <w:link w:val="18"/>
    <w:qFormat/>
    <w:uiPriority w:val="99"/>
    <w:rPr>
      <w:sz w:val="18"/>
      <w:szCs w:val="18"/>
    </w:rPr>
  </w:style>
  <w:style w:type="character" w:customStyle="1" w:styleId="43">
    <w:name w:val="页眉 字符"/>
    <w:link w:val="19"/>
    <w:qFormat/>
    <w:uiPriority w:val="99"/>
    <w:rPr>
      <w:sz w:val="18"/>
      <w:szCs w:val="18"/>
    </w:rPr>
  </w:style>
  <w:style w:type="character" w:customStyle="1" w:styleId="44">
    <w:name w:val="副标题 字符"/>
    <w:link w:val="21"/>
    <w:qFormat/>
    <w:uiPriority w:val="11"/>
    <w:rPr>
      <w:rFonts w:ascii="等线 Light" w:hAnsi="等线 Light" w:eastAsia="等线 Light" w:cs="Times New Roman"/>
      <w:color w:val="595959"/>
      <w:spacing w:val="15"/>
      <w:sz w:val="28"/>
      <w:szCs w:val="28"/>
    </w:rPr>
  </w:style>
  <w:style w:type="character" w:customStyle="1" w:styleId="45">
    <w:name w:val="标题 字符"/>
    <w:link w:val="24"/>
    <w:qFormat/>
    <w:uiPriority w:val="0"/>
    <w:rPr>
      <w:rFonts w:ascii="等线 Light" w:hAnsi="等线 Light" w:eastAsia="方正小标宋简体"/>
      <w:spacing w:val="-10"/>
      <w:kern w:val="28"/>
      <w:sz w:val="44"/>
      <w:szCs w:val="56"/>
    </w:rPr>
  </w:style>
  <w:style w:type="paragraph" w:customStyle="1" w:styleId="46">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7">
    <w:name w:val="Quote"/>
    <w:basedOn w:val="1"/>
    <w:next w:val="1"/>
    <w:link w:val="48"/>
    <w:qFormat/>
    <w:uiPriority w:val="29"/>
    <w:pPr>
      <w:spacing w:before="160"/>
      <w:jc w:val="center"/>
    </w:pPr>
    <w:rPr>
      <w:i/>
      <w:iCs/>
      <w:color w:val="404040"/>
    </w:rPr>
  </w:style>
  <w:style w:type="character" w:customStyle="1" w:styleId="48">
    <w:name w:val="引用 字符"/>
    <w:link w:val="47"/>
    <w:qFormat/>
    <w:uiPriority w:val="29"/>
    <w:rPr>
      <w:i/>
      <w:iCs/>
      <w:color w:val="404040"/>
    </w:rPr>
  </w:style>
  <w:style w:type="paragraph" w:styleId="49">
    <w:name w:val="List Paragraph"/>
    <w:basedOn w:val="1"/>
    <w:qFormat/>
    <w:uiPriority w:val="99"/>
    <w:pPr>
      <w:ind w:left="720"/>
      <w:contextualSpacing/>
    </w:pPr>
  </w:style>
  <w:style w:type="character" w:customStyle="1" w:styleId="50">
    <w:name w:val="明显强调1"/>
    <w:qFormat/>
    <w:uiPriority w:val="21"/>
    <w:rPr>
      <w:i/>
      <w:iCs/>
      <w:color w:val="0F4761"/>
    </w:rPr>
  </w:style>
  <w:style w:type="paragraph" w:styleId="51">
    <w:name w:val="Intense Quote"/>
    <w:basedOn w:val="1"/>
    <w:next w:val="1"/>
    <w:link w:val="52"/>
    <w:qFormat/>
    <w:uiPriority w:val="30"/>
    <w:pPr>
      <w:pBdr>
        <w:top w:val="single" w:color="0F4761" w:sz="4" w:space="10"/>
        <w:bottom w:val="single" w:color="0F4761" w:sz="4" w:space="10"/>
      </w:pBdr>
      <w:spacing w:before="360" w:after="360"/>
      <w:ind w:left="864" w:right="864"/>
      <w:jc w:val="center"/>
    </w:pPr>
    <w:rPr>
      <w:i/>
      <w:iCs/>
      <w:color w:val="0F4761"/>
    </w:rPr>
  </w:style>
  <w:style w:type="character" w:customStyle="1" w:styleId="52">
    <w:name w:val="明显引用 字符"/>
    <w:link w:val="51"/>
    <w:qFormat/>
    <w:uiPriority w:val="30"/>
    <w:rPr>
      <w:i/>
      <w:iCs/>
      <w:color w:val="0F4761"/>
    </w:rPr>
  </w:style>
  <w:style w:type="character" w:customStyle="1" w:styleId="53">
    <w:name w:val="明显参考1"/>
    <w:qFormat/>
    <w:uiPriority w:val="32"/>
    <w:rPr>
      <w:b/>
      <w:bCs/>
      <w:smallCaps/>
      <w:color w:val="0F4761"/>
      <w:spacing w:val="5"/>
    </w:rPr>
  </w:style>
  <w:style w:type="paragraph" w:customStyle="1" w:styleId="54">
    <w:name w:val="TOC 标题1"/>
    <w:basedOn w:val="3"/>
    <w:next w:val="1"/>
    <w:qFormat/>
    <w:uiPriority w:val="39"/>
    <w:pPr>
      <w:widowControl/>
      <w:spacing w:before="240"/>
      <w:jc w:val="left"/>
      <w:outlineLvl w:val="9"/>
    </w:pPr>
    <w:rPr>
      <w:szCs w:val="32"/>
    </w:rPr>
  </w:style>
  <w:style w:type="paragraph" w:customStyle="1" w:styleId="55">
    <w:name w:val="正文样式-终"/>
    <w:basedOn w:val="1"/>
    <w:link w:val="56"/>
    <w:qFormat/>
    <w:uiPriority w:val="0"/>
    <w:pPr>
      <w:snapToGrid w:val="0"/>
      <w:spacing w:after="50" w:afterLines="50"/>
    </w:pPr>
    <w:rPr>
      <w:rFonts w:hAnsi="仿宋" w:cs="仿宋"/>
      <w:kern w:val="2"/>
      <w:sz w:val="30"/>
      <w:szCs w:val="32"/>
    </w:rPr>
  </w:style>
  <w:style w:type="character" w:customStyle="1" w:styleId="56">
    <w:name w:val="正文样式-终 字符"/>
    <w:link w:val="55"/>
    <w:qFormat/>
    <w:uiPriority w:val="0"/>
    <w:rPr>
      <w:rFonts w:ascii="仿宋_GB2312" w:hAnsi="仿宋" w:eastAsia="宋体" w:cs="仿宋"/>
      <w:sz w:val="30"/>
      <w:szCs w:val="32"/>
    </w:rPr>
  </w:style>
  <w:style w:type="paragraph" w:customStyle="1" w:styleId="57">
    <w:name w:val="修订1"/>
    <w:unhideWhenUsed/>
    <w:qFormat/>
    <w:uiPriority w:val="99"/>
    <w:rPr>
      <w:rFonts w:ascii="Arial" w:hAnsi="Arial" w:eastAsia="宋体" w:cs="Times New Roman"/>
      <w:sz w:val="24"/>
      <w:szCs w:val="24"/>
      <w:lang w:val="en-US" w:eastAsia="zh-CN" w:bidi="ar-SA"/>
    </w:rPr>
  </w:style>
  <w:style w:type="paragraph" w:customStyle="1" w:styleId="58">
    <w:name w:val="修订2"/>
    <w:unhideWhenUsed/>
    <w:qFormat/>
    <w:uiPriority w:val="99"/>
    <w:rPr>
      <w:rFonts w:ascii="Arial" w:hAnsi="Arial" w:eastAsia="宋体" w:cs="Times New Roman"/>
      <w:sz w:val="24"/>
      <w:szCs w:val="24"/>
      <w:lang w:val="en-US" w:eastAsia="zh-CN" w:bidi="ar-SA"/>
    </w:rPr>
  </w:style>
  <w:style w:type="paragraph" w:customStyle="1" w:styleId="59">
    <w:name w:val="修订3"/>
    <w:unhideWhenUsed/>
    <w:qFormat/>
    <w:uiPriority w:val="99"/>
    <w:rPr>
      <w:rFonts w:ascii="Arial" w:hAnsi="Arial" w:eastAsia="宋体" w:cs="Times New Roman"/>
      <w:sz w:val="24"/>
      <w:szCs w:val="24"/>
      <w:lang w:val="en-US" w:eastAsia="zh-CN" w:bidi="ar-SA"/>
    </w:rPr>
  </w:style>
  <w:style w:type="paragraph" w:customStyle="1" w:styleId="60">
    <w:name w:val="修订4"/>
    <w:unhideWhenUsed/>
    <w:qFormat/>
    <w:uiPriority w:val="99"/>
    <w:rPr>
      <w:rFonts w:ascii="Arial" w:hAnsi="Arial" w:eastAsia="宋体" w:cs="Times New Roman"/>
      <w:sz w:val="24"/>
      <w:szCs w:val="24"/>
      <w:lang w:val="en-US" w:eastAsia="zh-CN" w:bidi="ar-SA"/>
    </w:rPr>
  </w:style>
  <w:style w:type="paragraph" w:customStyle="1" w:styleId="61">
    <w:name w:val="修订5"/>
    <w:hidden/>
    <w:unhideWhenUsed/>
    <w:qFormat/>
    <w:uiPriority w:val="99"/>
    <w:rPr>
      <w:rFonts w:ascii="Arial" w:hAnsi="Arial" w:eastAsia="宋体" w:cs="Times New Roman"/>
      <w:sz w:val="24"/>
      <w:szCs w:val="24"/>
      <w:lang w:val="en-US" w:eastAsia="zh-CN" w:bidi="ar-SA"/>
    </w:rPr>
  </w:style>
  <w:style w:type="paragraph" w:customStyle="1" w:styleId="62">
    <w:name w:val="公文正文"/>
    <w:basedOn w:val="1"/>
    <w:qFormat/>
    <w:uiPriority w:val="0"/>
    <w:pPr>
      <w:adjustRightInd w:val="0"/>
      <w:snapToGrid w:val="0"/>
    </w:pPr>
    <w:rPr>
      <w:rFonts w:hAnsi="宋体"/>
      <w:snapToGrid w:val="0"/>
      <w:kern w:val="32"/>
      <w:szCs w:val="32"/>
      <w:lang w:val="zh-CN" w:bidi="zh-CN"/>
    </w:rPr>
  </w:style>
  <w:style w:type="paragraph" w:customStyle="1" w:styleId="63">
    <w:name w:val="修订6"/>
    <w:hidden/>
    <w:unhideWhenUsed/>
    <w:qFormat/>
    <w:uiPriority w:val="99"/>
    <w:rPr>
      <w:rFonts w:ascii="Arial" w:hAnsi="Arial" w:eastAsia="宋体" w:cs="Times New Roman"/>
      <w:sz w:val="24"/>
      <w:szCs w:val="24"/>
      <w:lang w:val="en-US" w:eastAsia="zh-CN" w:bidi="ar-SA"/>
    </w:rPr>
  </w:style>
  <w:style w:type="character" w:customStyle="1" w:styleId="64">
    <w:name w:val="未处理的提及1"/>
    <w:basedOn w:val="27"/>
    <w:semiHidden/>
    <w:unhideWhenUsed/>
    <w:qFormat/>
    <w:uiPriority w:val="99"/>
    <w:rPr>
      <w:color w:val="605E5C"/>
      <w:shd w:val="clear" w:color="auto" w:fill="E1DFDD"/>
    </w:rPr>
  </w:style>
  <w:style w:type="paragraph" w:customStyle="1" w:styleId="65">
    <w:name w:val="表格"/>
    <w:basedOn w:val="1"/>
    <w:link w:val="66"/>
    <w:qFormat/>
    <w:uiPriority w:val="0"/>
    <w:rPr>
      <w:rFonts w:asciiTheme="minorHAnsi" w:hAnsiTheme="minorHAnsi" w:cstheme="minorBidi"/>
      <w:kern w:val="2"/>
      <w:szCs w:val="22"/>
      <w14:ligatures w14:val="standardContextual"/>
    </w:rPr>
  </w:style>
  <w:style w:type="character" w:customStyle="1" w:styleId="66">
    <w:name w:val="表格 字符"/>
    <w:basedOn w:val="27"/>
    <w:link w:val="65"/>
    <w:qFormat/>
    <w:uiPriority w:val="0"/>
    <w:rPr>
      <w:rFonts w:eastAsia="仿宋_GB2312" w:asciiTheme="minorHAnsi" w:hAnsiTheme="minorHAnsi" w:cstheme="minorBidi"/>
      <w:kern w:val="2"/>
      <w:sz w:val="32"/>
      <w:szCs w:val="22"/>
      <w14:ligatures w14:val="standardContextual"/>
    </w:rPr>
  </w:style>
  <w:style w:type="paragraph" w:customStyle="1" w:styleId="67">
    <w:name w:val="表第一行"/>
    <w:basedOn w:val="65"/>
    <w:link w:val="68"/>
    <w:qFormat/>
    <w:uiPriority w:val="0"/>
    <w:pPr>
      <w:ind w:firstLine="0" w:firstLineChars="0"/>
      <w:jc w:val="center"/>
    </w:pPr>
  </w:style>
  <w:style w:type="character" w:customStyle="1" w:styleId="68">
    <w:name w:val="表第一行 字符"/>
    <w:basedOn w:val="66"/>
    <w:link w:val="67"/>
    <w:qFormat/>
    <w:uiPriority w:val="0"/>
    <w:rPr>
      <w:rFonts w:eastAsia="仿宋_GB2312" w:asciiTheme="minorHAnsi" w:hAnsiTheme="minorHAnsi" w:cstheme="minorBidi"/>
      <w:kern w:val="2"/>
      <w:sz w:val="32"/>
      <w:szCs w:val="22"/>
      <w14:ligatures w14:val="standardContextual"/>
    </w:rPr>
  </w:style>
  <w:style w:type="paragraph" w:customStyle="1" w:styleId="69">
    <w:name w:val="修订7"/>
    <w:hidden/>
    <w:unhideWhenUsed/>
    <w:qFormat/>
    <w:uiPriority w:val="99"/>
    <w:rPr>
      <w:rFonts w:ascii="仿宋_GB2312" w:hAnsi="Arial" w:eastAsia="仿宋_GB2312" w:cs="Times New Roman"/>
      <w:sz w:val="32"/>
      <w:szCs w:val="24"/>
      <w:lang w:val="en-US" w:eastAsia="zh-CN" w:bidi="ar-SA"/>
    </w:rPr>
  </w:style>
  <w:style w:type="paragraph" w:customStyle="1" w:styleId="70">
    <w:name w:val="修订8"/>
    <w:hidden/>
    <w:unhideWhenUsed/>
    <w:qFormat/>
    <w:uiPriority w:val="99"/>
    <w:rPr>
      <w:rFonts w:ascii="仿宋_GB2312" w:hAnsi="Arial" w:eastAsia="仿宋_GB2312" w:cs="Times New Roman"/>
      <w:sz w:val="32"/>
      <w:szCs w:val="24"/>
      <w:lang w:val="en-US" w:eastAsia="zh-CN" w:bidi="ar-SA"/>
    </w:rPr>
  </w:style>
  <w:style w:type="paragraph" w:customStyle="1" w:styleId="71">
    <w:name w:val="修订9"/>
    <w:hidden/>
    <w:unhideWhenUsed/>
    <w:qFormat/>
    <w:uiPriority w:val="99"/>
    <w:rPr>
      <w:rFonts w:ascii="仿宋_GB2312" w:hAnsi="Arial" w:eastAsia="仿宋_GB2312" w:cs="Times New Roman"/>
      <w:sz w:val="32"/>
      <w:szCs w:val="24"/>
      <w:lang w:val="en-US" w:eastAsia="zh-CN" w:bidi="ar-SA"/>
    </w:rPr>
  </w:style>
  <w:style w:type="paragraph" w:customStyle="1" w:styleId="72">
    <w:name w:val="修订10"/>
    <w:hidden/>
    <w:unhideWhenUsed/>
    <w:qFormat/>
    <w:uiPriority w:val="99"/>
    <w:rPr>
      <w:rFonts w:ascii="仿宋_GB2312" w:hAnsi="Arial" w:eastAsia="仿宋_GB2312" w:cs="Times New Roman"/>
      <w:sz w:val="32"/>
      <w:szCs w:val="24"/>
      <w:lang w:val="en-US" w:eastAsia="zh-CN" w:bidi="ar-SA"/>
    </w:rPr>
  </w:style>
  <w:style w:type="paragraph" w:customStyle="1" w:styleId="73">
    <w:name w:val="修订11"/>
    <w:hidden/>
    <w:unhideWhenUsed/>
    <w:qFormat/>
    <w:uiPriority w:val="99"/>
    <w:rPr>
      <w:rFonts w:ascii="仿宋_GB2312" w:hAnsi="Arial" w:eastAsia="仿宋_GB2312" w:cs="Times New Roman"/>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20655</Words>
  <Characters>20989</Characters>
  <Lines>1062</Lines>
  <Paragraphs>618</Paragraphs>
  <TotalTime>25</TotalTime>
  <ScaleCrop>false</ScaleCrop>
  <LinksUpToDate>false</LinksUpToDate>
  <CharactersWithSpaces>21095</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2025-11-08T07:29:00Z</dcterms:created>
  <dc:creator>高帅</dc:creator>
  <cp:lastModifiedBy> </cp:lastModifiedBy>
  <cp:lastPrinted>2025-11-11T14:10:00Z</cp:lastPrinted>
  <dcterms:modified xsi:type="dcterms:W3CDTF">2025-11-20T12:49:14Z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BCBF9C44B899C066CA9D1E698903F704</vt:lpwstr>
  </property>
  <property fmtid="{D5CDD505-2E9C-101B-9397-08002B2CF9AE}" pid="4" name="KSOTemplateDocerSaveRecord">
    <vt:lpwstr>eyJoZGlkIjoiMDgyOWQyN2E2YmY2YzUyMzZiNDM5YjBmZjI4OGYwNzMiLCJ1c2VySWQiOiI2NjI1NDM0OTAifQ==</vt:lpwstr>
  </property>
</Properties>
</file>