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bookmarkStart w:id="0" w:name="_Toc519680809"/>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黑体" w:eastAsia="方正小标宋简体" w:cs="Times New Roman"/>
          <w:sz w:val="44"/>
          <w:szCs w:val="44"/>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《北京市水务综合专家库管理办法</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lang w:val="en-US" w:eastAsia="zh-CN"/>
        </w:rPr>
        <w:t>（征求意见稿）》的</w:t>
      </w:r>
      <w:r>
        <w:rPr>
          <w:rFonts w:hint="eastAsia" w:ascii="方正小标宋简体" w:hAnsi="黑体" w:eastAsia="方正小标宋简体" w:cs="Times New Roman"/>
          <w:sz w:val="44"/>
          <w:szCs w:val="44"/>
        </w:rPr>
        <w:t>起草说明</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pStyle w:val="3"/>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一、制定背景及依据</w:t>
      </w:r>
    </w:p>
    <w:bookmarkEnd w:id="0"/>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32"/>
          <w:sz w:val="32"/>
          <w:szCs w:val="32"/>
        </w:rPr>
      </w:pPr>
      <w:bookmarkStart w:id="1" w:name="_Toc97648651"/>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kern w:val="32"/>
          <w:sz w:val="32"/>
          <w:szCs w:val="32"/>
          <w:lang w:eastAsia="zh-CN"/>
        </w:rPr>
        <w:t>《国务院办公厅关于加强专家参与公共决策行为监督管</w:t>
      </w:r>
      <w:r>
        <w:rPr>
          <w:rFonts w:hint="eastAsia" w:ascii="仿宋_GB2312" w:hAnsi="仿宋_GB2312" w:eastAsia="仿宋_GB2312" w:cs="仿宋_GB2312"/>
          <w:kern w:val="32"/>
          <w:sz w:val="32"/>
          <w:szCs w:val="32"/>
          <w:lang w:eastAsia="zh-CN"/>
        </w:rPr>
        <w:t>理的指导意见》（国办发</w:t>
      </w:r>
      <w:r>
        <w:rPr>
          <w:rFonts w:hint="eastAsia" w:ascii="仿宋_GB2312" w:hAnsi="仿宋_GB2312" w:eastAsia="仿宋_GB2312" w:cs="仿宋_GB2312"/>
          <w:kern w:val="32"/>
          <w:sz w:val="32"/>
          <w:szCs w:val="32"/>
        </w:rPr>
        <w:t>〔2024〕</w:t>
      </w:r>
      <w:r>
        <w:rPr>
          <w:rFonts w:hint="eastAsia" w:ascii="仿宋_GB2312" w:hAnsi="仿宋_GB2312" w:eastAsia="仿宋_GB2312" w:cs="仿宋_GB2312"/>
          <w:kern w:val="32"/>
          <w:sz w:val="32"/>
          <w:szCs w:val="32"/>
          <w:lang w:val="en-US" w:eastAsia="zh-CN"/>
        </w:rPr>
        <w:t>2号</w:t>
      </w:r>
      <w:r>
        <w:rPr>
          <w:rFonts w:hint="eastAsia" w:ascii="仿宋_GB2312" w:hAnsi="仿宋_GB2312" w:eastAsia="仿宋_GB2312" w:cs="仿宋_GB2312"/>
          <w:kern w:val="32"/>
          <w:sz w:val="32"/>
          <w:szCs w:val="32"/>
          <w:lang w:eastAsia="zh-CN"/>
        </w:rPr>
        <w:t>）</w:t>
      </w:r>
      <w:r>
        <w:rPr>
          <w:rFonts w:hint="eastAsia" w:ascii="仿宋_GB2312" w:hAnsi="仿宋_GB2312" w:cs="仿宋_GB2312"/>
          <w:kern w:val="32"/>
          <w:sz w:val="32"/>
          <w:szCs w:val="32"/>
          <w:lang w:eastAsia="zh-CN"/>
        </w:rPr>
        <w:t>、</w:t>
      </w:r>
      <w:r>
        <w:rPr>
          <w:rFonts w:hint="eastAsia" w:ascii="仿宋_GB2312" w:hAnsi="仿宋_GB2312" w:eastAsia="仿宋_GB2312" w:cs="仿宋_GB2312"/>
          <w:kern w:val="32"/>
          <w:sz w:val="32"/>
          <w:szCs w:val="32"/>
          <w:lang w:eastAsia="zh-CN"/>
        </w:rPr>
        <w:t>《国家发展改革委办公厅关于全面清理规范专家参与公共决策事项的通知》（发改办投资</w:t>
      </w:r>
      <w:r>
        <w:rPr>
          <w:rFonts w:hint="eastAsia" w:ascii="仿宋_GB2312" w:hAnsi="仿宋_GB2312" w:eastAsia="仿宋_GB2312" w:cs="仿宋_GB2312"/>
          <w:kern w:val="32"/>
          <w:sz w:val="32"/>
          <w:szCs w:val="32"/>
        </w:rPr>
        <w:t>〔2024〕</w:t>
      </w:r>
      <w:r>
        <w:rPr>
          <w:rFonts w:hint="eastAsia" w:ascii="仿宋_GB2312" w:hAnsi="仿宋_GB2312" w:eastAsia="仿宋_GB2312" w:cs="仿宋_GB2312"/>
          <w:kern w:val="32"/>
          <w:sz w:val="32"/>
          <w:szCs w:val="32"/>
          <w:lang w:val="en-US" w:eastAsia="zh-CN"/>
        </w:rPr>
        <w:t>156号</w:t>
      </w:r>
      <w:r>
        <w:rPr>
          <w:rFonts w:hint="eastAsia" w:ascii="仿宋_GB2312" w:hAnsi="仿宋_GB2312" w:eastAsia="仿宋_GB2312" w:cs="仿宋_GB2312"/>
          <w:kern w:val="32"/>
          <w:sz w:val="32"/>
          <w:szCs w:val="32"/>
          <w:lang w:eastAsia="zh-CN"/>
        </w:rPr>
        <w:t>）</w:t>
      </w:r>
      <w:r>
        <w:rPr>
          <w:rFonts w:hint="eastAsia" w:ascii="仿宋_GB2312" w:hAnsi="仿宋_GB2312" w:cs="仿宋_GB2312"/>
          <w:kern w:val="32"/>
          <w:sz w:val="32"/>
          <w:szCs w:val="32"/>
          <w:lang w:eastAsia="zh-CN"/>
        </w:rPr>
        <w:t>和</w:t>
      </w:r>
      <w:r>
        <w:rPr>
          <w:rFonts w:hint="eastAsia" w:ascii="仿宋_GB2312" w:hAnsi="仿宋_GB2312" w:eastAsia="仿宋_GB2312" w:cs="仿宋_GB2312"/>
          <w:kern w:val="32"/>
          <w:sz w:val="32"/>
          <w:szCs w:val="32"/>
        </w:rPr>
        <w:t>《北京市全面清理规范专家参与公共决策事项工作方案》（</w:t>
      </w:r>
      <w:bookmarkStart w:id="2" w:name="_Hlk167117873"/>
      <w:r>
        <w:rPr>
          <w:rFonts w:hint="eastAsia" w:ascii="仿宋_GB2312" w:hAnsi="仿宋_GB2312" w:eastAsia="仿宋_GB2312" w:cs="仿宋_GB2312"/>
          <w:kern w:val="32"/>
          <w:sz w:val="32"/>
          <w:szCs w:val="32"/>
        </w:rPr>
        <w:t>京政办字〔2024〕9号</w:t>
      </w:r>
      <w:bookmarkEnd w:id="2"/>
      <w:r>
        <w:rPr>
          <w:rFonts w:hint="eastAsia" w:ascii="仿宋_GB2312" w:hAnsi="仿宋_GB2312" w:eastAsia="仿宋_GB2312" w:cs="仿宋_GB2312"/>
          <w:kern w:val="32"/>
          <w:sz w:val="32"/>
          <w:szCs w:val="32"/>
        </w:rPr>
        <w:t>）</w:t>
      </w:r>
      <w:r>
        <w:rPr>
          <w:rFonts w:hint="eastAsia" w:ascii="仿宋_GB2312" w:hAnsi="仿宋_GB2312" w:cs="仿宋_GB2312"/>
          <w:kern w:val="32"/>
          <w:sz w:val="32"/>
          <w:szCs w:val="32"/>
          <w:lang w:eastAsia="zh-CN"/>
        </w:rPr>
        <w:t>要求</w:t>
      </w:r>
      <w:r>
        <w:rPr>
          <w:rFonts w:hint="eastAsia" w:ascii="仿宋_GB2312" w:hAnsi="仿宋_GB2312" w:eastAsia="仿宋_GB2312" w:cs="仿宋_GB2312"/>
          <w:kern w:val="32"/>
          <w:sz w:val="32"/>
          <w:szCs w:val="32"/>
        </w:rPr>
        <w:t>，</w:t>
      </w:r>
      <w:r>
        <w:rPr>
          <w:rFonts w:hint="eastAsia" w:ascii="仿宋_GB2312" w:hAnsi="仿宋_GB2312" w:eastAsia="仿宋_GB2312" w:cs="仿宋_GB2312"/>
          <w:color w:val="auto"/>
          <w:sz w:val="32"/>
          <w:szCs w:val="32"/>
          <w:shd w:val="clear" w:color="auto" w:fill="FFFFFF"/>
          <w:lang w:eastAsia="zh-CN"/>
        </w:rPr>
        <w:t>全面清理规范专家</w:t>
      </w:r>
      <w:r>
        <w:rPr>
          <w:rFonts w:hint="eastAsia" w:ascii="仿宋_GB2312" w:hAnsi="仿宋_GB2312" w:eastAsia="仿宋_GB2312" w:cs="仿宋_GB2312"/>
          <w:sz w:val="32"/>
          <w:szCs w:val="32"/>
          <w:shd w:val="clear" w:color="auto" w:fill="FFFFFF"/>
          <w:lang w:eastAsia="zh-CN"/>
        </w:rPr>
        <w:t>参与公共决策事项和专家库，完善专家参与公共决策的政策保障和激励措施，</w:t>
      </w:r>
      <w:r>
        <w:rPr>
          <w:rFonts w:hint="eastAsia" w:ascii="仿宋_GB2312" w:hAnsi="仿宋_GB2312" w:eastAsia="仿宋_GB2312" w:cs="仿宋_GB2312"/>
          <w:kern w:val="32"/>
          <w:sz w:val="32"/>
          <w:szCs w:val="32"/>
          <w:lang w:eastAsia="zh-CN"/>
        </w:rPr>
        <w:t>建立健全从专家遴选到考核监督的全过程、全链条管理制度体系，分领域、分类别完善专家参与公共决策的制度规范，明确专家参与公共决策的职责定位、权利义务和相应责任等。</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我局于2014年组建北京市水影响评价审查专家库，制定</w:t>
      </w:r>
      <w:r>
        <w:rPr>
          <w:rFonts w:hint="eastAsia" w:ascii="仿宋_GB2312" w:hAnsi="仿宋_GB2312" w:eastAsia="仿宋_GB2312" w:cs="仿宋_GB2312"/>
          <w:color w:val="auto"/>
          <w:sz w:val="32"/>
          <w:szCs w:val="32"/>
          <w:highlight w:val="none"/>
          <w:lang w:val="en-US" w:eastAsia="zh-CN"/>
        </w:rPr>
        <w:t>《北京市水影响评价审查专家库管理办法（试行）》，</w:t>
      </w:r>
      <w:r>
        <w:rPr>
          <w:rFonts w:hint="eastAsia" w:ascii="仿宋_GB2312" w:hAnsi="仿宋_GB2312" w:eastAsia="仿宋_GB2312" w:cs="仿宋_GB2312"/>
          <w:color w:val="auto"/>
          <w:sz w:val="32"/>
          <w:szCs w:val="32"/>
          <w:highlight w:val="none"/>
          <w:lang w:val="en-US" w:eastAsia="zh-CN"/>
        </w:rPr>
        <w:t>沿用至今。入库专家数量646人，由水文水资源专业、水土保持专业、供排水专业、地下水专业、农业节水专业、洪水影响分析等相关专业专家和水行业管理专家组成。</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为进一步规范专家库管理工作，整合各业务板块及专业领域专家库资源，充分发挥专家的技术支撑作用，推动北京水务高质量发展，拟建立“水务</w:t>
      </w:r>
      <w:r>
        <w:rPr>
          <w:rFonts w:hint="eastAsia" w:ascii="仿宋_GB2312" w:hAnsi="仿宋_GB2312" w:eastAsia="仿宋_GB2312" w:cs="仿宋_GB2312"/>
          <w:color w:val="auto"/>
          <w:sz w:val="32"/>
          <w:szCs w:val="32"/>
          <w:highlight w:val="none"/>
          <w:lang w:val="zh-CN" w:eastAsia="zh-CN"/>
        </w:rPr>
        <w:t>综合专家库</w:t>
      </w:r>
      <w:r>
        <w:rPr>
          <w:rFonts w:hint="eastAsia" w:ascii="仿宋_GB2312" w:hAnsi="仿宋_GB2312" w:eastAsia="仿宋_GB2312" w:cs="仿宋_GB2312"/>
          <w:color w:val="auto"/>
          <w:sz w:val="32"/>
          <w:szCs w:val="32"/>
          <w:highlight w:val="none"/>
          <w:lang w:val="en-US" w:eastAsia="zh-CN"/>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在总结经验和借鉴其他省市做法基础上，北京市水务局制定了《</w:t>
      </w:r>
      <w:r>
        <w:rPr>
          <w:rFonts w:hint="eastAsia" w:ascii="仿宋_GB2312" w:hAnsi="仿宋_GB2312" w:eastAsia="仿宋_GB2312" w:cs="仿宋_GB2312"/>
          <w:color w:val="auto"/>
          <w:sz w:val="32"/>
          <w:szCs w:val="32"/>
          <w:highlight w:val="none"/>
          <w:lang w:val="zh-CN" w:eastAsia="zh-CN"/>
        </w:rPr>
        <w:t>北京市水务综合专家库管理办法（征求意见稿）</w:t>
      </w:r>
      <w:r>
        <w:rPr>
          <w:rFonts w:hint="eastAsia" w:ascii="仿宋_GB2312" w:hAnsi="仿宋_GB2312" w:eastAsia="仿宋_GB2312" w:cs="仿宋_GB2312"/>
          <w:color w:val="auto"/>
          <w:sz w:val="32"/>
          <w:szCs w:val="32"/>
          <w:highlight w:val="none"/>
          <w:lang w:val="en-US" w:eastAsia="zh-CN"/>
        </w:rPr>
        <w:t>》（以下简称</w:t>
      </w:r>
      <w:r>
        <w:rPr>
          <w:rFonts w:hint="eastAsia" w:ascii="仿宋_GB2312" w:hAnsi="仿宋_GB2312" w:eastAsia="仿宋_GB2312" w:cs="仿宋_GB2312"/>
          <w:color w:val="auto"/>
          <w:sz w:val="32"/>
          <w:szCs w:val="32"/>
          <w:highlight w:val="none"/>
          <w:lang w:val="zh-CN" w:eastAsia="zh-CN"/>
        </w:rPr>
        <w:t>《办法》</w:t>
      </w:r>
      <w:r>
        <w:rPr>
          <w:rFonts w:hint="eastAsia" w:ascii="仿宋_GB2312" w:hAnsi="仿宋_GB2312" w:eastAsia="仿宋_GB2312" w:cs="仿宋_GB2312"/>
          <w:color w:val="auto"/>
          <w:sz w:val="32"/>
          <w:szCs w:val="32"/>
          <w:highlight w:val="none"/>
          <w:lang w:val="en-US" w:eastAsia="zh-CN"/>
        </w:rPr>
        <w:t>）。</w:t>
      </w:r>
    </w:p>
    <w:p>
      <w:pPr>
        <w:pStyle w:val="3"/>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kern w:val="2"/>
          <w:sz w:val="32"/>
          <w:szCs w:val="32"/>
          <w:lang w:eastAsia="zh-CN"/>
        </w:rPr>
      </w:pPr>
      <w:r>
        <w:rPr>
          <w:rFonts w:hint="eastAsia" w:ascii="黑体" w:hAnsi="黑体" w:eastAsia="黑体" w:cs="黑体"/>
          <w:b w:val="0"/>
          <w:bCs w:val="0"/>
          <w:kern w:val="2"/>
          <w:sz w:val="32"/>
          <w:szCs w:val="32"/>
        </w:rPr>
        <w:t>二、</w:t>
      </w:r>
      <w:bookmarkEnd w:id="1"/>
      <w:r>
        <w:rPr>
          <w:rFonts w:hint="eastAsia" w:ascii="黑体" w:hAnsi="黑体" w:eastAsia="黑体" w:cs="黑体"/>
          <w:b w:val="0"/>
          <w:bCs w:val="0"/>
          <w:kern w:val="2"/>
          <w:sz w:val="32"/>
          <w:szCs w:val="32"/>
          <w:lang w:eastAsia="zh-CN"/>
        </w:rPr>
        <w:t>制定依据</w:t>
      </w:r>
    </w:p>
    <w:p>
      <w:pPr>
        <w:pStyle w:val="2"/>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《国务院办公厅关于加强专家参与公共决策行为监督管理的指导意见》（国办发〔2024〕2号）</w:t>
      </w:r>
    </w:p>
    <w:p>
      <w:pPr>
        <w:pStyle w:val="2"/>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《国家</w:t>
      </w:r>
      <w:bookmarkStart w:id="3" w:name="_GoBack"/>
      <w:bookmarkEnd w:id="3"/>
      <w:r>
        <w:rPr>
          <w:rFonts w:hint="eastAsia" w:ascii="仿宋_GB2312" w:hAnsi="仿宋_GB2312" w:eastAsia="仿宋_GB2312" w:cs="仿宋_GB2312"/>
          <w:color w:val="auto"/>
          <w:kern w:val="0"/>
          <w:sz w:val="32"/>
          <w:szCs w:val="32"/>
          <w:highlight w:val="none"/>
          <w:lang w:val="en-US" w:eastAsia="zh-CN" w:bidi="ar-SA"/>
        </w:rPr>
        <w:t>发展改革委办公厅关于全面清理规范专家参与公共决策事项的通知》（发改办投资〔2024〕156号）</w:t>
      </w:r>
    </w:p>
    <w:p>
      <w:pPr>
        <w:pStyle w:val="2"/>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《北京市全面清理规范专家参与公共决策事项工作方案》（京政办字〔2024〕9号）</w:t>
      </w:r>
    </w:p>
    <w:p>
      <w:pPr>
        <w:pStyle w:val="2"/>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三、主要内容</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《办法》共分六章，二十三条，包括总则、专家库建设、专家库使用管理、专家权利与义务、专家考核管理、附则等。核心内容主要包括：</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color w:val="auto"/>
          <w:kern w:val="0"/>
          <w:sz w:val="32"/>
          <w:szCs w:val="32"/>
        </w:rPr>
      </w:pPr>
      <w:r>
        <w:rPr>
          <w:rFonts w:hint="eastAsia" w:ascii="楷体_GB2312" w:hAnsi="仿宋_GB2312" w:eastAsia="楷体_GB2312" w:cs="仿宋_GB2312"/>
          <w:color w:val="auto"/>
          <w:kern w:val="0"/>
          <w:sz w:val="32"/>
          <w:szCs w:val="32"/>
        </w:rPr>
        <w:t>（一）明确</w:t>
      </w:r>
      <w:r>
        <w:rPr>
          <w:rFonts w:hint="eastAsia" w:ascii="楷体_GB2312" w:hAnsi="仿宋_GB2312" w:eastAsia="楷体_GB2312" w:cs="仿宋_GB2312"/>
          <w:color w:val="auto"/>
          <w:kern w:val="0"/>
          <w:sz w:val="32"/>
          <w:szCs w:val="32"/>
          <w:lang w:eastAsia="zh-CN"/>
        </w:rPr>
        <w:t>职责定位</w:t>
      </w:r>
      <w:r>
        <w:rPr>
          <w:rFonts w:hint="eastAsia" w:ascii="楷体_GB2312" w:hAnsi="仿宋_GB2312" w:eastAsia="楷体_GB2312" w:cs="仿宋_GB2312"/>
          <w:color w:val="auto"/>
          <w:kern w:val="0"/>
          <w:sz w:val="32"/>
          <w:szCs w:val="32"/>
        </w:rPr>
        <w:t>，构建</w:t>
      </w:r>
      <w:r>
        <w:rPr>
          <w:rFonts w:hint="eastAsia" w:ascii="楷体_GB2312" w:hAnsi="仿宋_GB2312" w:eastAsia="楷体_GB2312" w:cs="仿宋_GB2312"/>
          <w:color w:val="auto"/>
          <w:kern w:val="0"/>
          <w:sz w:val="32"/>
          <w:szCs w:val="32"/>
          <w:lang w:eastAsia="zh-CN"/>
        </w:rPr>
        <w:t>统一</w:t>
      </w:r>
      <w:r>
        <w:rPr>
          <w:rFonts w:hint="eastAsia" w:ascii="楷体_GB2312" w:hAnsi="仿宋_GB2312" w:eastAsia="楷体_GB2312" w:cs="仿宋_GB2312"/>
          <w:color w:val="auto"/>
          <w:kern w:val="0"/>
          <w:sz w:val="32"/>
          <w:szCs w:val="32"/>
        </w:rPr>
        <w:t>管理体系。</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《办法》在“总则”中明确了制定目的、依据、使用范围和专家库定位。规定综合专家库建立后，北京市水务局各部门、各单位不再另行设置专家库。保证了专家资源的统一规范和信息互通。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color w:val="auto"/>
          <w:kern w:val="0"/>
          <w:sz w:val="32"/>
          <w:szCs w:val="32"/>
        </w:rPr>
      </w:pPr>
      <w:r>
        <w:rPr>
          <w:rFonts w:hint="eastAsia" w:ascii="楷体_GB2312" w:hAnsi="仿宋_GB2312" w:eastAsia="楷体_GB2312" w:cs="仿宋_GB2312"/>
          <w:color w:val="auto"/>
          <w:kern w:val="0"/>
          <w:sz w:val="32"/>
          <w:szCs w:val="32"/>
        </w:rPr>
        <w:t>（二）严格准入条件，确保专家队伍质量。</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办法》在“专家库建设”中对入库专家的基本条件和专业条件作出了明确规定。既强调了专家的职业道德、身体条件等，又根据不同专业领域设置了具体的专业方向，并对职称等进行硬性约束。确保了入库专家的权威性和专业性，从源头上保障了专家库的质量。</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color w:val="auto"/>
          <w:kern w:val="0"/>
          <w:sz w:val="32"/>
          <w:szCs w:val="32"/>
        </w:rPr>
      </w:pPr>
      <w:r>
        <w:rPr>
          <w:rFonts w:hint="eastAsia" w:ascii="楷体_GB2312" w:hAnsi="仿宋_GB2312" w:eastAsia="楷体_GB2312" w:cs="仿宋_GB2312"/>
          <w:color w:val="auto"/>
          <w:kern w:val="0"/>
          <w:sz w:val="32"/>
          <w:szCs w:val="32"/>
        </w:rPr>
        <w:t>（三）优化</w:t>
      </w:r>
      <w:r>
        <w:rPr>
          <w:rFonts w:hint="eastAsia" w:ascii="楷体_GB2312" w:hAnsi="仿宋_GB2312" w:eastAsia="楷体_GB2312" w:cs="仿宋_GB2312"/>
          <w:color w:val="auto"/>
          <w:kern w:val="0"/>
          <w:sz w:val="32"/>
          <w:szCs w:val="32"/>
          <w:lang w:eastAsia="zh-CN"/>
        </w:rPr>
        <w:t>使用</w:t>
      </w:r>
      <w:r>
        <w:rPr>
          <w:rFonts w:hint="eastAsia" w:ascii="楷体_GB2312" w:hAnsi="仿宋_GB2312" w:eastAsia="楷体_GB2312" w:cs="仿宋_GB2312"/>
          <w:color w:val="auto"/>
          <w:kern w:val="0"/>
          <w:sz w:val="32"/>
          <w:szCs w:val="32"/>
        </w:rPr>
        <w:t>程序，建立动态更新机制。</w:t>
      </w:r>
    </w:p>
    <w:p>
      <w:pPr>
        <w:widowControl/>
        <w:snapToGrid w:val="0"/>
        <w:spacing w:line="560" w:lineRule="exact"/>
        <w:ind w:firstLine="640" w:firstLineChars="200"/>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color w:val="auto"/>
          <w:kern w:val="0"/>
          <w:sz w:val="32"/>
          <w:szCs w:val="32"/>
          <w:lang w:val="en-US" w:eastAsia="zh-CN"/>
        </w:rPr>
        <w:t>《办法》在“</w:t>
      </w:r>
      <w:r>
        <w:rPr>
          <w:rFonts w:hint="eastAsia" w:ascii="仿宋_GB2312" w:hAnsi="仿宋_GB2312" w:eastAsia="仿宋_GB2312" w:cs="仿宋_GB2312"/>
          <w:color w:val="auto"/>
          <w:kern w:val="0"/>
          <w:sz w:val="32"/>
          <w:szCs w:val="32"/>
          <w:lang w:val="en-US" w:eastAsia="zh-CN" w:bidi="ar-SA"/>
        </w:rPr>
        <w:t>专家库使用管理</w:t>
      </w:r>
      <w:r>
        <w:rPr>
          <w:rFonts w:hint="eastAsia" w:ascii="仿宋_GB2312" w:hAnsi="仿宋_GB2312" w:eastAsia="仿宋_GB2312" w:cs="仿宋_GB2312"/>
          <w:color w:val="auto"/>
          <w:kern w:val="0"/>
          <w:sz w:val="32"/>
          <w:szCs w:val="32"/>
          <w:lang w:val="en-US" w:eastAsia="zh-CN"/>
        </w:rPr>
        <w:t>”中规范了专家选取使用程序。要求原则上应从</w:t>
      </w:r>
      <w:r>
        <w:rPr>
          <w:rFonts w:hint="eastAsia" w:ascii="仿宋_GB2312" w:hAnsi="仿宋_GB2312" w:eastAsia="仿宋_GB2312" w:cs="仿宋_GB2312"/>
          <w:color w:val="auto"/>
          <w:spacing w:val="-1"/>
          <w:sz w:val="32"/>
          <w:szCs w:val="32"/>
        </w:rPr>
        <w:t>综合专家库中</w:t>
      </w:r>
      <w:r>
        <w:rPr>
          <w:rFonts w:hint="eastAsia" w:ascii="仿宋_GB2312" w:hAnsi="仿宋_GB2312" w:eastAsia="仿宋_GB2312" w:cs="仿宋_GB2312"/>
          <w:color w:val="auto"/>
          <w:spacing w:val="-1"/>
          <w:sz w:val="32"/>
          <w:szCs w:val="32"/>
          <w:lang w:eastAsia="zh-CN"/>
        </w:rPr>
        <w:t>选</w:t>
      </w:r>
      <w:r>
        <w:rPr>
          <w:rFonts w:hint="eastAsia" w:ascii="仿宋_GB2312" w:hAnsi="仿宋_GB2312" w:eastAsia="仿宋_GB2312" w:cs="仿宋_GB2312"/>
          <w:color w:val="auto"/>
          <w:spacing w:val="-1"/>
          <w:sz w:val="32"/>
          <w:szCs w:val="32"/>
        </w:rPr>
        <w:t>取</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对于特殊项目如邀请非在库专家，须报局技术委员会主任委员（或副主任委员）同意。</w:t>
      </w:r>
      <w:r>
        <w:rPr>
          <w:rFonts w:hint="eastAsia" w:ascii="仿宋_GB2312" w:hAnsi="仿宋_GB2312" w:eastAsia="仿宋_GB2312" w:cs="仿宋_GB2312"/>
          <w:color w:val="auto"/>
          <w:spacing w:val="-1"/>
          <w:sz w:val="32"/>
          <w:szCs w:val="32"/>
          <w:lang w:eastAsia="zh-CN"/>
        </w:rPr>
        <w:t>《办法》落实了水务综合专家库集中管理、统一使用的原则，通过</w:t>
      </w:r>
      <w:r>
        <w:rPr>
          <w:rFonts w:hint="eastAsia" w:ascii="仿宋_GB2312" w:hAnsi="仿宋_GB2312" w:eastAsia="仿宋_GB2312" w:cs="仿宋_GB2312"/>
          <w:spacing w:val="-1"/>
          <w:sz w:val="32"/>
          <w:szCs w:val="32"/>
        </w:rPr>
        <w:t>局技术委员会</w:t>
      </w:r>
      <w:r>
        <w:rPr>
          <w:rFonts w:hint="eastAsia" w:ascii="仿宋_GB2312" w:hAnsi="仿宋_GB2312" w:eastAsia="仿宋_GB2312" w:cs="仿宋_GB2312"/>
          <w:spacing w:val="-1"/>
          <w:sz w:val="32"/>
          <w:szCs w:val="32"/>
          <w:lang w:eastAsia="zh-CN"/>
        </w:rPr>
        <w:t>决策领导，提高管理效率，强化管理的科学性和公正性。</w:t>
      </w:r>
    </w:p>
    <w:p>
      <w:pPr>
        <w:widowControl/>
        <w:snapToGrid w:val="0"/>
        <w:spacing w:line="560" w:lineRule="exact"/>
        <w:ind w:firstLine="636" w:firstLineChars="200"/>
        <w:rPr>
          <w:rFonts w:hint="eastAsia"/>
        </w:rPr>
      </w:pPr>
      <w:r>
        <w:rPr>
          <w:rFonts w:hint="eastAsia" w:ascii="仿宋_GB2312" w:hAnsi="仿宋_GB2312" w:eastAsia="仿宋_GB2312" w:cs="仿宋_GB2312"/>
          <w:spacing w:val="-1"/>
          <w:sz w:val="32"/>
          <w:szCs w:val="32"/>
          <w:lang w:eastAsia="zh-CN"/>
        </w:rPr>
        <w:t>同时，《办法》建立了回避制度、信息保密制度和动态调整机制，明确每三年进行一次集中调整，</w:t>
      </w:r>
      <w:r>
        <w:rPr>
          <w:rFonts w:hint="eastAsia" w:ascii="仿宋_GB2312" w:hAnsi="仿宋_GB2312" w:eastAsia="仿宋_GB2312" w:cs="仿宋_GB2312"/>
          <w:color w:val="auto"/>
          <w:spacing w:val="-1"/>
          <w:sz w:val="32"/>
          <w:szCs w:val="32"/>
          <w:lang w:eastAsia="zh-CN"/>
        </w:rPr>
        <w:t>实现了专家资源动态共享。</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color w:val="auto"/>
          <w:kern w:val="0"/>
          <w:sz w:val="32"/>
          <w:szCs w:val="32"/>
        </w:rPr>
      </w:pPr>
      <w:r>
        <w:rPr>
          <w:rFonts w:hint="eastAsia" w:ascii="楷体_GB2312" w:hAnsi="仿宋_GB2312" w:eastAsia="楷体_GB2312" w:cs="仿宋_GB2312"/>
          <w:color w:val="auto"/>
          <w:kern w:val="0"/>
          <w:sz w:val="32"/>
          <w:szCs w:val="32"/>
        </w:rPr>
        <w:t>（四）明晰权责边界，规范专家执业行为。</w:t>
      </w:r>
    </w:p>
    <w:p>
      <w:pPr>
        <w:widowControl/>
        <w:snapToGrid w:val="0"/>
        <w:spacing w:line="560" w:lineRule="exact"/>
        <w:ind w:firstLine="636" w:firstLineChars="200"/>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val="en-US" w:eastAsia="zh-CN"/>
        </w:rPr>
        <w:t>《办法》在“专家权利与义务”中</w:t>
      </w:r>
      <w:r>
        <w:rPr>
          <w:rFonts w:hint="eastAsia" w:ascii="仿宋_GB2312" w:hAnsi="仿宋_GB2312" w:eastAsia="仿宋_GB2312" w:cs="仿宋_GB2312"/>
          <w:spacing w:val="-1"/>
          <w:sz w:val="32"/>
          <w:szCs w:val="32"/>
          <w:lang w:eastAsia="zh-CN"/>
        </w:rPr>
        <w:t>明确了专家享有的知情权、独立发表意见权、获得报酬权、自愿加入或退出等权利，以及遵守保密规定、参加培训及接受监督等义务。特别规定了专家的廉洁行为，为专家的行为划定了清晰的“红线”和“底线”。</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仿宋_GB2312" w:eastAsia="楷体_GB2312" w:cs="仿宋_GB2312"/>
          <w:color w:val="auto"/>
          <w:kern w:val="0"/>
          <w:sz w:val="32"/>
          <w:szCs w:val="32"/>
        </w:rPr>
      </w:pPr>
      <w:r>
        <w:rPr>
          <w:rFonts w:hint="eastAsia" w:ascii="楷体_GB2312" w:hAnsi="仿宋_GB2312" w:eastAsia="楷体_GB2312" w:cs="仿宋_GB2312"/>
          <w:color w:val="auto"/>
          <w:kern w:val="0"/>
          <w:sz w:val="32"/>
          <w:szCs w:val="32"/>
        </w:rPr>
        <w:t>（</w:t>
      </w:r>
      <w:r>
        <w:rPr>
          <w:rFonts w:hint="eastAsia" w:ascii="楷体_GB2312" w:hAnsi="仿宋_GB2312" w:eastAsia="楷体_GB2312" w:cs="仿宋_GB2312"/>
          <w:color w:val="auto"/>
          <w:kern w:val="0"/>
          <w:sz w:val="32"/>
          <w:szCs w:val="32"/>
          <w:lang w:eastAsia="zh-CN"/>
        </w:rPr>
        <w:t>五</w:t>
      </w:r>
      <w:r>
        <w:rPr>
          <w:rFonts w:hint="eastAsia" w:ascii="楷体_GB2312" w:hAnsi="仿宋_GB2312" w:eastAsia="楷体_GB2312" w:cs="仿宋_GB2312"/>
          <w:color w:val="auto"/>
          <w:kern w:val="0"/>
          <w:sz w:val="32"/>
          <w:szCs w:val="32"/>
        </w:rPr>
        <w:t>）强化监督考核，</w:t>
      </w:r>
      <w:r>
        <w:rPr>
          <w:rFonts w:hint="eastAsia" w:ascii="楷体_GB2312" w:hAnsi="仿宋_GB2312" w:eastAsia="楷体_GB2312" w:cs="仿宋_GB2312"/>
          <w:color w:val="auto"/>
          <w:kern w:val="0"/>
          <w:sz w:val="32"/>
          <w:szCs w:val="32"/>
          <w:lang w:eastAsia="zh-CN"/>
        </w:rPr>
        <w:t>明确专家日常管理</w:t>
      </w:r>
      <w:r>
        <w:rPr>
          <w:rFonts w:hint="eastAsia" w:ascii="楷体_GB2312" w:hAnsi="仿宋_GB2312" w:eastAsia="楷体_GB2312" w:cs="仿宋_GB2312"/>
          <w:color w:val="auto"/>
          <w:kern w:val="0"/>
          <w:sz w:val="32"/>
          <w:szCs w:val="32"/>
        </w:rPr>
        <w:t>。</w:t>
      </w:r>
    </w:p>
    <w:p>
      <w:pPr>
        <w:widowControl/>
        <w:snapToGrid w:val="0"/>
        <w:spacing w:line="560" w:lineRule="exact"/>
        <w:ind w:firstLine="636" w:firstLineChars="200"/>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《办法》在“专家考核管理”中建立了专家评价考核机制，构建了全方位的监督体系。规定了暂停专家资格、停止聘用资格和清除出库的具体情形，强化了专家监督管理。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  \* MERGEFORMAT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1</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  \* MERGEFORMAT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1</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rPr>
                      <w:t xml:space="preserve"> —</w:t>
                    </w:r>
                  </w:p>
                </w:txbxContent>
              </v:textbox>
            </v:shape>
          </w:pict>
        </mc:Fallback>
      </mc:AlternateContent>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2B"/>
    <w:rsid w:val="00004FA9"/>
    <w:rsid w:val="000144B5"/>
    <w:rsid w:val="0001700D"/>
    <w:rsid w:val="00022E69"/>
    <w:rsid w:val="000304B6"/>
    <w:rsid w:val="0004253C"/>
    <w:rsid w:val="00047694"/>
    <w:rsid w:val="00056957"/>
    <w:rsid w:val="00057D7B"/>
    <w:rsid w:val="0006182F"/>
    <w:rsid w:val="00061CB1"/>
    <w:rsid w:val="00072CB2"/>
    <w:rsid w:val="00073D93"/>
    <w:rsid w:val="00085EA7"/>
    <w:rsid w:val="00094405"/>
    <w:rsid w:val="00097204"/>
    <w:rsid w:val="000A06AF"/>
    <w:rsid w:val="000C568C"/>
    <w:rsid w:val="000D6278"/>
    <w:rsid w:val="000F3540"/>
    <w:rsid w:val="001014D2"/>
    <w:rsid w:val="00103DA3"/>
    <w:rsid w:val="00110F4D"/>
    <w:rsid w:val="00114821"/>
    <w:rsid w:val="0012189C"/>
    <w:rsid w:val="00122D07"/>
    <w:rsid w:val="00125549"/>
    <w:rsid w:val="001321D5"/>
    <w:rsid w:val="001451E7"/>
    <w:rsid w:val="001454DA"/>
    <w:rsid w:val="00151C83"/>
    <w:rsid w:val="0015413C"/>
    <w:rsid w:val="001743ED"/>
    <w:rsid w:val="001830D5"/>
    <w:rsid w:val="00185CCF"/>
    <w:rsid w:val="001B0145"/>
    <w:rsid w:val="001B1E12"/>
    <w:rsid w:val="001B352D"/>
    <w:rsid w:val="001B4269"/>
    <w:rsid w:val="001C2B83"/>
    <w:rsid w:val="001D45CD"/>
    <w:rsid w:val="001D61D1"/>
    <w:rsid w:val="001E5EEB"/>
    <w:rsid w:val="001E6087"/>
    <w:rsid w:val="002007C3"/>
    <w:rsid w:val="00212CF7"/>
    <w:rsid w:val="0022547A"/>
    <w:rsid w:val="002265CD"/>
    <w:rsid w:val="00227D39"/>
    <w:rsid w:val="00243BB4"/>
    <w:rsid w:val="00247B5D"/>
    <w:rsid w:val="0025335F"/>
    <w:rsid w:val="00263598"/>
    <w:rsid w:val="002649A6"/>
    <w:rsid w:val="002B1A3A"/>
    <w:rsid w:val="002B6D76"/>
    <w:rsid w:val="002B7D9A"/>
    <w:rsid w:val="002C1DF5"/>
    <w:rsid w:val="002C4985"/>
    <w:rsid w:val="002C5544"/>
    <w:rsid w:val="002C5709"/>
    <w:rsid w:val="002E46F0"/>
    <w:rsid w:val="002E57A0"/>
    <w:rsid w:val="002F3552"/>
    <w:rsid w:val="002F35CE"/>
    <w:rsid w:val="00315B04"/>
    <w:rsid w:val="00325EF3"/>
    <w:rsid w:val="0032647E"/>
    <w:rsid w:val="00336BE5"/>
    <w:rsid w:val="003812F4"/>
    <w:rsid w:val="003A460E"/>
    <w:rsid w:val="003A462B"/>
    <w:rsid w:val="003B0881"/>
    <w:rsid w:val="003B0B9A"/>
    <w:rsid w:val="003B56B6"/>
    <w:rsid w:val="003C35E2"/>
    <w:rsid w:val="003C58AC"/>
    <w:rsid w:val="003D020C"/>
    <w:rsid w:val="003D17E5"/>
    <w:rsid w:val="003D70A3"/>
    <w:rsid w:val="003E1BA1"/>
    <w:rsid w:val="003F41DD"/>
    <w:rsid w:val="003F4F14"/>
    <w:rsid w:val="00402754"/>
    <w:rsid w:val="00407D67"/>
    <w:rsid w:val="004156BB"/>
    <w:rsid w:val="004230E1"/>
    <w:rsid w:val="004232FA"/>
    <w:rsid w:val="00427E31"/>
    <w:rsid w:val="00435575"/>
    <w:rsid w:val="00436439"/>
    <w:rsid w:val="00444254"/>
    <w:rsid w:val="004470B5"/>
    <w:rsid w:val="00451088"/>
    <w:rsid w:val="004623B8"/>
    <w:rsid w:val="00470C02"/>
    <w:rsid w:val="00472A84"/>
    <w:rsid w:val="00474EA7"/>
    <w:rsid w:val="00476342"/>
    <w:rsid w:val="00477C18"/>
    <w:rsid w:val="004831E2"/>
    <w:rsid w:val="00487A8F"/>
    <w:rsid w:val="004A5B83"/>
    <w:rsid w:val="004B6C7C"/>
    <w:rsid w:val="004C69D9"/>
    <w:rsid w:val="004E0657"/>
    <w:rsid w:val="004E0F5E"/>
    <w:rsid w:val="004E1C8E"/>
    <w:rsid w:val="004F4507"/>
    <w:rsid w:val="004F7517"/>
    <w:rsid w:val="00501432"/>
    <w:rsid w:val="0051226E"/>
    <w:rsid w:val="0051476C"/>
    <w:rsid w:val="00523173"/>
    <w:rsid w:val="0052564F"/>
    <w:rsid w:val="00527874"/>
    <w:rsid w:val="00527E85"/>
    <w:rsid w:val="005332CB"/>
    <w:rsid w:val="0054369A"/>
    <w:rsid w:val="0054433F"/>
    <w:rsid w:val="00554C7A"/>
    <w:rsid w:val="00560C68"/>
    <w:rsid w:val="00571F35"/>
    <w:rsid w:val="00587DD6"/>
    <w:rsid w:val="005A07C1"/>
    <w:rsid w:val="005A341E"/>
    <w:rsid w:val="005B044D"/>
    <w:rsid w:val="005B3F80"/>
    <w:rsid w:val="005B547F"/>
    <w:rsid w:val="005C13BA"/>
    <w:rsid w:val="005D3443"/>
    <w:rsid w:val="005D4B11"/>
    <w:rsid w:val="005D5210"/>
    <w:rsid w:val="005E35A6"/>
    <w:rsid w:val="005F3401"/>
    <w:rsid w:val="0060276E"/>
    <w:rsid w:val="00622E56"/>
    <w:rsid w:val="0065348D"/>
    <w:rsid w:val="00692EEC"/>
    <w:rsid w:val="006A0CB4"/>
    <w:rsid w:val="006A30E7"/>
    <w:rsid w:val="006A743A"/>
    <w:rsid w:val="006B6B5E"/>
    <w:rsid w:val="006D1410"/>
    <w:rsid w:val="006D3C6D"/>
    <w:rsid w:val="006D7CAC"/>
    <w:rsid w:val="006E537B"/>
    <w:rsid w:val="006E5ABC"/>
    <w:rsid w:val="00704EE6"/>
    <w:rsid w:val="00711EC9"/>
    <w:rsid w:val="00724A25"/>
    <w:rsid w:val="00726122"/>
    <w:rsid w:val="007328A8"/>
    <w:rsid w:val="0073596F"/>
    <w:rsid w:val="0074508C"/>
    <w:rsid w:val="00747B63"/>
    <w:rsid w:val="007520AD"/>
    <w:rsid w:val="00755847"/>
    <w:rsid w:val="00757AF8"/>
    <w:rsid w:val="00766CE3"/>
    <w:rsid w:val="00773834"/>
    <w:rsid w:val="00774436"/>
    <w:rsid w:val="00775ABF"/>
    <w:rsid w:val="007821D0"/>
    <w:rsid w:val="00794C70"/>
    <w:rsid w:val="007A1AF8"/>
    <w:rsid w:val="007B3626"/>
    <w:rsid w:val="007C2A95"/>
    <w:rsid w:val="007C3465"/>
    <w:rsid w:val="007D52EB"/>
    <w:rsid w:val="007E0E35"/>
    <w:rsid w:val="007E3436"/>
    <w:rsid w:val="007F5CC9"/>
    <w:rsid w:val="008074EE"/>
    <w:rsid w:val="00820DE5"/>
    <w:rsid w:val="008249A3"/>
    <w:rsid w:val="008339D2"/>
    <w:rsid w:val="00835A0B"/>
    <w:rsid w:val="00846F6C"/>
    <w:rsid w:val="0084736D"/>
    <w:rsid w:val="008544BA"/>
    <w:rsid w:val="00872082"/>
    <w:rsid w:val="00887F45"/>
    <w:rsid w:val="00892B76"/>
    <w:rsid w:val="008A312D"/>
    <w:rsid w:val="008B49F7"/>
    <w:rsid w:val="008B6D32"/>
    <w:rsid w:val="008C0C1F"/>
    <w:rsid w:val="008C44FC"/>
    <w:rsid w:val="008C5A76"/>
    <w:rsid w:val="008D6850"/>
    <w:rsid w:val="008E7087"/>
    <w:rsid w:val="00900210"/>
    <w:rsid w:val="00903B78"/>
    <w:rsid w:val="00907B88"/>
    <w:rsid w:val="0092418E"/>
    <w:rsid w:val="00926239"/>
    <w:rsid w:val="009434CE"/>
    <w:rsid w:val="00945BB6"/>
    <w:rsid w:val="00951211"/>
    <w:rsid w:val="00953CBF"/>
    <w:rsid w:val="009812E8"/>
    <w:rsid w:val="0098610A"/>
    <w:rsid w:val="00987B9E"/>
    <w:rsid w:val="00990B23"/>
    <w:rsid w:val="00997EF2"/>
    <w:rsid w:val="009A3B07"/>
    <w:rsid w:val="009A3B16"/>
    <w:rsid w:val="009B1269"/>
    <w:rsid w:val="009B1DA1"/>
    <w:rsid w:val="009B6892"/>
    <w:rsid w:val="009C0DED"/>
    <w:rsid w:val="009C6976"/>
    <w:rsid w:val="009D653F"/>
    <w:rsid w:val="009E4466"/>
    <w:rsid w:val="009F5F45"/>
    <w:rsid w:val="009F6173"/>
    <w:rsid w:val="00A014E3"/>
    <w:rsid w:val="00A15FE5"/>
    <w:rsid w:val="00A22F19"/>
    <w:rsid w:val="00A35457"/>
    <w:rsid w:val="00A57C1F"/>
    <w:rsid w:val="00A647A9"/>
    <w:rsid w:val="00A64A40"/>
    <w:rsid w:val="00A75752"/>
    <w:rsid w:val="00A77063"/>
    <w:rsid w:val="00A83076"/>
    <w:rsid w:val="00A8625E"/>
    <w:rsid w:val="00AB26A6"/>
    <w:rsid w:val="00AC14CB"/>
    <w:rsid w:val="00AC7C65"/>
    <w:rsid w:val="00AD5A6D"/>
    <w:rsid w:val="00AE7593"/>
    <w:rsid w:val="00B02CE8"/>
    <w:rsid w:val="00B06514"/>
    <w:rsid w:val="00B071DD"/>
    <w:rsid w:val="00B108BA"/>
    <w:rsid w:val="00B16468"/>
    <w:rsid w:val="00B23BCB"/>
    <w:rsid w:val="00B325AF"/>
    <w:rsid w:val="00B334A9"/>
    <w:rsid w:val="00B4377A"/>
    <w:rsid w:val="00B8043D"/>
    <w:rsid w:val="00B95CD6"/>
    <w:rsid w:val="00B977D6"/>
    <w:rsid w:val="00BA0E46"/>
    <w:rsid w:val="00BA2BE3"/>
    <w:rsid w:val="00BA6F64"/>
    <w:rsid w:val="00BB6736"/>
    <w:rsid w:val="00BE0234"/>
    <w:rsid w:val="00BE730F"/>
    <w:rsid w:val="00BF0642"/>
    <w:rsid w:val="00C0285A"/>
    <w:rsid w:val="00C1011D"/>
    <w:rsid w:val="00C11362"/>
    <w:rsid w:val="00C14C02"/>
    <w:rsid w:val="00C17CC7"/>
    <w:rsid w:val="00C30760"/>
    <w:rsid w:val="00C4230E"/>
    <w:rsid w:val="00C534E4"/>
    <w:rsid w:val="00C55758"/>
    <w:rsid w:val="00C85ABA"/>
    <w:rsid w:val="00C87064"/>
    <w:rsid w:val="00C91D03"/>
    <w:rsid w:val="00CA2C20"/>
    <w:rsid w:val="00CB0227"/>
    <w:rsid w:val="00CB2AB3"/>
    <w:rsid w:val="00CB5573"/>
    <w:rsid w:val="00CB5818"/>
    <w:rsid w:val="00CC0F2F"/>
    <w:rsid w:val="00CC727C"/>
    <w:rsid w:val="00CE1D67"/>
    <w:rsid w:val="00D019BF"/>
    <w:rsid w:val="00D17E29"/>
    <w:rsid w:val="00D27C29"/>
    <w:rsid w:val="00D369E3"/>
    <w:rsid w:val="00D43510"/>
    <w:rsid w:val="00D540C6"/>
    <w:rsid w:val="00D55499"/>
    <w:rsid w:val="00D60D82"/>
    <w:rsid w:val="00D82841"/>
    <w:rsid w:val="00D874E7"/>
    <w:rsid w:val="00DB10EF"/>
    <w:rsid w:val="00DB2528"/>
    <w:rsid w:val="00DB5C47"/>
    <w:rsid w:val="00DD0C92"/>
    <w:rsid w:val="00DE5B8B"/>
    <w:rsid w:val="00DF1764"/>
    <w:rsid w:val="00E05129"/>
    <w:rsid w:val="00E15802"/>
    <w:rsid w:val="00E208BC"/>
    <w:rsid w:val="00E378A5"/>
    <w:rsid w:val="00E43A8B"/>
    <w:rsid w:val="00E43CB6"/>
    <w:rsid w:val="00E633F3"/>
    <w:rsid w:val="00E705FB"/>
    <w:rsid w:val="00E8035B"/>
    <w:rsid w:val="00E91952"/>
    <w:rsid w:val="00EA4283"/>
    <w:rsid w:val="00EB574C"/>
    <w:rsid w:val="00EC0AF9"/>
    <w:rsid w:val="00EC396A"/>
    <w:rsid w:val="00EC5ED9"/>
    <w:rsid w:val="00ED2803"/>
    <w:rsid w:val="00EE5F6D"/>
    <w:rsid w:val="00EE6D72"/>
    <w:rsid w:val="00EF4F39"/>
    <w:rsid w:val="00F101E1"/>
    <w:rsid w:val="00F35CF2"/>
    <w:rsid w:val="00F60373"/>
    <w:rsid w:val="00F61D43"/>
    <w:rsid w:val="00F66EAE"/>
    <w:rsid w:val="00F70C54"/>
    <w:rsid w:val="00F73A7D"/>
    <w:rsid w:val="00F75608"/>
    <w:rsid w:val="00F90323"/>
    <w:rsid w:val="00FA37AD"/>
    <w:rsid w:val="00FA6B08"/>
    <w:rsid w:val="00FA7934"/>
    <w:rsid w:val="00FC346E"/>
    <w:rsid w:val="00FD2087"/>
    <w:rsid w:val="00FD5B3F"/>
    <w:rsid w:val="00FD796A"/>
    <w:rsid w:val="00FE41A3"/>
    <w:rsid w:val="00FE42BA"/>
    <w:rsid w:val="00FF067B"/>
    <w:rsid w:val="017151BD"/>
    <w:rsid w:val="043814F9"/>
    <w:rsid w:val="0C6D6337"/>
    <w:rsid w:val="0DFA37D0"/>
    <w:rsid w:val="18EF7899"/>
    <w:rsid w:val="1EFB71B8"/>
    <w:rsid w:val="1FDDBE7B"/>
    <w:rsid w:val="21722EF2"/>
    <w:rsid w:val="2E91652C"/>
    <w:rsid w:val="2EFF3C83"/>
    <w:rsid w:val="2FEF1CE2"/>
    <w:rsid w:val="34ED3A43"/>
    <w:rsid w:val="37BF320B"/>
    <w:rsid w:val="3BDDC128"/>
    <w:rsid w:val="3BED8EA3"/>
    <w:rsid w:val="3D382776"/>
    <w:rsid w:val="3DFB6B66"/>
    <w:rsid w:val="3F735556"/>
    <w:rsid w:val="3FBF9391"/>
    <w:rsid w:val="3FD7CA9C"/>
    <w:rsid w:val="4FD74191"/>
    <w:rsid w:val="54BF4A4E"/>
    <w:rsid w:val="57FF15D6"/>
    <w:rsid w:val="5AF48B04"/>
    <w:rsid w:val="5BFF021B"/>
    <w:rsid w:val="5D68372A"/>
    <w:rsid w:val="5EDE56E6"/>
    <w:rsid w:val="5EFDC4D2"/>
    <w:rsid w:val="5F2E37CE"/>
    <w:rsid w:val="5FA26E2E"/>
    <w:rsid w:val="5FED64F9"/>
    <w:rsid w:val="5FFF9BF3"/>
    <w:rsid w:val="6307542F"/>
    <w:rsid w:val="63FBEF0B"/>
    <w:rsid w:val="64B79843"/>
    <w:rsid w:val="65F76EFF"/>
    <w:rsid w:val="66FE1294"/>
    <w:rsid w:val="67777C24"/>
    <w:rsid w:val="67E67B16"/>
    <w:rsid w:val="6CDFBE93"/>
    <w:rsid w:val="6EEF2890"/>
    <w:rsid w:val="6F7FA0A7"/>
    <w:rsid w:val="7564AC36"/>
    <w:rsid w:val="767465AD"/>
    <w:rsid w:val="76BBFBED"/>
    <w:rsid w:val="7777439C"/>
    <w:rsid w:val="777D844B"/>
    <w:rsid w:val="77974A78"/>
    <w:rsid w:val="77F9FF53"/>
    <w:rsid w:val="783771B7"/>
    <w:rsid w:val="793D236A"/>
    <w:rsid w:val="7997574A"/>
    <w:rsid w:val="79F9E89C"/>
    <w:rsid w:val="7B7958DD"/>
    <w:rsid w:val="7BBFF9BF"/>
    <w:rsid w:val="7CBBC4A6"/>
    <w:rsid w:val="7DFE9F06"/>
    <w:rsid w:val="7E2E08B2"/>
    <w:rsid w:val="7E9339BF"/>
    <w:rsid w:val="7EDFB026"/>
    <w:rsid w:val="7EFEE5BF"/>
    <w:rsid w:val="7F3D9FB0"/>
    <w:rsid w:val="7F7D555B"/>
    <w:rsid w:val="7FB0944D"/>
    <w:rsid w:val="7FB77DA1"/>
    <w:rsid w:val="8EDF5BAB"/>
    <w:rsid w:val="967BC954"/>
    <w:rsid w:val="9BFD3FA7"/>
    <w:rsid w:val="9EBFAB52"/>
    <w:rsid w:val="A6A78122"/>
    <w:rsid w:val="ABF3EC29"/>
    <w:rsid w:val="AF73F395"/>
    <w:rsid w:val="AFF48272"/>
    <w:rsid w:val="B6BF041C"/>
    <w:rsid w:val="B71E6AFE"/>
    <w:rsid w:val="B9EFA319"/>
    <w:rsid w:val="B9FC8CBE"/>
    <w:rsid w:val="BABF4157"/>
    <w:rsid w:val="BEBD06F6"/>
    <w:rsid w:val="BEDB59B7"/>
    <w:rsid w:val="BEFF1ED5"/>
    <w:rsid w:val="BF5C2F13"/>
    <w:rsid w:val="BFE3D967"/>
    <w:rsid w:val="BFF3DE27"/>
    <w:rsid w:val="CD7797E4"/>
    <w:rsid w:val="CF3749DD"/>
    <w:rsid w:val="D77FCC95"/>
    <w:rsid w:val="DBBEF87C"/>
    <w:rsid w:val="DBD46FF5"/>
    <w:rsid w:val="DEFD758C"/>
    <w:rsid w:val="DEFE725D"/>
    <w:rsid w:val="DF394084"/>
    <w:rsid w:val="DF7294B6"/>
    <w:rsid w:val="DFBF9C47"/>
    <w:rsid w:val="DFCF1527"/>
    <w:rsid w:val="E3636C39"/>
    <w:rsid w:val="E3F77DF8"/>
    <w:rsid w:val="E7F73E1B"/>
    <w:rsid w:val="EBE6B8F5"/>
    <w:rsid w:val="EDFD61CD"/>
    <w:rsid w:val="EE6C2538"/>
    <w:rsid w:val="EE778BD8"/>
    <w:rsid w:val="EF5C5E25"/>
    <w:rsid w:val="EFDF710B"/>
    <w:rsid w:val="F1F6D52A"/>
    <w:rsid w:val="F3777B28"/>
    <w:rsid w:val="F37DDF81"/>
    <w:rsid w:val="F3F7F9C2"/>
    <w:rsid w:val="F6D5D55D"/>
    <w:rsid w:val="F73F85AB"/>
    <w:rsid w:val="F76F5255"/>
    <w:rsid w:val="F7D5C8CA"/>
    <w:rsid w:val="FA75779D"/>
    <w:rsid w:val="FAFFDED9"/>
    <w:rsid w:val="FB3FBDE6"/>
    <w:rsid w:val="FBFAEA70"/>
    <w:rsid w:val="FC9C8612"/>
    <w:rsid w:val="FD9ACD30"/>
    <w:rsid w:val="FDD7B615"/>
    <w:rsid w:val="FDFEEBE5"/>
    <w:rsid w:val="FE6F9738"/>
    <w:rsid w:val="FEBF8C97"/>
    <w:rsid w:val="FEF3CF85"/>
    <w:rsid w:val="FF1A8D1A"/>
    <w:rsid w:val="FF7E0B3A"/>
    <w:rsid w:val="FFE9CE37"/>
    <w:rsid w:val="FFFBE5F2"/>
    <w:rsid w:val="FFFD85B1"/>
    <w:rsid w:val="FFFF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ourier New" w:hAnsi="Courier New" w:eastAsia="宋体" w:cs="Courier New"/>
      <w:kern w:val="2"/>
      <w:sz w:val="21"/>
      <w:szCs w:val="21"/>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Wingdings" w:hAnsi="Wingdings" w:eastAsia="Cambria Math"/>
      <w:b/>
      <w:bCs/>
      <w:sz w:val="32"/>
      <w:szCs w:val="32"/>
    </w:rPr>
  </w:style>
  <w:style w:type="paragraph" w:styleId="5">
    <w:name w:val="heading 4"/>
    <w:basedOn w:val="1"/>
    <w:next w:val="1"/>
    <w:qFormat/>
    <w:uiPriority w:val="9"/>
    <w:pPr>
      <w:keepNext/>
      <w:keepLines/>
      <w:spacing w:before="280" w:after="290" w:line="376" w:lineRule="atLeast"/>
      <w:outlineLvl w:val="3"/>
    </w:pPr>
    <w:rPr>
      <w:rFonts w:ascii="Cambria" w:hAnsi="Cambria" w:cs="Times New Roman"/>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32"/>
      <w:szCs w:val="21"/>
    </w:rPr>
  </w:style>
  <w:style w:type="paragraph" w:styleId="6">
    <w:name w:val="annotation text"/>
    <w:basedOn w:val="1"/>
    <w:link w:val="29"/>
    <w:semiHidden/>
    <w:unhideWhenUsed/>
    <w:qFormat/>
    <w:uiPriority w:val="99"/>
    <w:pPr>
      <w:jc w:val="left"/>
    </w:pPr>
  </w:style>
  <w:style w:type="paragraph" w:styleId="7">
    <w:name w:val="Body Text"/>
    <w:basedOn w:val="1"/>
    <w:unhideWhenUsed/>
    <w:qFormat/>
    <w:uiPriority w:val="0"/>
    <w:pPr>
      <w:spacing w:after="120"/>
    </w:pPr>
    <w:rPr>
      <w:rFonts w:ascii="Times New Roman" w:hAnsi="Times New Roman"/>
    </w:rPr>
  </w:style>
  <w:style w:type="paragraph" w:styleId="8">
    <w:name w:val="Balloon Text"/>
    <w:basedOn w:val="1"/>
    <w:link w:val="28"/>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0"/>
    <w:semiHidden/>
    <w:unhideWhenUsed/>
    <w:qFormat/>
    <w:uiPriority w:val="99"/>
    <w:rPr>
      <w:b/>
      <w:bCs/>
    </w:r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semiHidden/>
    <w:unhideWhenUsed/>
    <w:qFormat/>
    <w:uiPriority w:val="99"/>
    <w:rPr>
      <w:sz w:val="21"/>
      <w:szCs w:val="21"/>
    </w:rPr>
  </w:style>
  <w:style w:type="paragraph" w:customStyle="1" w:styleId="21">
    <w:name w:val="Default"/>
    <w:qFormat/>
    <w:uiPriority w:val="0"/>
    <w:pPr>
      <w:widowControl w:val="0"/>
      <w:autoSpaceDE w:val="0"/>
      <w:autoSpaceDN w:val="0"/>
      <w:adjustRightInd w:val="0"/>
    </w:pPr>
    <w:rPr>
      <w:rFonts w:ascii="Courier New" w:hAnsi="Courier New" w:eastAsia="宋体" w:cs="Courier New"/>
      <w:color w:val="000000"/>
      <w:sz w:val="24"/>
      <w:szCs w:val="24"/>
      <w:lang w:val="en-US" w:eastAsia="zh-CN" w:bidi="ar-SA"/>
    </w:rPr>
  </w:style>
  <w:style w:type="character" w:customStyle="1" w:styleId="22">
    <w:name w:val="页脚 字符"/>
    <w:basedOn w:val="16"/>
    <w:link w:val="9"/>
    <w:qFormat/>
    <w:uiPriority w:val="99"/>
    <w:rPr>
      <w:rFonts w:ascii="Courier New" w:hAnsi="Courier New" w:eastAsia="宋体" w:cs="Courier New"/>
      <w:sz w:val="18"/>
      <w:szCs w:val="18"/>
    </w:rPr>
  </w:style>
  <w:style w:type="character" w:customStyle="1" w:styleId="23">
    <w:name w:val="页眉 字符"/>
    <w:basedOn w:val="16"/>
    <w:link w:val="10"/>
    <w:qFormat/>
    <w:uiPriority w:val="99"/>
    <w:rPr>
      <w:rFonts w:ascii="Courier New" w:hAnsi="Courier New" w:eastAsia="宋体" w:cs="Courier New"/>
      <w:sz w:val="18"/>
      <w:szCs w:val="18"/>
    </w:rPr>
  </w:style>
  <w:style w:type="character" w:customStyle="1" w:styleId="24">
    <w:name w:val="标题 1 字符"/>
    <w:basedOn w:val="16"/>
    <w:link w:val="3"/>
    <w:qFormat/>
    <w:uiPriority w:val="0"/>
    <w:rPr>
      <w:rFonts w:ascii="Courier New" w:hAnsi="Courier New" w:eastAsia="宋体" w:cs="Courier New"/>
      <w:b/>
      <w:bCs/>
      <w:kern w:val="44"/>
      <w:sz w:val="44"/>
      <w:szCs w:val="44"/>
    </w:rPr>
  </w:style>
  <w:style w:type="character" w:customStyle="1" w:styleId="25">
    <w:name w:val="标题 2 Char"/>
    <w:basedOn w:val="16"/>
    <w:semiHidden/>
    <w:qFormat/>
    <w:uiPriority w:val="9"/>
    <w:rPr>
      <w:rFonts w:asciiTheme="majorHAnsi" w:hAnsiTheme="majorHAnsi" w:eastAsiaTheme="majorEastAsia" w:cstheme="majorBidi"/>
      <w:b/>
      <w:bCs/>
      <w:sz w:val="32"/>
      <w:szCs w:val="32"/>
    </w:rPr>
  </w:style>
  <w:style w:type="character" w:customStyle="1" w:styleId="26">
    <w:name w:val="标题 2 字符"/>
    <w:link w:val="4"/>
    <w:qFormat/>
    <w:uiPriority w:val="0"/>
    <w:rPr>
      <w:rFonts w:ascii="Wingdings" w:hAnsi="Wingdings" w:eastAsia="Cambria Math" w:cs="Courier New"/>
      <w:b/>
      <w:bCs/>
      <w:sz w:val="32"/>
      <w:szCs w:val="32"/>
    </w:rPr>
  </w:style>
  <w:style w:type="paragraph" w:customStyle="1" w:styleId="27">
    <w:name w:val="正文0717"/>
    <w:basedOn w:val="1"/>
    <w:qFormat/>
    <w:uiPriority w:val="0"/>
    <w:pPr>
      <w:widowControl/>
      <w:spacing w:line="360" w:lineRule="auto"/>
      <w:ind w:firstLine="200" w:firstLineChars="200"/>
    </w:pPr>
    <w:rPr>
      <w:rFonts w:ascii="Times New Roman" w:hAnsi="Times New Roman" w:eastAsia="仿宋" w:cs="Arial"/>
      <w:color w:val="333333"/>
      <w:kern w:val="0"/>
      <w:sz w:val="28"/>
      <w:szCs w:val="28"/>
    </w:rPr>
  </w:style>
  <w:style w:type="character" w:customStyle="1" w:styleId="28">
    <w:name w:val="批注框文本 字符"/>
    <w:basedOn w:val="16"/>
    <w:link w:val="8"/>
    <w:semiHidden/>
    <w:qFormat/>
    <w:uiPriority w:val="99"/>
    <w:rPr>
      <w:rFonts w:ascii="Courier New" w:hAnsi="Courier New" w:eastAsia="宋体" w:cs="Courier New"/>
      <w:sz w:val="18"/>
      <w:szCs w:val="18"/>
    </w:rPr>
  </w:style>
  <w:style w:type="character" w:customStyle="1" w:styleId="29">
    <w:name w:val="批注文字 字符"/>
    <w:basedOn w:val="16"/>
    <w:link w:val="6"/>
    <w:semiHidden/>
    <w:qFormat/>
    <w:uiPriority w:val="99"/>
    <w:rPr>
      <w:rFonts w:ascii="Courier New" w:hAnsi="Courier New" w:eastAsia="宋体" w:cs="Courier New"/>
      <w:kern w:val="2"/>
      <w:sz w:val="21"/>
      <w:szCs w:val="21"/>
    </w:rPr>
  </w:style>
  <w:style w:type="character" w:customStyle="1" w:styleId="30">
    <w:name w:val="批注主题 字符"/>
    <w:basedOn w:val="29"/>
    <w:link w:val="14"/>
    <w:semiHidden/>
    <w:qFormat/>
    <w:uiPriority w:val="99"/>
    <w:rPr>
      <w:rFonts w:ascii="Courier New" w:hAnsi="Courier New" w:eastAsia="宋体" w:cs="Courier New"/>
      <w:b/>
      <w:bCs/>
      <w:kern w:val="2"/>
      <w:sz w:val="21"/>
      <w:szCs w:val="21"/>
    </w:rPr>
  </w:style>
  <w:style w:type="paragraph" w:customStyle="1" w:styleId="31">
    <w:name w:val="修订1"/>
    <w:hidden/>
    <w:semiHidden/>
    <w:qFormat/>
    <w:uiPriority w:val="99"/>
    <w:rPr>
      <w:rFonts w:ascii="Courier New" w:hAnsi="Courier New" w:eastAsia="宋体" w:cs="Courier New"/>
      <w:kern w:val="2"/>
      <w:sz w:val="21"/>
      <w:szCs w:val="21"/>
      <w:lang w:val="en-US" w:eastAsia="zh-CN" w:bidi="ar-SA"/>
    </w:rPr>
  </w:style>
  <w:style w:type="paragraph" w:customStyle="1" w:styleId="32">
    <w:name w:val=" Char"/>
    <w:basedOn w:val="1"/>
    <w:semiHidden/>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273</Words>
  <Characters>1559</Characters>
  <Lines>12</Lines>
  <Paragraphs>3</Paragraphs>
  <TotalTime>2</TotalTime>
  <ScaleCrop>false</ScaleCrop>
  <LinksUpToDate>false</LinksUpToDate>
  <CharactersWithSpaces>1829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2022-04-12T18:43:00Z</dcterms:created>
  <dc:creator>admin</dc:creator>
  <cp:lastModifiedBy>shuiwuju</cp:lastModifiedBy>
  <cp:lastPrinted>2025-11-05T01:19:00Z</cp:lastPrinted>
  <dcterms:modified xsi:type="dcterms:W3CDTF">2025-11-06T10:54:20Z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6CEAD975394F4ABB83757109B8231CA8</vt:lpwstr>
  </property>
</Properties>
</file>