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00B71">
      <w:pPr>
        <w:spacing w:line="700" w:lineRule="exact"/>
        <w:jc w:val="center"/>
        <w:rPr>
          <w:rFonts w:ascii="华文中宋" w:hAnsi="华文中宋" w:eastAsia="华文中宋"/>
          <w:sz w:val="44"/>
          <w:szCs w:val="44"/>
        </w:rPr>
      </w:pPr>
      <w:bookmarkStart w:id="36" w:name="_GoBack"/>
      <w:bookmarkEnd w:id="36"/>
      <w:r>
        <w:rPr>
          <w:rFonts w:hint="eastAsia" w:ascii="华文中宋" w:hAnsi="华文中宋" w:eastAsia="华文中宋"/>
          <w:sz w:val="44"/>
          <w:szCs w:val="44"/>
        </w:rPr>
        <w:t>《蔬菜霜霉病测报调查规范》</w:t>
      </w:r>
    </w:p>
    <w:p w14:paraId="6F24FE44">
      <w:pPr>
        <w:jc w:val="center"/>
        <w:rPr>
          <w:sz w:val="32"/>
        </w:rPr>
      </w:pPr>
      <w:r>
        <w:rPr>
          <w:rFonts w:hint="eastAsia" w:ascii="华文中宋" w:hAnsi="华文中宋" w:eastAsia="华文中宋"/>
          <w:sz w:val="44"/>
          <w:szCs w:val="44"/>
        </w:rPr>
        <w:t>北京市地方标准编制说明</w:t>
      </w:r>
    </w:p>
    <w:p w14:paraId="0FB14532">
      <w:pPr>
        <w:numPr>
          <w:ilvl w:val="0"/>
          <w:numId w:val="3"/>
        </w:numPr>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任务来源，起草单位，协作单位，主要起草人</w:t>
      </w:r>
    </w:p>
    <w:p w14:paraId="212E038F">
      <w:pPr>
        <w:ind w:firstLine="630"/>
        <w:rPr>
          <w:rFonts w:ascii="仿宋_GB2312" w:eastAsia="仿宋_GB2312"/>
          <w:sz w:val="28"/>
          <w:szCs w:val="28"/>
        </w:rPr>
      </w:pPr>
      <w:r>
        <w:rPr>
          <w:rFonts w:hint="eastAsia" w:ascii="仿宋_GB2312" w:eastAsia="仿宋_GB2312"/>
          <w:sz w:val="28"/>
          <w:szCs w:val="28"/>
        </w:rPr>
        <w:t>DB11/T 286-2005《保护地黄瓜霜霉病测报调查规范》和DB11/T 287-2005《大白菜霜霉病测报调查规范》两项标准于2005年制定发布，至今已超过20年，随着蔬菜品种、种植制度、霜霉病发生规律的变化，原规范中部分内容已不适用于进行蔬菜霜霉病测报调查依据。根据北京市市场监督管理局组织制定的《2025年北京市地方标准修订项目计划（第一批）》通知要求，北京市植物保护站开展地方标准修订工作，项目编号为</w:t>
      </w:r>
      <w:r>
        <w:rPr>
          <w:rFonts w:hint="eastAsia" w:ascii="仿宋_GB2312" w:hAnsi="仿宋_GB2312" w:eastAsia="仿宋_GB2312" w:cs="仿宋_GB2312"/>
          <w:bCs/>
          <w:sz w:val="28"/>
          <w:szCs w:val="28"/>
        </w:rPr>
        <w:t>20251216。</w:t>
      </w:r>
    </w:p>
    <w:p w14:paraId="0128FD0B">
      <w:pPr>
        <w:pStyle w:val="13"/>
        <w:spacing w:line="560" w:lineRule="exact"/>
        <w:ind w:firstLine="562"/>
        <w:outlineLvl w:val="0"/>
        <w:rPr>
          <w:rFonts w:ascii="仿宋_GB2312" w:eastAsia="仿宋_GB2312"/>
          <w:color w:val="0000FF"/>
          <w:sz w:val="24"/>
          <w:highlight w:val="yellow"/>
        </w:rPr>
      </w:pPr>
      <w:r>
        <w:rPr>
          <w:rFonts w:hint="eastAsia" w:ascii="仿宋_GB2312" w:hAnsi="仿宋_GB2312" w:eastAsia="仿宋_GB2312" w:cs="仿宋_GB2312"/>
          <w:b/>
          <w:bCs/>
          <w:sz w:val="28"/>
          <w:szCs w:val="21"/>
        </w:rPr>
        <w:t>二、制定标准的必要性和意义。</w:t>
      </w:r>
    </w:p>
    <w:p w14:paraId="117CD5B9">
      <w:pPr>
        <w:spacing w:line="560" w:lineRule="exact"/>
        <w:ind w:firstLine="560" w:firstLineChars="200"/>
        <w:rPr>
          <w:rFonts w:ascii="仿宋_GB2312" w:eastAsia="仿宋_GB2312"/>
          <w:color w:val="0000FF"/>
          <w:sz w:val="32"/>
        </w:rPr>
      </w:pPr>
      <w:r>
        <w:rPr>
          <w:rFonts w:hint="eastAsia" w:ascii="仿宋_GB2312" w:hAnsi="仿宋_GB2312" w:eastAsia="仿宋_GB2312" w:cs="仿宋_GB2312"/>
          <w:sz w:val="28"/>
          <w:szCs w:val="21"/>
        </w:rPr>
        <w:t>（一）北京市蔬菜霜霉病发生及测报调查规范现状</w:t>
      </w:r>
    </w:p>
    <w:p w14:paraId="22D1E6FF">
      <w:pPr>
        <w:ind w:firstLine="630"/>
        <w:rPr>
          <w:rFonts w:ascii="仿宋_GB2312" w:eastAsia="仿宋_GB2312"/>
          <w:sz w:val="28"/>
          <w:szCs w:val="28"/>
        </w:rPr>
      </w:pPr>
      <w:r>
        <w:rPr>
          <w:rFonts w:hint="eastAsia" w:ascii="仿宋_GB2312" w:eastAsia="仿宋_GB2312"/>
          <w:sz w:val="28"/>
          <w:szCs w:val="28"/>
        </w:rPr>
        <w:t>保护地葫芦科蔬菜（瓜类）</w:t>
      </w:r>
      <w:r>
        <w:rPr>
          <w:rFonts w:hint="eastAsia" w:ascii="仿宋_GB2312" w:eastAsia="仿宋_GB2312"/>
          <w:sz w:val="28"/>
          <w:szCs w:val="28"/>
          <w:lang w:eastAsia="zh-CN"/>
        </w:rPr>
        <w:t>和</w:t>
      </w:r>
      <w:r>
        <w:rPr>
          <w:rFonts w:hint="eastAsia" w:ascii="仿宋_GB2312" w:eastAsia="仿宋_GB2312"/>
          <w:sz w:val="28"/>
          <w:szCs w:val="28"/>
        </w:rPr>
        <w:t>十字花科蔬菜是京郊保护地种植的主要蔬菜，在京郊蔬菜生产上占重要地位，霜霉病是冬春季蔬菜生产中重要的病害，发生普遍，为害严重，每年都造成一定损失。</w:t>
      </w:r>
    </w:p>
    <w:p w14:paraId="670845F0">
      <w:pPr>
        <w:ind w:firstLine="630"/>
        <w:rPr>
          <w:rFonts w:ascii="仿宋_GB2312" w:eastAsia="仿宋_GB2312"/>
          <w:color w:val="0000FF"/>
          <w:sz w:val="24"/>
          <w:highlight w:val="yellow"/>
        </w:rPr>
      </w:pPr>
      <w:r>
        <w:rPr>
          <w:rFonts w:hint="eastAsia" w:ascii="仿宋_GB2312" w:eastAsia="仿宋_GB2312"/>
          <w:sz w:val="28"/>
          <w:szCs w:val="28"/>
        </w:rPr>
        <w:t>北京市植物保护站在2005年制定了DB11/T 286-2005《保护地黄瓜霜霉病测报调查规范》和DB11/T 287-2005《大白菜霜霉病测报调查规范》，为市区各植保部门、测报技术人员、合作社和种植大户等病虫监测人员提供了规范的调查方法。根据《中华人民共和国标准化法》第二十九条“标准的复审周期一般不超过五年”，以及《北京市地方标准管理办法》第十条“地方标准应当根据科学技术的发展和经济建设的需要适时修订”，DB11/T 286-2005和DB11/T 287-2005两项标准自2005年发布至今已超过20年，技术内容和适用范围已无法适应当前设施农业的发展需求，亟需修订。</w:t>
      </w:r>
    </w:p>
    <w:p w14:paraId="67087823">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（二）</w:t>
      </w:r>
      <w:r>
        <w:rPr>
          <w:rFonts w:hint="eastAsia" w:ascii="仿宋_GB2312" w:eastAsia="仿宋_GB2312"/>
          <w:sz w:val="28"/>
          <w:szCs w:val="28"/>
        </w:rPr>
        <w:t>测报调查规范修订的</w:t>
      </w:r>
      <w:r>
        <w:rPr>
          <w:rFonts w:hint="eastAsia" w:ascii="仿宋_GB2312" w:hAnsi="仿宋_GB2312" w:eastAsia="仿宋_GB2312" w:cs="仿宋_GB2312"/>
          <w:sz w:val="28"/>
          <w:szCs w:val="21"/>
        </w:rPr>
        <w:t xml:space="preserve">必要性  </w:t>
      </w:r>
    </w:p>
    <w:p w14:paraId="5A87A282">
      <w:pPr>
        <w:ind w:firstLine="630"/>
        <w:rPr>
          <w:rFonts w:ascii="仿宋_GB2312" w:eastAsia="仿宋_GB2312"/>
          <w:sz w:val="28"/>
          <w:szCs w:val="28"/>
        </w:rPr>
      </w:pPr>
      <w:r>
        <w:rPr>
          <w:rFonts w:hint="eastAsia" w:ascii="仿宋_GB2312" w:eastAsia="仿宋_GB2312"/>
          <w:b/>
          <w:bCs/>
          <w:sz w:val="28"/>
          <w:szCs w:val="28"/>
        </w:rPr>
        <w:t>1.扩大标准适用对象，以适应北京市蔬菜生产形势变化。</w:t>
      </w:r>
    </w:p>
    <w:p w14:paraId="239D23C1">
      <w:pPr>
        <w:ind w:firstLine="630"/>
        <w:rPr>
          <w:rFonts w:ascii="仿宋_GB2312" w:eastAsia="仿宋_GB2312"/>
          <w:sz w:val="28"/>
          <w:szCs w:val="28"/>
        </w:rPr>
      </w:pPr>
      <w:r>
        <w:rPr>
          <w:rFonts w:hint="eastAsia" w:ascii="仿宋_GB2312" w:eastAsia="仿宋_GB2312"/>
          <w:sz w:val="28"/>
          <w:szCs w:val="28"/>
        </w:rPr>
        <w:t>随着人民生活水平提高和产业调整，设施瓜类除黄瓜外，</w:t>
      </w:r>
      <w:r>
        <w:rPr>
          <w:rFonts w:hint="eastAsia" w:ascii="仿宋_GB2312" w:eastAsia="仿宋_GB2312"/>
          <w:sz w:val="28"/>
          <w:szCs w:val="28"/>
          <w:lang w:eastAsia="zh-CN"/>
        </w:rPr>
        <w:t>西葫芦、</w:t>
      </w:r>
      <w:r>
        <w:rPr>
          <w:rFonts w:hint="eastAsia" w:ascii="仿宋_GB2312" w:eastAsia="仿宋_GB2312"/>
          <w:sz w:val="28"/>
          <w:szCs w:val="28"/>
        </w:rPr>
        <w:t>丝瓜等其他瓜类品种逐渐增加，</w:t>
      </w:r>
      <w:r>
        <w:rPr>
          <w:rFonts w:hint="eastAsia" w:ascii="仿宋_GB2312" w:eastAsia="仿宋_GB2312"/>
          <w:sz w:val="28"/>
          <w:szCs w:val="28"/>
          <w:lang w:eastAsia="zh-CN"/>
        </w:rPr>
        <w:t>十字花科</w:t>
      </w:r>
      <w:r>
        <w:rPr>
          <w:rFonts w:hint="eastAsia" w:ascii="仿宋_GB2312" w:eastAsia="仿宋_GB2312"/>
          <w:sz w:val="28"/>
          <w:szCs w:val="28"/>
        </w:rPr>
        <w:t>蔬菜除常见的大白菜以外，娃娃菜、小白菜、花椰菜、甘蓝等其他十字花科蔬菜逐渐增加。原标准只针对黄瓜和大白菜，适用对象单一，已不能满足新产业结构下的病虫测报要求，因此需要对原黄瓜霜霉病、大白菜霜霉病测报调查规范进行修订，以适用更多的蔬菜品种，满足各类蔬菜病虫害测报的实际需求，为生产防治提供依据。</w:t>
      </w:r>
    </w:p>
    <w:p w14:paraId="1C0410CD">
      <w:pPr>
        <w:ind w:firstLine="630"/>
        <w:rPr>
          <w:rFonts w:ascii="仿宋_GB2312" w:eastAsia="仿宋_GB2312"/>
          <w:b/>
          <w:bCs/>
          <w:sz w:val="28"/>
          <w:szCs w:val="28"/>
        </w:rPr>
      </w:pPr>
      <w:r>
        <w:rPr>
          <w:rFonts w:hint="eastAsia" w:ascii="仿宋_GB2312" w:eastAsia="仿宋_GB2312"/>
          <w:b/>
          <w:bCs/>
          <w:sz w:val="28"/>
          <w:szCs w:val="28"/>
        </w:rPr>
        <w:t>2.优化</w:t>
      </w:r>
      <w:r>
        <w:rPr>
          <w:rFonts w:hint="eastAsia" w:ascii="仿宋_GB2312" w:eastAsia="仿宋_GB2312"/>
          <w:b/>
          <w:bCs/>
          <w:sz w:val="28"/>
          <w:szCs w:val="28"/>
          <w:lang w:eastAsia="zh-CN"/>
        </w:rPr>
        <w:t>分级指标和调查</w:t>
      </w:r>
      <w:r>
        <w:rPr>
          <w:rFonts w:hint="eastAsia" w:ascii="仿宋_GB2312" w:eastAsia="仿宋_GB2312"/>
          <w:b/>
          <w:bCs/>
          <w:sz w:val="28"/>
          <w:szCs w:val="28"/>
        </w:rPr>
        <w:t>方法，提升测报工作的科学性。</w:t>
      </w:r>
    </w:p>
    <w:p w14:paraId="3FC7CF24">
      <w:pPr>
        <w:ind w:firstLine="630"/>
        <w:rPr>
          <w:rFonts w:hint="eastAsia" w:ascii="仿宋_GB2312" w:eastAsia="仿宋_GB2312"/>
          <w:sz w:val="28"/>
          <w:szCs w:val="28"/>
        </w:rPr>
      </w:pPr>
      <w:r>
        <w:rPr>
          <w:rFonts w:hint="eastAsia" w:ascii="仿宋_GB2312" w:eastAsia="仿宋_GB2312"/>
          <w:sz w:val="28"/>
          <w:szCs w:val="28"/>
        </w:rPr>
        <w:t>病害发生程度分级意义重大，明确划分病害实际发生程度，有助于技术人员和生产者依据病害严重程度制定适配的防治策略。</w:t>
      </w:r>
    </w:p>
    <w:p w14:paraId="5D5E4275">
      <w:pPr>
        <w:ind w:firstLine="630"/>
        <w:rPr>
          <w:rFonts w:ascii="仿宋_GB2312" w:eastAsia="仿宋_GB2312"/>
          <w:sz w:val="28"/>
          <w:szCs w:val="28"/>
        </w:rPr>
      </w:pPr>
      <w:r>
        <w:rPr>
          <w:rFonts w:hint="eastAsia" w:ascii="仿宋_GB2312" w:eastAsia="仿宋_GB2312"/>
          <w:sz w:val="28"/>
          <w:szCs w:val="28"/>
        </w:rPr>
        <w:t>原有标准的发生程度分级指标以病害发生面积比率作为标准之一，是基于田块平均概念来评估发病情况</w:t>
      </w:r>
      <w:r>
        <w:rPr>
          <w:rFonts w:hint="eastAsia" w:ascii="仿宋_GB2312" w:eastAsia="仿宋_GB2312"/>
          <w:sz w:val="28"/>
          <w:szCs w:val="28"/>
          <w:lang w:eastAsia="zh-CN"/>
        </w:rPr>
        <w:t>，</w:t>
      </w:r>
      <w:r>
        <w:rPr>
          <w:rFonts w:hint="eastAsia" w:ascii="仿宋_GB2312" w:eastAsia="仿宋_GB2312"/>
          <w:sz w:val="28"/>
          <w:szCs w:val="28"/>
        </w:rPr>
        <w:t>随着农业技术的发展，在不同类型的设施内光照、温度、湿度等微气候条件可能存在差异，</w:t>
      </w:r>
      <w:r>
        <w:rPr>
          <w:rFonts w:hint="eastAsia" w:ascii="仿宋_GB2312" w:eastAsia="仿宋_GB2312"/>
          <w:sz w:val="28"/>
          <w:szCs w:val="28"/>
          <w:lang w:eastAsia="zh-CN"/>
        </w:rPr>
        <w:t>以发生面积代表</w:t>
      </w:r>
      <w:r>
        <w:rPr>
          <w:rFonts w:hint="eastAsia" w:ascii="仿宋_GB2312" w:eastAsia="仿宋_GB2312"/>
          <w:sz w:val="28"/>
          <w:szCs w:val="28"/>
        </w:rPr>
        <w:t>发病情况</w:t>
      </w:r>
      <w:r>
        <w:rPr>
          <w:rFonts w:hint="eastAsia" w:ascii="仿宋_GB2312" w:eastAsia="仿宋_GB2312"/>
          <w:sz w:val="28"/>
          <w:szCs w:val="28"/>
          <w:lang w:eastAsia="zh-CN"/>
        </w:rPr>
        <w:t>有局限性</w:t>
      </w:r>
      <w:r>
        <w:rPr>
          <w:rFonts w:hint="eastAsia" w:ascii="仿宋_GB2312" w:eastAsia="仿宋_GB2312"/>
          <w:sz w:val="28"/>
          <w:szCs w:val="28"/>
        </w:rPr>
        <w:t>；并且考虑到实际生产中</w:t>
      </w:r>
      <w:r>
        <w:rPr>
          <w:rFonts w:hint="eastAsia" w:ascii="仿宋_GB2312" w:eastAsia="仿宋_GB2312"/>
          <w:sz w:val="28"/>
          <w:szCs w:val="28"/>
          <w:lang w:eastAsia="zh-CN"/>
        </w:rPr>
        <w:t>出现</w:t>
      </w:r>
      <w:r>
        <w:rPr>
          <w:rFonts w:hint="eastAsia" w:ascii="仿宋_GB2312" w:eastAsia="仿宋_GB2312"/>
          <w:sz w:val="28"/>
          <w:szCs w:val="28"/>
        </w:rPr>
        <w:t>霜霉病成片发生</w:t>
      </w:r>
      <w:r>
        <w:rPr>
          <w:rFonts w:hint="eastAsia" w:ascii="仿宋_GB2312" w:eastAsia="仿宋_GB2312"/>
          <w:sz w:val="28"/>
          <w:szCs w:val="28"/>
          <w:lang w:eastAsia="zh-CN"/>
        </w:rPr>
        <w:t>但是发生程度很轻，或发病株数很少但发病较重等复杂情况时有发生，</w:t>
      </w:r>
      <w:r>
        <w:rPr>
          <w:rFonts w:hint="eastAsia" w:ascii="仿宋_GB2312" w:eastAsia="仿宋_GB2312"/>
          <w:sz w:val="28"/>
          <w:szCs w:val="28"/>
        </w:rPr>
        <w:t>原有标准的发生程度分级指标逐渐不适应目前的蔬菜生产。</w:t>
      </w:r>
    </w:p>
    <w:p w14:paraId="4C264E9F">
      <w:pPr>
        <w:ind w:firstLine="630"/>
        <w:rPr>
          <w:rFonts w:ascii="仿宋_GB2312" w:eastAsia="仿宋_GB2312"/>
          <w:sz w:val="28"/>
          <w:szCs w:val="28"/>
        </w:rPr>
      </w:pPr>
      <w:r>
        <w:rPr>
          <w:rFonts w:hint="eastAsia" w:ascii="仿宋_GB2312" w:eastAsia="仿宋_GB2312"/>
          <w:sz w:val="28"/>
          <w:szCs w:val="28"/>
          <w:lang w:eastAsia="zh-CN"/>
        </w:rPr>
        <w:t>在</w:t>
      </w:r>
      <w:r>
        <w:rPr>
          <w:rFonts w:hint="eastAsia" w:ascii="仿宋_GB2312" w:eastAsia="仿宋_GB2312"/>
          <w:sz w:val="28"/>
          <w:szCs w:val="28"/>
        </w:rPr>
        <w:t>DB11/T 287-2005《大白菜霜霉病测报调查规范》中</w:t>
      </w:r>
      <w:r>
        <w:rPr>
          <w:rFonts w:hint="eastAsia" w:ascii="仿宋_GB2312" w:eastAsia="仿宋_GB2312"/>
          <w:sz w:val="28"/>
          <w:szCs w:val="28"/>
          <w:lang w:eastAsia="zh-CN"/>
        </w:rPr>
        <w:t>考虑到</w:t>
      </w:r>
      <w:r>
        <w:rPr>
          <w:rFonts w:hint="eastAsia" w:ascii="仿宋_GB2312" w:eastAsia="仿宋_GB2312"/>
          <w:sz w:val="28"/>
          <w:szCs w:val="28"/>
        </w:rPr>
        <w:t>病毒病发生</w:t>
      </w:r>
      <w:r>
        <w:rPr>
          <w:rFonts w:hint="eastAsia" w:ascii="仿宋_GB2312" w:eastAsia="仿宋_GB2312"/>
          <w:sz w:val="28"/>
          <w:szCs w:val="28"/>
          <w:lang w:eastAsia="zh-CN"/>
        </w:rPr>
        <w:t>与</w:t>
      </w:r>
      <w:r>
        <w:rPr>
          <w:rFonts w:hint="eastAsia" w:ascii="仿宋_GB2312" w:eastAsia="仿宋_GB2312"/>
          <w:sz w:val="28"/>
          <w:szCs w:val="28"/>
        </w:rPr>
        <w:t>霜霉病发生</w:t>
      </w:r>
      <w:r>
        <w:rPr>
          <w:rFonts w:hint="eastAsia" w:ascii="仿宋_GB2312" w:eastAsia="仿宋_GB2312"/>
          <w:sz w:val="28"/>
          <w:szCs w:val="28"/>
          <w:lang w:eastAsia="zh-CN"/>
        </w:rPr>
        <w:t>具有相关性</w:t>
      </w:r>
      <w:r>
        <w:rPr>
          <w:rFonts w:hint="eastAsia" w:ascii="仿宋_GB2312" w:eastAsia="仿宋_GB2312"/>
          <w:sz w:val="28"/>
          <w:szCs w:val="28"/>
        </w:rPr>
        <w:t>，</w:t>
      </w:r>
      <w:r>
        <w:rPr>
          <w:rFonts w:hint="eastAsia" w:ascii="仿宋_GB2312" w:eastAsia="仿宋_GB2312"/>
          <w:sz w:val="28"/>
          <w:szCs w:val="28"/>
          <w:lang w:eastAsia="zh-CN"/>
        </w:rPr>
        <w:t>因此原标准中</w:t>
      </w:r>
      <w:r>
        <w:rPr>
          <w:rFonts w:hint="eastAsia" w:ascii="仿宋_GB2312" w:eastAsia="仿宋_GB2312"/>
          <w:sz w:val="28"/>
          <w:szCs w:val="28"/>
        </w:rPr>
        <w:t>系统调查和普查中含有病毒病的病株数调查</w:t>
      </w:r>
      <w:r>
        <w:rPr>
          <w:rFonts w:hint="eastAsia" w:ascii="仿宋_GB2312" w:eastAsia="仿宋_GB2312"/>
          <w:sz w:val="28"/>
          <w:szCs w:val="28"/>
          <w:lang w:eastAsia="zh-CN"/>
        </w:rPr>
        <w:t>。近年来，随着抗病品种的广泛推广、种苗脱毒技术的普及以及农业生产环境的改善，大白菜病毒病的发病率呈现出逐年下降的趋势，需要修订原调查方法，</w:t>
      </w:r>
      <w:r>
        <w:rPr>
          <w:rFonts w:hint="eastAsia" w:ascii="仿宋_GB2312" w:eastAsia="仿宋_GB2312"/>
          <w:sz w:val="28"/>
          <w:szCs w:val="28"/>
        </w:rPr>
        <w:t>确保在简化工作的同时，能准确掌握不同十字花科蔬菜霜霉病的发生情况。</w:t>
      </w:r>
    </w:p>
    <w:p w14:paraId="2D1085C3">
      <w:pPr>
        <w:ind w:firstLine="630"/>
        <w:rPr>
          <w:rFonts w:ascii="仿宋_GB2312" w:eastAsia="仿宋_GB2312"/>
          <w:b/>
          <w:bCs/>
          <w:sz w:val="28"/>
          <w:szCs w:val="28"/>
        </w:rPr>
      </w:pPr>
      <w:r>
        <w:rPr>
          <w:rFonts w:hint="eastAsia" w:ascii="仿宋_GB2312" w:eastAsia="仿宋_GB2312"/>
          <w:b/>
          <w:bCs/>
          <w:sz w:val="28"/>
          <w:szCs w:val="28"/>
        </w:rPr>
        <w:t>3.更新病原菌分类地位，提升病原菌鉴定准确性。</w:t>
      </w:r>
    </w:p>
    <w:p w14:paraId="28D7A60F">
      <w:pPr>
        <w:ind w:firstLine="630"/>
        <w:rPr>
          <w:rFonts w:ascii="仿宋_GB2312" w:eastAsia="仿宋_GB2312"/>
          <w:sz w:val="28"/>
          <w:szCs w:val="28"/>
        </w:rPr>
      </w:pPr>
      <w:r>
        <w:rPr>
          <w:rFonts w:hint="eastAsia" w:ascii="仿宋_GB2312" w:eastAsia="仿宋_GB2312"/>
          <w:sz w:val="28"/>
          <w:szCs w:val="28"/>
        </w:rPr>
        <w:t>过去十字花科霜霉病的病原菌被归入鞭毛菌亚门的卵菌纲，随着学科的发展和对霜霉病研究的逐步深入，植物病原菌分类系统出现了许多新变化，卵菌纲不再属于真菌界，因此不再属于鞭毛菌亚门，十字花科植物上的霜霉属菌归到无色霜霉属中并重新命名和分类。原标准附录中病菌的拉丁学名和分类地位都已经变化，修改大白菜致病菌的简介，对测报工作中病害的准确识别、鉴定、病原菌致病性或抗药性研究等都具有重要意义。</w:t>
      </w:r>
    </w:p>
    <w:p w14:paraId="21A07F1D">
      <w:pPr>
        <w:ind w:firstLine="630"/>
        <w:rPr>
          <w:rFonts w:ascii="仿宋_GB2312" w:eastAsia="仿宋_GB2312"/>
          <w:color w:val="0000FF"/>
          <w:sz w:val="24"/>
          <w:highlight w:val="yellow"/>
        </w:rPr>
      </w:pPr>
      <w:r>
        <w:rPr>
          <w:rFonts w:hint="eastAsia" w:ascii="仿宋_GB2312" w:eastAsia="仿宋_GB2312"/>
          <w:sz w:val="28"/>
          <w:szCs w:val="28"/>
        </w:rPr>
        <w:t>综合以上原因，需要及时修订霜霉病标准，优化调查方法，科学调整分级指标，以适应新的种植模式，从而提高病虫测报数据的可靠性。</w:t>
      </w:r>
    </w:p>
    <w:p w14:paraId="5A3F09F3">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（三）</w:t>
      </w:r>
      <w:r>
        <w:rPr>
          <w:rFonts w:hint="eastAsia" w:ascii="仿宋_GB2312" w:eastAsia="仿宋_GB2312"/>
          <w:sz w:val="28"/>
          <w:szCs w:val="28"/>
        </w:rPr>
        <w:t>测报调查规范修订的</w:t>
      </w:r>
      <w:r>
        <w:rPr>
          <w:rFonts w:hint="eastAsia" w:ascii="仿宋_GB2312" w:hAnsi="仿宋_GB2312" w:eastAsia="仿宋_GB2312" w:cs="仿宋_GB2312"/>
          <w:sz w:val="28"/>
          <w:szCs w:val="21"/>
        </w:rPr>
        <w:t>意义</w:t>
      </w:r>
    </w:p>
    <w:p w14:paraId="78A1F839">
      <w:pPr>
        <w:ind w:firstLine="630"/>
        <w:rPr>
          <w:rFonts w:ascii="仿宋_GB2312" w:eastAsia="仿宋_GB2312"/>
          <w:b/>
          <w:bCs/>
          <w:sz w:val="28"/>
          <w:szCs w:val="28"/>
        </w:rPr>
      </w:pPr>
      <w:r>
        <w:rPr>
          <w:rFonts w:hint="eastAsia" w:ascii="仿宋_GB2312" w:eastAsia="仿宋_GB2312"/>
          <w:b/>
          <w:bCs/>
          <w:sz w:val="28"/>
          <w:szCs w:val="28"/>
        </w:rPr>
        <w:t>1.统一调查方法，适应线上平台的使用。</w:t>
      </w:r>
    </w:p>
    <w:p w14:paraId="1B65DF49">
      <w:pPr>
        <w:ind w:firstLine="630"/>
        <w:rPr>
          <w:rFonts w:ascii="仿宋_GB2312" w:eastAsia="仿宋_GB2312"/>
          <w:sz w:val="28"/>
          <w:szCs w:val="28"/>
        </w:rPr>
      </w:pPr>
      <w:r>
        <w:rPr>
          <w:rFonts w:hint="eastAsia" w:ascii="仿宋_GB2312" w:eastAsia="仿宋_GB2312"/>
          <w:sz w:val="28"/>
          <w:szCs w:val="28"/>
        </w:rPr>
        <w:t>随着技术发展，监测预警工作逐步向线上转型。“北京市农业农村综合管理平台”为北京市植物保护站目前在使用的市-区-基层三级监测预警信息平台，基层测报员通过系统上报病虫数据，市</w:t>
      </w:r>
      <w:r>
        <w:rPr>
          <w:rFonts w:hint="eastAsia" w:ascii="仿宋_GB2312" w:eastAsia="仿宋_GB2312"/>
          <w:sz w:val="28"/>
          <w:szCs w:val="28"/>
          <w:lang w:eastAsia="zh-CN"/>
        </w:rPr>
        <w:t>级</w:t>
      </w:r>
      <w:r>
        <w:rPr>
          <w:rFonts w:hint="eastAsia" w:ascii="仿宋_GB2312" w:eastAsia="仿宋_GB2312"/>
          <w:sz w:val="28"/>
          <w:szCs w:val="28"/>
        </w:rPr>
        <w:t>依据数据分析预测病虫害发生趋势，服务了一大批种植大户和农业园区。病害调查规范的统一可为监测预警工作提供统一的调查标准和数据格式，数据上报更为规范，更利于</w:t>
      </w:r>
      <w:r>
        <w:rPr>
          <w:rFonts w:hint="eastAsia" w:ascii="仿宋_GB2312" w:eastAsia="仿宋_GB2312"/>
          <w:sz w:val="28"/>
          <w:szCs w:val="28"/>
          <w:lang w:eastAsia="zh-CN"/>
        </w:rPr>
        <w:t>数据统计和分析</w:t>
      </w:r>
      <w:r>
        <w:rPr>
          <w:rFonts w:hint="eastAsia" w:ascii="仿宋_GB2312" w:eastAsia="仿宋_GB2312"/>
          <w:sz w:val="28"/>
          <w:szCs w:val="28"/>
        </w:rPr>
        <w:t>。</w:t>
      </w:r>
    </w:p>
    <w:p w14:paraId="1FF1C56B">
      <w:pPr>
        <w:ind w:firstLine="630"/>
        <w:rPr>
          <w:rFonts w:ascii="仿宋_GB2312" w:eastAsia="仿宋_GB2312"/>
          <w:b/>
          <w:bCs/>
          <w:sz w:val="28"/>
          <w:szCs w:val="28"/>
        </w:rPr>
      </w:pPr>
      <w:r>
        <w:rPr>
          <w:rFonts w:hint="eastAsia" w:ascii="仿宋_GB2312" w:eastAsia="仿宋_GB2312"/>
          <w:b/>
          <w:bCs/>
          <w:sz w:val="28"/>
          <w:szCs w:val="28"/>
        </w:rPr>
        <w:t>2.提升数据分析效率，推动农业智能化发展。</w:t>
      </w:r>
    </w:p>
    <w:p w14:paraId="5E8CDF98">
      <w:pPr>
        <w:ind w:firstLine="630"/>
        <w:rPr>
          <w:rFonts w:ascii="仿宋_GB2312" w:eastAsia="仿宋_GB2312"/>
          <w:sz w:val="28"/>
          <w:szCs w:val="28"/>
        </w:rPr>
      </w:pPr>
      <w:r>
        <w:rPr>
          <w:rFonts w:hint="eastAsia" w:ascii="仿宋_GB2312" w:eastAsia="仿宋_GB2312"/>
          <w:sz w:val="28"/>
          <w:szCs w:val="28"/>
        </w:rPr>
        <w:t>通过规范测报方法，确保数据在采集、录入环节遵循统一标准，</w:t>
      </w:r>
      <w:r>
        <w:rPr>
          <w:rFonts w:hint="eastAsia" w:ascii="仿宋_GB2312" w:eastAsia="仿宋_GB2312"/>
          <w:sz w:val="28"/>
          <w:szCs w:val="28"/>
          <w:lang w:eastAsia="zh-CN"/>
        </w:rPr>
        <w:t>便于</w:t>
      </w:r>
      <w:r>
        <w:rPr>
          <w:rFonts w:hint="eastAsia" w:ascii="仿宋_GB2312" w:eastAsia="仿宋_GB2312"/>
          <w:sz w:val="28"/>
          <w:szCs w:val="28"/>
        </w:rPr>
        <w:t>霜霉病预测模型</w:t>
      </w:r>
      <w:r>
        <w:rPr>
          <w:rFonts w:hint="eastAsia" w:ascii="仿宋_GB2312" w:eastAsia="仿宋_GB2312"/>
          <w:sz w:val="28"/>
          <w:szCs w:val="28"/>
          <w:lang w:eastAsia="zh-CN"/>
        </w:rPr>
        <w:t>的</w:t>
      </w:r>
      <w:r>
        <w:rPr>
          <w:rFonts w:hint="eastAsia" w:ascii="仿宋_GB2312" w:eastAsia="仿宋_GB2312"/>
          <w:sz w:val="28"/>
          <w:szCs w:val="28"/>
        </w:rPr>
        <w:t>开发</w:t>
      </w:r>
      <w:r>
        <w:rPr>
          <w:rFonts w:hint="eastAsia" w:ascii="仿宋_GB2312" w:eastAsia="仿宋_GB2312"/>
          <w:sz w:val="28"/>
          <w:szCs w:val="28"/>
          <w:lang w:eastAsia="zh-CN"/>
        </w:rPr>
        <w:t>、</w:t>
      </w:r>
      <w:r>
        <w:rPr>
          <w:rFonts w:hint="eastAsia" w:ascii="仿宋_GB2312" w:eastAsia="仿宋_GB2312"/>
          <w:sz w:val="28"/>
          <w:szCs w:val="28"/>
        </w:rPr>
        <w:t>不同平台间数据</w:t>
      </w:r>
      <w:r>
        <w:rPr>
          <w:rFonts w:hint="eastAsia" w:ascii="仿宋_GB2312" w:eastAsia="仿宋_GB2312"/>
          <w:sz w:val="28"/>
          <w:szCs w:val="28"/>
          <w:lang w:eastAsia="zh-CN"/>
        </w:rPr>
        <w:t>的</w:t>
      </w:r>
      <w:r>
        <w:rPr>
          <w:rFonts w:hint="eastAsia" w:ascii="仿宋_GB2312" w:eastAsia="仿宋_GB2312"/>
          <w:sz w:val="28"/>
          <w:szCs w:val="28"/>
        </w:rPr>
        <w:t>共享与交互，</w:t>
      </w:r>
      <w:r>
        <w:rPr>
          <w:rFonts w:hint="eastAsia" w:ascii="仿宋_GB2312" w:eastAsia="仿宋_GB2312"/>
          <w:sz w:val="28"/>
          <w:szCs w:val="28"/>
          <w:lang w:eastAsia="zh-CN"/>
        </w:rPr>
        <w:t>为</w:t>
      </w:r>
      <w:r>
        <w:rPr>
          <w:rFonts w:hint="eastAsia" w:ascii="仿宋_GB2312" w:eastAsia="仿宋_GB2312"/>
          <w:sz w:val="28"/>
          <w:szCs w:val="28"/>
        </w:rPr>
        <w:t>防治指导指标</w:t>
      </w:r>
      <w:r>
        <w:rPr>
          <w:rFonts w:hint="eastAsia" w:ascii="仿宋_GB2312" w:eastAsia="仿宋_GB2312"/>
          <w:sz w:val="28"/>
          <w:szCs w:val="28"/>
          <w:lang w:eastAsia="zh-CN"/>
        </w:rPr>
        <w:t>制</w:t>
      </w:r>
      <w:r>
        <w:rPr>
          <w:rFonts w:hint="eastAsia" w:ascii="仿宋_GB2312" w:eastAsia="仿宋_GB2312"/>
          <w:sz w:val="28"/>
          <w:szCs w:val="28"/>
        </w:rPr>
        <w:t>定提供参考</w:t>
      </w:r>
      <w:r>
        <w:rPr>
          <w:rFonts w:hint="eastAsia" w:ascii="仿宋_GB2312" w:eastAsia="仿宋_GB2312"/>
          <w:sz w:val="28"/>
          <w:szCs w:val="28"/>
          <w:lang w:eastAsia="zh-CN"/>
        </w:rPr>
        <w:t>，</w:t>
      </w:r>
      <w:r>
        <w:rPr>
          <w:rFonts w:hint="eastAsia" w:ascii="仿宋_GB2312" w:eastAsia="仿宋_GB2312"/>
          <w:sz w:val="28"/>
          <w:szCs w:val="28"/>
        </w:rPr>
        <w:t>有力推动农作物病害监测预警与防治等相关工作实现智能化。</w:t>
      </w:r>
    </w:p>
    <w:p w14:paraId="4F48E0F0">
      <w:pPr>
        <w:pStyle w:val="13"/>
        <w:numPr>
          <w:ilvl w:val="0"/>
          <w:numId w:val="4"/>
        </w:numPr>
        <w:tabs>
          <w:tab w:val="left" w:pos="630"/>
        </w:tabs>
        <w:ind w:firstLineChars="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适用对象基本情况</w:t>
      </w:r>
    </w:p>
    <w:p w14:paraId="3A25CD0B">
      <w:pPr>
        <w:ind w:firstLine="630"/>
        <w:rPr>
          <w:rFonts w:ascii="仿宋_GB2312" w:eastAsia="仿宋_GB2312"/>
          <w:sz w:val="28"/>
          <w:szCs w:val="28"/>
        </w:rPr>
      </w:pPr>
      <w:r>
        <w:rPr>
          <w:rFonts w:hint="eastAsia" w:ascii="仿宋_GB2312" w:eastAsia="仿宋_GB2312"/>
          <w:sz w:val="28"/>
          <w:szCs w:val="28"/>
        </w:rPr>
        <w:t>2024年北京市瓜类（含黄瓜）霜霉病发生2.837万亩次，占瓜类蔬菜病害发生面积的37.5%，实际损失864.68万吨，十字花科蔬菜霜霉病发生面积3.526万亩次，占十字花科蔬菜病害发生面积的 60%，实际损失669.348万吨；蔬菜霜霉病每年造成直接经济损失1亿元以上。DB11/T 286-2005《保护地黄瓜霜霉病测报调查规范》和DB11/T 287-2005《大白菜霜霉病测报调查规范》的实施为市区各植保部门、测报技术人员、合作社和种植大户等病虫监测人员提供了规范的调查方法，20年来随着测报水平的进步和种植产业的更替，原有标准逐渐不适应目前的蔬菜生产。</w:t>
      </w:r>
    </w:p>
    <w:p w14:paraId="6BDE4546">
      <w:pPr>
        <w:pStyle w:val="13"/>
        <w:numPr>
          <w:ilvl w:val="0"/>
          <w:numId w:val="4"/>
        </w:numPr>
        <w:tabs>
          <w:tab w:val="left" w:pos="630"/>
        </w:tabs>
        <w:ind w:firstLineChars="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主要起草过程</w:t>
      </w:r>
    </w:p>
    <w:p w14:paraId="65F1ADAF">
      <w:pPr>
        <w:ind w:firstLine="630"/>
        <w:rPr>
          <w:rFonts w:ascii="仿宋_GB2312" w:eastAsia="仿宋_GB2312"/>
          <w:sz w:val="28"/>
          <w:szCs w:val="28"/>
        </w:rPr>
      </w:pPr>
      <w:r>
        <w:rPr>
          <w:rFonts w:hint="eastAsia" w:ascii="仿宋_GB2312" w:eastAsia="仿宋_GB2312"/>
          <w:sz w:val="28"/>
          <w:szCs w:val="28"/>
        </w:rPr>
        <w:t>1.2024年9月-2024年10月,北京市地方标准修订项目入库。</w:t>
      </w:r>
    </w:p>
    <w:p w14:paraId="66A5E42C">
      <w:pPr>
        <w:ind w:firstLine="630"/>
        <w:rPr>
          <w:rFonts w:ascii="仿宋_GB2312" w:eastAsia="仿宋_GB2312"/>
          <w:sz w:val="28"/>
          <w:szCs w:val="28"/>
        </w:rPr>
      </w:pPr>
      <w:r>
        <w:rPr>
          <w:rFonts w:hint="eastAsia" w:ascii="仿宋_GB2312" w:eastAsia="仿宋_GB2312"/>
          <w:sz w:val="28"/>
          <w:szCs w:val="28"/>
        </w:rPr>
        <w:t>2.2025年3月17日-2025年7月，开展内部研讨，形成征求意见稿。</w:t>
      </w:r>
    </w:p>
    <w:p w14:paraId="219D70AD">
      <w:pPr>
        <w:ind w:firstLine="630"/>
        <w:rPr>
          <w:rFonts w:hint="eastAsia" w:ascii="仿宋_GB2312" w:eastAsia="仿宋_GB2312"/>
          <w:sz w:val="28"/>
          <w:szCs w:val="28"/>
        </w:rPr>
      </w:pPr>
      <w:r>
        <w:rPr>
          <w:rFonts w:hint="eastAsia" w:ascii="仿宋_GB2312" w:eastAsia="仿宋_GB2312"/>
          <w:sz w:val="28"/>
          <w:szCs w:val="28"/>
        </w:rPr>
        <w:t>3.2025年8月20日,北京市农业农村局组织召开了地方标准预审会</w:t>
      </w:r>
      <w:r>
        <w:rPr>
          <w:rFonts w:hint="eastAsia" w:ascii="仿宋_GB2312" w:eastAsia="仿宋_GB2312"/>
          <w:sz w:val="28"/>
          <w:szCs w:val="28"/>
          <w:lang w:eastAsia="zh-CN"/>
        </w:rPr>
        <w:t>，</w:t>
      </w:r>
      <w:r>
        <w:rPr>
          <w:rFonts w:hint="eastAsia" w:ascii="仿宋_GB2312" w:eastAsia="仿宋_GB2312"/>
          <w:sz w:val="28"/>
          <w:szCs w:val="28"/>
        </w:rPr>
        <w:t>来自植物保护、园艺和标准化等领域的5位专家参加了会议</w:t>
      </w:r>
      <w:r>
        <w:rPr>
          <w:rFonts w:hint="eastAsia" w:ascii="仿宋_GB2312" w:eastAsia="仿宋_GB2312"/>
          <w:sz w:val="28"/>
          <w:szCs w:val="28"/>
          <w:lang w:eastAsia="zh-CN"/>
        </w:rPr>
        <w:t>。</w:t>
      </w:r>
      <w:r>
        <w:rPr>
          <w:rFonts w:hint="eastAsia" w:ascii="仿宋_GB2312" w:eastAsia="仿宋_GB2312"/>
          <w:sz w:val="28"/>
          <w:szCs w:val="28"/>
        </w:rPr>
        <w:t>与会专家听取了编制情况汇报，对标准文本进行了审查，</w:t>
      </w:r>
      <w:r>
        <w:rPr>
          <w:rFonts w:hint="eastAsia" w:ascii="仿宋_GB2312" w:eastAsia="仿宋_GB2312"/>
          <w:sz w:val="28"/>
          <w:szCs w:val="28"/>
          <w:lang w:eastAsia="zh-CN"/>
        </w:rPr>
        <w:t>并研提了相关</w:t>
      </w:r>
      <w:r>
        <w:rPr>
          <w:rFonts w:hint="eastAsia" w:ascii="仿宋_GB2312" w:eastAsia="仿宋_GB2312"/>
          <w:sz w:val="28"/>
          <w:szCs w:val="28"/>
        </w:rPr>
        <w:t>意见</w:t>
      </w:r>
      <w:r>
        <w:rPr>
          <w:rFonts w:hint="eastAsia" w:ascii="仿宋_GB2312" w:eastAsia="仿宋_GB2312"/>
          <w:sz w:val="28"/>
          <w:szCs w:val="28"/>
          <w:lang w:eastAsia="zh-CN"/>
        </w:rPr>
        <w:t>。根据专家意见，</w:t>
      </w:r>
      <w:r>
        <w:rPr>
          <w:rFonts w:hint="eastAsia" w:ascii="仿宋_GB2312" w:eastAsia="仿宋_GB2312"/>
          <w:sz w:val="28"/>
          <w:szCs w:val="28"/>
        </w:rPr>
        <w:t>完善</w:t>
      </w:r>
      <w:r>
        <w:rPr>
          <w:rFonts w:hint="eastAsia" w:ascii="仿宋_GB2312" w:eastAsia="仿宋_GB2312"/>
          <w:sz w:val="28"/>
          <w:szCs w:val="28"/>
          <w:lang w:eastAsia="zh-CN"/>
        </w:rPr>
        <w:t>了</w:t>
      </w:r>
      <w:r>
        <w:rPr>
          <w:rFonts w:hint="eastAsia" w:ascii="仿宋_GB2312" w:eastAsia="仿宋_GB2312"/>
          <w:sz w:val="28"/>
          <w:szCs w:val="28"/>
        </w:rPr>
        <w:t>“范围”内容</w:t>
      </w:r>
      <w:r>
        <w:rPr>
          <w:rFonts w:hint="eastAsia" w:ascii="仿宋_GB2312" w:eastAsia="仿宋_GB2312"/>
          <w:sz w:val="28"/>
          <w:szCs w:val="28"/>
          <w:lang w:eastAsia="zh-CN"/>
        </w:rPr>
        <w:t>；</w:t>
      </w:r>
      <w:r>
        <w:rPr>
          <w:rFonts w:hint="eastAsia" w:ascii="仿宋_GB2312" w:eastAsia="仿宋_GB2312"/>
          <w:sz w:val="28"/>
          <w:szCs w:val="28"/>
        </w:rPr>
        <w:t>删除“病棚率”等术语和定义</w:t>
      </w:r>
      <w:r>
        <w:rPr>
          <w:rFonts w:hint="eastAsia" w:ascii="仿宋_GB2312" w:eastAsia="仿宋_GB2312"/>
          <w:sz w:val="28"/>
          <w:szCs w:val="28"/>
          <w:lang w:eastAsia="zh-CN"/>
        </w:rPr>
        <w:t>；将病情分级分为保护地葫芦科蔬菜、结球类十字花科蔬菜、非结球类十字花科蔬菜三类；</w:t>
      </w:r>
      <w:r>
        <w:rPr>
          <w:rFonts w:hint="eastAsia" w:ascii="仿宋_GB2312" w:eastAsia="仿宋_GB2312"/>
          <w:sz w:val="28"/>
          <w:szCs w:val="28"/>
        </w:rPr>
        <w:t>修改“6.1.1和6.2.1”为“ 保护地葫芦科蔬菜（瓜类）霜霉病”、“6.1.2和6.2.2”为“十字花科蔬菜霜霉病”</w:t>
      </w:r>
      <w:r>
        <w:rPr>
          <w:rFonts w:hint="eastAsia" w:ascii="仿宋_GB2312" w:eastAsia="仿宋_GB2312"/>
          <w:sz w:val="28"/>
          <w:szCs w:val="28"/>
          <w:lang w:eastAsia="zh-CN"/>
        </w:rPr>
        <w:t>；</w:t>
      </w:r>
      <w:r>
        <w:rPr>
          <w:rFonts w:hint="eastAsia" w:ascii="仿宋_GB2312" w:eastAsia="仿宋_GB2312"/>
          <w:sz w:val="28"/>
          <w:szCs w:val="28"/>
        </w:rPr>
        <w:t>气象资料汇总</w:t>
      </w:r>
      <w:r>
        <w:rPr>
          <w:rFonts w:hint="eastAsia" w:ascii="仿宋_GB2312" w:eastAsia="仿宋_GB2312"/>
          <w:sz w:val="28"/>
          <w:szCs w:val="28"/>
          <w:lang w:eastAsia="zh-CN"/>
        </w:rPr>
        <w:t>修改至表</w:t>
      </w:r>
      <w:r>
        <w:rPr>
          <w:rFonts w:hint="eastAsia" w:ascii="仿宋_GB2312" w:eastAsia="仿宋_GB2312"/>
          <w:sz w:val="28"/>
          <w:szCs w:val="28"/>
          <w:lang w:val="en-US" w:eastAsia="zh-CN"/>
        </w:rPr>
        <w:t>10中填写</w:t>
      </w:r>
      <w:r>
        <w:rPr>
          <w:rFonts w:hint="eastAsia" w:ascii="仿宋_GB2312" w:eastAsia="仿宋_GB2312"/>
          <w:sz w:val="28"/>
          <w:szCs w:val="28"/>
        </w:rPr>
        <w:t>；</w:t>
      </w:r>
      <w:r>
        <w:rPr>
          <w:rFonts w:hint="eastAsia" w:ascii="仿宋_GB2312" w:eastAsia="仿宋_GB2312"/>
          <w:sz w:val="28"/>
          <w:szCs w:val="28"/>
          <w:lang w:eastAsia="zh-CN"/>
        </w:rPr>
        <w:t>修改了“发生程度分级”的描述；对</w:t>
      </w:r>
      <w:r>
        <w:rPr>
          <w:rFonts w:hint="eastAsia" w:ascii="仿宋_GB2312" w:eastAsia="仿宋_GB2312"/>
          <w:sz w:val="28"/>
          <w:szCs w:val="28"/>
        </w:rPr>
        <w:t>部分章节顺序</w:t>
      </w:r>
      <w:r>
        <w:rPr>
          <w:rFonts w:hint="eastAsia" w:ascii="仿宋_GB2312" w:eastAsia="仿宋_GB2312"/>
          <w:sz w:val="28"/>
          <w:szCs w:val="28"/>
          <w:lang w:eastAsia="zh-CN"/>
        </w:rPr>
        <w:t>及</w:t>
      </w:r>
      <w:r>
        <w:rPr>
          <w:rFonts w:hint="eastAsia" w:ascii="仿宋_GB2312" w:eastAsia="仿宋_GB2312"/>
          <w:sz w:val="28"/>
          <w:szCs w:val="28"/>
        </w:rPr>
        <w:t>其他文字</w:t>
      </w:r>
      <w:r>
        <w:rPr>
          <w:rFonts w:hint="eastAsia" w:ascii="仿宋_GB2312" w:eastAsia="仿宋_GB2312"/>
          <w:sz w:val="28"/>
          <w:szCs w:val="28"/>
          <w:lang w:eastAsia="zh-CN"/>
        </w:rPr>
        <w:t>进行调整和</w:t>
      </w:r>
      <w:r>
        <w:rPr>
          <w:rFonts w:hint="eastAsia" w:ascii="仿宋_GB2312" w:eastAsia="仿宋_GB2312"/>
          <w:sz w:val="28"/>
          <w:szCs w:val="28"/>
        </w:rPr>
        <w:t>修改。</w:t>
      </w:r>
    </w:p>
    <w:p w14:paraId="339C65B5">
      <w:pPr>
        <w:numPr>
          <w:ilvl w:val="0"/>
          <w:numId w:val="4"/>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制定标准的原则和依据，与现行法律、法规、标准的关系，与国内外同类标准水平的对比情况。</w:t>
      </w:r>
    </w:p>
    <w:p w14:paraId="2E0C9E71">
      <w:pPr>
        <w:spacing w:line="560" w:lineRule="exact"/>
        <w:ind w:firstLine="560" w:firstLineChars="200"/>
        <w:rPr>
          <w:rFonts w:ascii="仿宋_GB2312" w:eastAsia="仿宋_GB2312"/>
          <w:sz w:val="28"/>
          <w:szCs w:val="28"/>
        </w:rPr>
      </w:pPr>
      <w:r>
        <w:rPr>
          <w:rFonts w:hint="eastAsia" w:ascii="仿宋_GB2312" w:hAnsi="仿宋_GB2312" w:eastAsia="仿宋_GB2312" w:cs="仿宋_GB2312"/>
          <w:sz w:val="28"/>
          <w:szCs w:val="21"/>
        </w:rPr>
        <w:t>（一）标准编制原则</w:t>
      </w:r>
    </w:p>
    <w:p w14:paraId="7028E267">
      <w:pPr>
        <w:ind w:firstLine="560" w:firstLineChars="200"/>
        <w:rPr>
          <w:rFonts w:ascii="仿宋_GB2312" w:eastAsia="仿宋_GB2312"/>
          <w:sz w:val="28"/>
          <w:szCs w:val="28"/>
        </w:rPr>
      </w:pPr>
      <w:r>
        <w:rPr>
          <w:rFonts w:hint="eastAsia" w:ascii="仿宋_GB2312" w:eastAsia="仿宋_GB2312"/>
          <w:sz w:val="28"/>
          <w:szCs w:val="28"/>
        </w:rPr>
        <w:t>本《规范》在修订过程中根据多年来蔬菜霜霉病测报工作的经验及霜霉病发生规律，坚持科学、合理、简便、易操作的原则，使规范既反映当前先进的科学技术水平，又适应现实的生产力水平，同时考虑到基层测报对象多、工作量大及目前的测报水平、条件等实际情况，规范力求突出重点，简化项目和减少工作量。</w:t>
      </w:r>
    </w:p>
    <w:p w14:paraId="4279DE8F">
      <w:pPr>
        <w:numPr>
          <w:ilvl w:val="0"/>
          <w:numId w:val="5"/>
        </w:num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标准编制依据</w:t>
      </w:r>
    </w:p>
    <w:p w14:paraId="40123DD4">
      <w:pPr>
        <w:ind w:firstLine="560" w:firstLineChars="200"/>
        <w:rPr>
          <w:rFonts w:ascii="仿宋_GB2312" w:eastAsia="仿宋_GB2312"/>
          <w:sz w:val="28"/>
          <w:szCs w:val="28"/>
        </w:rPr>
      </w:pPr>
      <w:r>
        <w:rPr>
          <w:rFonts w:hint="eastAsia" w:ascii="仿宋_GB2312" w:eastAsia="仿宋_GB2312"/>
          <w:sz w:val="28"/>
          <w:szCs w:val="28"/>
        </w:rPr>
        <w:t>根据《农作物病虫害防治条例》：第十四条　县级以上人民政府农业农村主管部门应当组织开展农作物病虫害监测。农作物病虫害监测包括下列内容：（一）农作物病虫害发生的种类、时间、范围、程度；（二）害虫主要天敌种类、分布与种群消长情况；（三）影响农作物病虫害发生的田间气候；（四）其他需要监测的内容。</w:t>
      </w:r>
    </w:p>
    <w:p w14:paraId="345EA1F4">
      <w:pPr>
        <w:ind w:firstLine="560" w:firstLineChars="200"/>
        <w:rPr>
          <w:rFonts w:ascii="仿宋_GB2312" w:eastAsia="仿宋_GB2312"/>
          <w:sz w:val="28"/>
          <w:szCs w:val="28"/>
        </w:rPr>
      </w:pPr>
      <w:r>
        <w:rPr>
          <w:rFonts w:hint="eastAsia" w:ascii="仿宋_GB2312" w:eastAsia="仿宋_GB2312"/>
          <w:sz w:val="28"/>
          <w:szCs w:val="28"/>
        </w:rPr>
        <w:t>农作物病虫害监测技术规范由省级以上人民政府农业农村主管部门制定。</w:t>
      </w:r>
    </w:p>
    <w:p w14:paraId="10ED5F9C">
      <w:pPr>
        <w:spacing w:line="560" w:lineRule="exact"/>
        <w:ind w:firstLine="560" w:firstLineChars="200"/>
        <w:rPr>
          <w:rFonts w:ascii="仿宋_GB2312" w:eastAsia="仿宋_GB2312"/>
          <w:color w:val="FF0000"/>
          <w:sz w:val="32"/>
        </w:rPr>
      </w:pPr>
      <w:r>
        <w:rPr>
          <w:rFonts w:hint="eastAsia" w:ascii="仿宋_GB2312" w:hAnsi="仿宋_GB2312" w:eastAsia="仿宋_GB2312" w:cs="仿宋_GB2312"/>
          <w:sz w:val="28"/>
          <w:szCs w:val="21"/>
        </w:rPr>
        <w:t>(三)与现行法律、法规、标准的关系</w:t>
      </w:r>
    </w:p>
    <w:p w14:paraId="2F22F12D">
      <w:pPr>
        <w:ind w:firstLine="560" w:firstLineChars="200"/>
        <w:rPr>
          <w:rFonts w:ascii="仿宋_GB2312" w:eastAsia="仿宋_GB2312"/>
          <w:sz w:val="28"/>
          <w:szCs w:val="28"/>
        </w:rPr>
      </w:pPr>
      <w:r>
        <w:rPr>
          <w:rFonts w:hint="eastAsia" w:ascii="仿宋_GB2312" w:eastAsia="仿宋_GB2312"/>
          <w:sz w:val="28"/>
          <w:szCs w:val="28"/>
        </w:rPr>
        <w:t>本《规范》基于DB11/T 286-2005《保护地黄瓜霜霉病测报调查规范》和DB11/T 287-2005《大白菜霜霉病测报调查规范》修订。本标准未采用国际标准或国外先进标准。</w:t>
      </w:r>
    </w:p>
    <w:p w14:paraId="249442DF">
      <w:pPr>
        <w:ind w:firstLine="560" w:firstLineChars="200"/>
        <w:rPr>
          <w:rFonts w:ascii="仿宋_GB2312" w:eastAsia="仿宋_GB2312"/>
          <w:sz w:val="28"/>
          <w:szCs w:val="28"/>
        </w:rPr>
      </w:pPr>
      <w:r>
        <w:rPr>
          <w:rFonts w:hint="eastAsia" w:ascii="仿宋_GB2312" w:eastAsia="仿宋_GB2312"/>
          <w:sz w:val="28"/>
          <w:szCs w:val="28"/>
        </w:rPr>
        <w:t>本标准与GB/T 23392.1-2009 十字花科病虫害测报技术规范 第1部分：霜霉病；霜霉病测报调查规范等调查规范相比，扩大了适用范围，分级指标增加了病株率，与病情指数协同分级，符合国家对农业标准进行简化的总体要求，让技术人员更易操作；修订了十字花科霜霉病的病原分类，代表了反应学科研究的最新成果；</w:t>
      </w:r>
    </w:p>
    <w:p w14:paraId="46BA5D7B">
      <w:pPr>
        <w:ind w:firstLine="560" w:firstLineChars="200"/>
        <w:rPr>
          <w:rFonts w:ascii="仿宋_GB2312" w:eastAsia="仿宋_GB2312"/>
          <w:sz w:val="28"/>
          <w:szCs w:val="28"/>
        </w:rPr>
      </w:pPr>
      <w:r>
        <w:rPr>
          <w:rFonts w:hint="eastAsia" w:ascii="仿宋_GB2312" w:eastAsia="仿宋_GB2312"/>
          <w:sz w:val="28"/>
          <w:szCs w:val="28"/>
        </w:rPr>
        <w:t>本标准与DB34/T 880-2009 黄瓜霜霉病测报调查规范(安徽省地方标准)相比：扩大了适用范围；本规范主要针对生产棚发病，因而统一定于生产棚定植缓苗后即开始调查，在京津冀地区的适应性和针对性更强；</w:t>
      </w:r>
      <w:r>
        <w:rPr>
          <w:rFonts w:ascii="仿宋_GB2312" w:eastAsia="仿宋_GB2312"/>
          <w:sz w:val="28"/>
          <w:szCs w:val="28"/>
        </w:rPr>
        <w:t xml:space="preserve"> </w:t>
      </w:r>
    </w:p>
    <w:p w14:paraId="2E7C1A70">
      <w:pPr>
        <w:ind w:firstLine="560" w:firstLineChars="200"/>
        <w:rPr>
          <w:rFonts w:ascii="仿宋_GB2312" w:eastAsia="仿宋_GB2312"/>
          <w:sz w:val="28"/>
          <w:szCs w:val="28"/>
        </w:rPr>
      </w:pPr>
      <w:r>
        <w:rPr>
          <w:rFonts w:hint="eastAsia" w:ascii="仿宋_GB2312" w:eastAsia="仿宋_GB2312"/>
          <w:sz w:val="28"/>
          <w:szCs w:val="28"/>
        </w:rPr>
        <w:t>本标准与DB3303/T 017-2020 黄瓜霜霉病、白粉病测报调查技术规程（温州地方标准）相比，扩大了适用范围；引入发生程度分级指标概念，以区分发生程度，更加贴合京津冀农业生产情况。</w:t>
      </w:r>
    </w:p>
    <w:p w14:paraId="48C7613F">
      <w:pPr>
        <w:numPr>
          <w:ilvl w:val="0"/>
          <w:numId w:val="4"/>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主要条款的说明，主要技术指标、参数、实验验证的论述。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460"/>
        <w:gridCol w:w="2325"/>
        <w:gridCol w:w="2629"/>
      </w:tblGrid>
      <w:tr w14:paraId="305A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14:paraId="15E35D8D">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章节</w:t>
            </w:r>
          </w:p>
        </w:tc>
        <w:tc>
          <w:tcPr>
            <w:tcW w:w="2460" w:type="dxa"/>
          </w:tcPr>
          <w:p w14:paraId="1A7CF6F9">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原内容</w:t>
            </w:r>
          </w:p>
        </w:tc>
        <w:tc>
          <w:tcPr>
            <w:tcW w:w="2325" w:type="dxa"/>
          </w:tcPr>
          <w:p w14:paraId="51E75CA5">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修订后的内容</w:t>
            </w:r>
          </w:p>
        </w:tc>
        <w:tc>
          <w:tcPr>
            <w:tcW w:w="2629" w:type="dxa"/>
          </w:tcPr>
          <w:p w14:paraId="09EF2E10">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修订原因</w:t>
            </w:r>
          </w:p>
        </w:tc>
      </w:tr>
      <w:tr w14:paraId="02D5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14:paraId="2587AAB9">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 范围</w:t>
            </w:r>
          </w:p>
          <w:p w14:paraId="21AF4A2F">
            <w:pPr>
              <w:rPr>
                <w:rFonts w:asciiTheme="minorEastAsia" w:hAnsiTheme="minorEastAsia" w:eastAsiaTheme="minorEastAsia" w:cstheme="minorEastAsia"/>
                <w:sz w:val="18"/>
                <w:szCs w:val="18"/>
              </w:rPr>
            </w:pPr>
          </w:p>
        </w:tc>
        <w:tc>
          <w:tcPr>
            <w:tcW w:w="2460" w:type="dxa"/>
          </w:tcPr>
          <w:p w14:paraId="3AF8B749">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本标准适用于保护地黄瓜霜霉病的测报调查（DB11/T 286-2005，1）</w:t>
            </w:r>
          </w:p>
          <w:p w14:paraId="4A9DC949">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本标准适用于大白菜霜霉病的测报调查。（DB11/T 287-2005,1）</w:t>
            </w:r>
          </w:p>
        </w:tc>
        <w:tc>
          <w:tcPr>
            <w:tcW w:w="2325" w:type="dxa"/>
          </w:tcPr>
          <w:p w14:paraId="4962BFDD">
            <w:pPr>
              <w:rPr>
                <w:rFonts w:asciiTheme="minorEastAsia" w:hAnsiTheme="minorEastAsia" w:eastAsiaTheme="minorEastAsia" w:cstheme="minorEastAsia"/>
                <w:sz w:val="18"/>
                <w:szCs w:val="18"/>
              </w:rPr>
            </w:pPr>
            <w:r>
              <w:rPr>
                <w:rFonts w:hint="eastAsia"/>
                <w:sz w:val="18"/>
                <w:szCs w:val="18"/>
              </w:rPr>
              <w:t>本</w:t>
            </w:r>
            <w:r>
              <w:rPr>
                <w:rFonts w:hint="eastAsia" w:asciiTheme="minorEastAsia" w:hAnsiTheme="minorEastAsia" w:eastAsiaTheme="minorEastAsia" w:cstheme="minorEastAsia"/>
                <w:sz w:val="18"/>
                <w:szCs w:val="18"/>
              </w:rPr>
              <w:t>文件适用黄瓜、西葫芦、丝瓜等保护地葫芦科蔬菜和大白菜、娃娃菜、小白菜、花椰菜、青花菜、甘蓝、萝卜、油菜等十字花科蔬菜。</w:t>
            </w:r>
          </w:p>
        </w:tc>
        <w:tc>
          <w:tcPr>
            <w:tcW w:w="2629" w:type="dxa"/>
          </w:tcPr>
          <w:p w14:paraId="7D762C80">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该修订标准将二者都纳入其中，并将范围扩大至黄瓜，西葫芦、丝瓜等保护地瓜类和大白菜、娃娃菜、小白菜、花椰菜、青花菜、甘蓝、萝卜、油菜等十字花科蔬菜，扩大标准的使用范围。据文献报道，黄瓜，西葫芦、丝瓜等瓜类霜霉病病原菌均为假霜霉属真菌</w:t>
            </w:r>
            <w:r>
              <w:rPr>
                <w:rFonts w:hint="eastAsia" w:asciiTheme="minorEastAsia" w:hAnsiTheme="minorEastAsia" w:eastAsiaTheme="minorEastAsia" w:cstheme="minorEastAsia"/>
                <w:i/>
                <w:sz w:val="18"/>
                <w:szCs w:val="18"/>
              </w:rPr>
              <w:t>Pseudoperonospora cubensis，</w:t>
            </w:r>
            <w:r>
              <w:rPr>
                <w:rFonts w:hint="eastAsia" w:asciiTheme="minorEastAsia" w:hAnsiTheme="minorEastAsia" w:eastAsiaTheme="minorEastAsia" w:cstheme="minorEastAsia"/>
                <w:sz w:val="18"/>
                <w:szCs w:val="18"/>
              </w:rPr>
              <w:t>大白菜、小白菜、甘蓝、萝卜、油菜等十字花科蔬菜霜霉病病原菌均为无色霜霉属真菌</w:t>
            </w:r>
            <w:r>
              <w:rPr>
                <w:rFonts w:hint="eastAsia" w:asciiTheme="minorEastAsia" w:hAnsiTheme="minorEastAsia" w:eastAsiaTheme="minorEastAsia" w:cstheme="minorEastAsia"/>
                <w:i/>
                <w:sz w:val="18"/>
                <w:szCs w:val="18"/>
              </w:rPr>
              <w:t>Hyaloperonospora parasitica</w:t>
            </w:r>
            <w:r>
              <w:rPr>
                <w:rFonts w:hint="eastAsia" w:asciiTheme="minorEastAsia" w:hAnsiTheme="minorEastAsia" w:eastAsiaTheme="minorEastAsia" w:cstheme="minorEastAsia"/>
                <w:sz w:val="18"/>
                <w:szCs w:val="18"/>
              </w:rPr>
              <w:t>，该标准可以适用于以上各类蔬菜。</w:t>
            </w:r>
          </w:p>
        </w:tc>
      </w:tr>
      <w:tr w14:paraId="32A1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5FDB4A02">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 霜霉病病情分级标准</w:t>
            </w:r>
          </w:p>
        </w:tc>
        <w:tc>
          <w:tcPr>
            <w:tcW w:w="2460" w:type="dxa"/>
            <w:vAlign w:val="center"/>
          </w:tcPr>
          <w:p w14:paraId="2A3546BD">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 发病级别（disease rating）</w:t>
            </w:r>
          </w:p>
          <w:p w14:paraId="1EA7727A">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用分级法表示植株的发病程度。分级为：</w:t>
            </w:r>
          </w:p>
          <w:p w14:paraId="23D93547">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0 级：无病叶；</w:t>
            </w:r>
          </w:p>
          <w:p w14:paraId="21C0FB3E">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1 级：病叶占全株总叶片 1/4 以下；</w:t>
            </w:r>
          </w:p>
          <w:p w14:paraId="7546FD23">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2 级：病叶占全株总叶片的 1/4～1/2；</w:t>
            </w:r>
          </w:p>
          <w:p w14:paraId="5CB282F3">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3 级：病叶占全株总叶片 1/2 以上，但不影响包心；</w:t>
            </w:r>
          </w:p>
          <w:p w14:paraId="767B47CB">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4 级：全株大多数叶片枯黄不能包心。</w:t>
            </w:r>
          </w:p>
          <w:p w14:paraId="24ECFF50">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（DB11/T 287-2005，2.5）</w:t>
            </w:r>
          </w:p>
        </w:tc>
        <w:tc>
          <w:tcPr>
            <w:tcW w:w="2325" w:type="dxa"/>
            <w:vAlign w:val="center"/>
          </w:tcPr>
          <w:p w14:paraId="0EC2221A">
            <w:pPr>
              <w:jc w:val="center"/>
              <w:rPr>
                <w:rFonts w:asciiTheme="minorEastAsia" w:hAnsiTheme="minorEastAsia" w:eastAsiaTheme="minorEastAsia" w:cstheme="minorEastAsia"/>
                <w:sz w:val="18"/>
                <w:szCs w:val="18"/>
              </w:rPr>
            </w:pPr>
            <w:bookmarkStart w:id="0" w:name="_Toc1110226511"/>
            <w:bookmarkStart w:id="1" w:name="_Toc416968235"/>
            <w:bookmarkStart w:id="2" w:name="_Toc476616906"/>
            <w:r>
              <w:rPr>
                <w:rFonts w:hint="eastAsia" w:asciiTheme="minorEastAsia" w:hAnsiTheme="minorEastAsia" w:eastAsiaTheme="minorEastAsia" w:cstheme="minorEastAsia"/>
                <w:sz w:val="18"/>
                <w:szCs w:val="18"/>
              </w:rPr>
              <w:t>4.2  结球类十字花科蔬菜（大白菜、娃娃菜、甘蓝等）霜霉病</w:t>
            </w:r>
            <w:bookmarkEnd w:id="0"/>
            <w:bookmarkEnd w:id="1"/>
            <w:r>
              <w:rPr>
                <w:rFonts w:hint="eastAsia" w:asciiTheme="minorEastAsia" w:hAnsiTheme="minorEastAsia" w:eastAsiaTheme="minorEastAsia" w:cstheme="minorEastAsia"/>
                <w:sz w:val="18"/>
                <w:szCs w:val="18"/>
              </w:rPr>
              <w:t>：</w:t>
            </w:r>
            <w:bookmarkEnd w:id="2"/>
          </w:p>
          <w:p w14:paraId="55CFF596">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0 级：无病叶；</w:t>
            </w:r>
          </w:p>
          <w:p w14:paraId="5076B093">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1 级：病叶占全株总叶片的 1/4 以下；</w:t>
            </w:r>
          </w:p>
          <w:p w14:paraId="4B615373">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2 级：病叶占全株总叶片的 1/4～1/2；</w:t>
            </w:r>
          </w:p>
          <w:p w14:paraId="1655525E">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3 级：病叶占全株总叶片 1/2 以上，但不影响包心；</w:t>
            </w:r>
          </w:p>
          <w:p w14:paraId="226296CE">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4 级：全株大多数叶片枯黄不能包心。</w:t>
            </w:r>
          </w:p>
          <w:p w14:paraId="23450EB7">
            <w:pPr>
              <w:jc w:val="center"/>
              <w:rPr>
                <w:rFonts w:asciiTheme="minorEastAsia" w:hAnsiTheme="minorEastAsia" w:eastAsiaTheme="minorEastAsia" w:cstheme="minorEastAsia"/>
                <w:sz w:val="18"/>
                <w:szCs w:val="18"/>
              </w:rPr>
            </w:pPr>
            <w:bookmarkStart w:id="3" w:name="_Toc217017353"/>
            <w:bookmarkStart w:id="4" w:name="_Toc622358560"/>
            <w:bookmarkStart w:id="5" w:name="_Toc193084654"/>
            <w:r>
              <w:rPr>
                <w:rFonts w:hint="eastAsia" w:asciiTheme="minorEastAsia" w:hAnsiTheme="minorEastAsia" w:eastAsiaTheme="minorEastAsia" w:cstheme="minorEastAsia"/>
                <w:sz w:val="18"/>
                <w:szCs w:val="18"/>
              </w:rPr>
              <w:t>4.3  非结球类十字花科蔬菜（芥菜、花椰菜、青花菜、萝卜、油菜等）霜霉病</w:t>
            </w:r>
            <w:bookmarkEnd w:id="3"/>
            <w:bookmarkEnd w:id="4"/>
            <w:r>
              <w:rPr>
                <w:rFonts w:hint="eastAsia" w:asciiTheme="minorEastAsia" w:hAnsiTheme="minorEastAsia" w:eastAsiaTheme="minorEastAsia" w:cstheme="minorEastAsia"/>
                <w:sz w:val="18"/>
                <w:szCs w:val="18"/>
              </w:rPr>
              <w:t>：</w:t>
            </w:r>
            <w:bookmarkEnd w:id="5"/>
          </w:p>
          <w:p w14:paraId="13504A40">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0 级：无病叶；</w:t>
            </w:r>
          </w:p>
          <w:p w14:paraId="6A75AEB0">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1 级：病叶占全株总展叶数的 1/4 以下；</w:t>
            </w:r>
          </w:p>
          <w:p w14:paraId="196DE714">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2 级：病叶占全株总展叶数的 1/4～1/2；</w:t>
            </w:r>
          </w:p>
          <w:p w14:paraId="5BCB14E4">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3 级：病叶占全株总展叶数的 1/2～3/4；</w:t>
            </w:r>
          </w:p>
          <w:p w14:paraId="2505C0EA">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4 级：病叶占全株总展叶数的 3/4以上。</w:t>
            </w:r>
          </w:p>
          <w:p w14:paraId="5E259F37">
            <w:pPr>
              <w:jc w:val="center"/>
              <w:rPr>
                <w:rFonts w:asciiTheme="minorEastAsia" w:hAnsiTheme="minorEastAsia" w:eastAsiaTheme="minorEastAsia" w:cstheme="minorEastAsia"/>
                <w:sz w:val="18"/>
                <w:szCs w:val="18"/>
              </w:rPr>
            </w:pPr>
          </w:p>
        </w:tc>
        <w:tc>
          <w:tcPr>
            <w:tcW w:w="2629" w:type="dxa"/>
            <w:vAlign w:val="center"/>
          </w:tcPr>
          <w:p w14:paraId="18906C00">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十字花科蔬菜种类繁多，总体有结球型（大白菜、娃娃菜、甘蓝等）和不结球型（芥菜、花椰菜、青花菜、萝卜、油菜等），霜霉病在不同类型的十字花科蔬菜上表现出的病害症状不同。因此将病情分级标准分成两类，在判断发病级别和计算病情指数中更有针对性。</w:t>
            </w:r>
          </w:p>
        </w:tc>
      </w:tr>
      <w:tr w14:paraId="00ED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dxa"/>
          </w:tcPr>
          <w:p w14:paraId="7A3F618A">
            <w:pPr>
              <w:ind w:firstLine="360" w:firstLineChars="200"/>
              <w:rPr>
                <w:rFonts w:asciiTheme="minorEastAsia" w:hAnsiTheme="minorEastAsia" w:eastAsiaTheme="minorEastAsia" w:cstheme="minorEastAsia"/>
                <w:sz w:val="18"/>
                <w:szCs w:val="18"/>
              </w:rPr>
            </w:pPr>
          </w:p>
          <w:p w14:paraId="13A9C9C5">
            <w:pPr>
              <w:ind w:firstLine="360" w:firstLineChars="200"/>
              <w:rPr>
                <w:rFonts w:asciiTheme="minorEastAsia" w:hAnsiTheme="minorEastAsia" w:eastAsiaTheme="minorEastAsia" w:cstheme="minorEastAsia"/>
                <w:sz w:val="18"/>
                <w:szCs w:val="18"/>
              </w:rPr>
            </w:pPr>
          </w:p>
          <w:p w14:paraId="56E708DB">
            <w:pPr>
              <w:ind w:firstLine="360" w:firstLineChars="200"/>
              <w:rPr>
                <w:rFonts w:asciiTheme="minorEastAsia" w:hAnsiTheme="minorEastAsia" w:eastAsiaTheme="minorEastAsia" w:cstheme="minorEastAsia"/>
                <w:sz w:val="18"/>
                <w:szCs w:val="18"/>
              </w:rPr>
            </w:pPr>
          </w:p>
          <w:p w14:paraId="777852E7">
            <w:pPr>
              <w:ind w:firstLine="360" w:firstLineChars="200"/>
              <w:rPr>
                <w:rFonts w:asciiTheme="minorEastAsia" w:hAnsiTheme="minorEastAsia" w:eastAsiaTheme="minorEastAsia" w:cstheme="minorEastAsia"/>
                <w:sz w:val="18"/>
                <w:szCs w:val="18"/>
              </w:rPr>
            </w:pPr>
          </w:p>
          <w:p w14:paraId="0D60E5C5">
            <w:pPr>
              <w:ind w:firstLine="360" w:firstLineChars="200"/>
              <w:rPr>
                <w:rFonts w:asciiTheme="minorEastAsia" w:hAnsiTheme="minorEastAsia" w:eastAsiaTheme="minorEastAsia" w:cstheme="minorEastAsia"/>
                <w:sz w:val="18"/>
                <w:szCs w:val="18"/>
              </w:rPr>
            </w:pPr>
          </w:p>
          <w:p w14:paraId="15A599F3">
            <w:pPr>
              <w:ind w:firstLine="360" w:firstLineChars="200"/>
              <w:rPr>
                <w:rFonts w:asciiTheme="minorEastAsia" w:hAnsiTheme="minorEastAsia" w:eastAsiaTheme="minorEastAsia" w:cstheme="minorEastAsia"/>
                <w:sz w:val="18"/>
                <w:szCs w:val="18"/>
              </w:rPr>
            </w:pPr>
          </w:p>
          <w:p w14:paraId="3346F00F">
            <w:pPr>
              <w:ind w:firstLine="360" w:firstLineChars="200"/>
              <w:rPr>
                <w:rFonts w:asciiTheme="minorEastAsia" w:hAnsiTheme="minorEastAsia" w:eastAsiaTheme="minorEastAsia" w:cstheme="minorEastAsia"/>
                <w:sz w:val="18"/>
                <w:szCs w:val="18"/>
              </w:rPr>
            </w:pPr>
          </w:p>
          <w:p w14:paraId="59301681">
            <w:pPr>
              <w:ind w:firstLine="360" w:firstLineChars="200"/>
              <w:rPr>
                <w:rFonts w:asciiTheme="minorEastAsia" w:hAnsiTheme="minorEastAsia" w:eastAsiaTheme="minorEastAsia" w:cstheme="minorEastAsia"/>
                <w:sz w:val="18"/>
                <w:szCs w:val="18"/>
              </w:rPr>
            </w:pPr>
          </w:p>
          <w:p w14:paraId="553F26D5">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  调查方法</w:t>
            </w:r>
          </w:p>
          <w:p w14:paraId="21CEFC31">
            <w:pPr>
              <w:rPr>
                <w:rFonts w:asciiTheme="minorEastAsia" w:hAnsiTheme="minorEastAsia" w:eastAsiaTheme="minorEastAsia" w:cstheme="minorEastAsia"/>
                <w:sz w:val="18"/>
                <w:szCs w:val="18"/>
              </w:rPr>
            </w:pPr>
          </w:p>
        </w:tc>
        <w:tc>
          <w:tcPr>
            <w:tcW w:w="2460" w:type="dxa"/>
          </w:tcPr>
          <w:p w14:paraId="3B6E2ECF">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 系统调查</w:t>
            </w:r>
          </w:p>
          <w:p w14:paraId="1E797D25">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真叶一出现，先对早播、感病品种白菜田大面积普查，查到病株后在发病区域内定 2 块地进行系统调查，采用对角线5 点取样，每点定10 株，5 天调查一次至结球后期。调查记载霜霉病病株数、发病级别（定棵前不查）和管理情况。同时在莲座期之前调查病毒病病株率。调查期间始终不施对霜霉病、病毒病有效药剂。调查结果填入表2。</w:t>
            </w:r>
          </w:p>
          <w:p w14:paraId="74FFDDE4">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 普查</w:t>
            </w:r>
          </w:p>
          <w:p w14:paraId="77CC08B2">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白菜定棵后至结球中期，选取当地有代表性的地块10 块以上，每10 天普查1 次，每次每块地随机查50 株，调查霜霉病病株数和发病级别，同时调查病毒病病株数至莲座期为止，调查结果填入表3，汇总后填入表4.（DB11/T 287-2005）</w:t>
            </w:r>
          </w:p>
        </w:tc>
        <w:tc>
          <w:tcPr>
            <w:tcW w:w="2325" w:type="dxa"/>
          </w:tcPr>
          <w:p w14:paraId="638ACBE6">
            <w:pPr>
              <w:rPr>
                <w:rFonts w:asciiTheme="minorEastAsia" w:hAnsiTheme="minorEastAsia" w:eastAsiaTheme="minorEastAsia" w:cstheme="minorEastAsia"/>
                <w:sz w:val="18"/>
                <w:szCs w:val="18"/>
              </w:rPr>
            </w:pPr>
            <w:bookmarkStart w:id="6" w:name="_Toc972808962"/>
            <w:bookmarkStart w:id="7" w:name="_Toc888272539"/>
            <w:bookmarkStart w:id="8" w:name="_Toc1043436108"/>
            <w:bookmarkStart w:id="9" w:name="_Toc368104169"/>
            <w:bookmarkStart w:id="10" w:name="_Toc1413137098"/>
            <w:bookmarkStart w:id="11" w:name="_Toc747009165"/>
            <w:bookmarkStart w:id="12" w:name="_Toc580779435"/>
            <w:bookmarkStart w:id="13" w:name="_Toc1428997042"/>
            <w:bookmarkStart w:id="14" w:name="_Toc785336531"/>
            <w:bookmarkStart w:id="15" w:name="_Toc1700591130"/>
            <w:bookmarkStart w:id="16" w:name="_Toc140330530"/>
            <w:bookmarkStart w:id="17" w:name="_Toc1313849642"/>
            <w:bookmarkStart w:id="18" w:name="_Toc573133096"/>
            <w:bookmarkStart w:id="19" w:name="_Toc1615333807"/>
            <w:bookmarkStart w:id="20" w:name="_Toc284527418"/>
            <w:bookmarkStart w:id="21" w:name="_Toc281518911"/>
            <w:bookmarkStart w:id="22" w:name="_Toc2008509482"/>
            <w:bookmarkStart w:id="23" w:name="_Toc1441055095"/>
            <w:bookmarkStart w:id="24" w:name="_Toc1793682311"/>
            <w:bookmarkStart w:id="25" w:name="_Toc1226105738"/>
            <w:r>
              <w:rPr>
                <w:rFonts w:hint="eastAsia" w:asciiTheme="minorEastAsia" w:hAnsiTheme="minorEastAsia" w:eastAsiaTheme="minorEastAsia" w:cstheme="minorEastAsia"/>
                <w:sz w:val="18"/>
                <w:szCs w:val="18"/>
              </w:rPr>
              <w:t>6.1.2  十字花科蔬菜霜霉病</w:t>
            </w:r>
            <w:bookmarkEnd w:id="6"/>
            <w:bookmarkEnd w:id="7"/>
            <w:bookmarkEnd w:id="8"/>
            <w:bookmarkEnd w:id="9"/>
            <w:bookmarkEnd w:id="10"/>
            <w:bookmarkEnd w:id="11"/>
            <w:bookmarkEnd w:id="12"/>
            <w:bookmarkEnd w:id="13"/>
            <w:bookmarkEnd w:id="14"/>
            <w:bookmarkEnd w:id="15"/>
          </w:p>
          <w:p w14:paraId="3DED29E1">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6.1.2.1  出现真叶后，对易感病品种田大面积调查，发现病株后即在发病区域内定2-3 块能代表当地种植情况和种植水平的地块进行系统调查，调查期间始终不针对霜霉病开展药剂防治。采用对角线5点取样，每点定10 株，3 d调查一次至采收期。识别特征见附录B。</w:t>
            </w:r>
          </w:p>
          <w:p w14:paraId="3E760CEA">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6.2.2  十字花科蔬菜霜霉病</w:t>
            </w:r>
            <w:bookmarkEnd w:id="16"/>
            <w:bookmarkEnd w:id="17"/>
            <w:bookmarkEnd w:id="18"/>
            <w:bookmarkEnd w:id="19"/>
            <w:bookmarkEnd w:id="20"/>
            <w:bookmarkEnd w:id="21"/>
            <w:bookmarkEnd w:id="22"/>
            <w:bookmarkEnd w:id="23"/>
            <w:bookmarkEnd w:id="24"/>
            <w:bookmarkEnd w:id="25"/>
          </w:p>
          <w:p w14:paraId="62AB4109">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作物定苗后至采收期，选取能代表当地种植情况和种植水平的地块10 块以上，每7 d普查1 次，每次每块地随机查50 株，调查各级病株数、计算病株率、病情指数，调查结果填入表5，汇总后填入表 6。</w:t>
            </w:r>
          </w:p>
          <w:p w14:paraId="7D40713E">
            <w:pPr>
              <w:rPr>
                <w:rFonts w:asciiTheme="minorEastAsia" w:hAnsiTheme="minorEastAsia" w:eastAsiaTheme="minorEastAsia" w:cstheme="minorEastAsia"/>
                <w:sz w:val="18"/>
                <w:szCs w:val="18"/>
              </w:rPr>
            </w:pPr>
          </w:p>
        </w:tc>
        <w:tc>
          <w:tcPr>
            <w:tcW w:w="2629" w:type="dxa"/>
          </w:tcPr>
          <w:p w14:paraId="05F09389">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近年来，随着抗病品种的广泛推广、种苗脱毒技术的普及以及农业生产环境的改善，大白菜病毒病的发病率呈现出逐年下降的趋势；并且在实际工作中发现，监测病毒病增加了基层测报员的工作量，因此在修订的调查规范中去除了病毒病的相关调查（系统调查和普查），简化工作，单一聚焦霜霉病调查，将人力、物力精准投入到对生产影响更大的病害研究上。</w:t>
            </w:r>
          </w:p>
        </w:tc>
      </w:tr>
      <w:tr w14:paraId="3479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14:paraId="7B5D48DD">
            <w:pPr>
              <w:spacing w:line="360" w:lineRule="auto"/>
              <w:ind w:right="40" w:rightChars="19"/>
              <w:jc w:val="center"/>
              <w:rPr>
                <w:rFonts w:asciiTheme="minorEastAsia" w:hAnsiTheme="minorEastAsia" w:eastAsiaTheme="minorEastAsia" w:cstheme="minorEastAsia"/>
                <w:sz w:val="18"/>
                <w:szCs w:val="18"/>
              </w:rPr>
            </w:pPr>
          </w:p>
          <w:p w14:paraId="49EB80C5">
            <w:pPr>
              <w:spacing w:line="360" w:lineRule="auto"/>
              <w:ind w:right="40" w:rightChars="19"/>
              <w:jc w:val="center"/>
              <w:rPr>
                <w:rFonts w:asciiTheme="minorEastAsia" w:hAnsiTheme="minorEastAsia" w:eastAsiaTheme="minorEastAsia" w:cstheme="minorEastAsia"/>
                <w:sz w:val="18"/>
                <w:szCs w:val="18"/>
              </w:rPr>
            </w:pPr>
          </w:p>
          <w:p w14:paraId="30449DD0">
            <w:pPr>
              <w:spacing w:line="360" w:lineRule="auto"/>
              <w:ind w:right="40" w:rightChars="19"/>
              <w:jc w:val="center"/>
              <w:rPr>
                <w:rFonts w:asciiTheme="minorEastAsia" w:hAnsiTheme="minorEastAsia" w:eastAsiaTheme="minorEastAsia" w:cstheme="minorEastAsia"/>
                <w:sz w:val="18"/>
                <w:szCs w:val="18"/>
              </w:rPr>
            </w:pPr>
          </w:p>
          <w:p w14:paraId="3135B686">
            <w:pPr>
              <w:spacing w:line="360" w:lineRule="auto"/>
              <w:ind w:right="40" w:rightChars="19"/>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  发生程度分级</w:t>
            </w:r>
          </w:p>
          <w:p w14:paraId="0A86136B">
            <w:pPr>
              <w:spacing w:line="360" w:lineRule="auto"/>
              <w:ind w:left="-630" w:leftChars="-300" w:right="-695" w:rightChars="-331" w:firstLine="405" w:firstLineChars="225"/>
              <w:rPr>
                <w:rFonts w:asciiTheme="minorEastAsia" w:hAnsiTheme="minorEastAsia" w:eastAsiaTheme="minorEastAsia" w:cstheme="minorEastAsia"/>
                <w:sz w:val="18"/>
                <w:szCs w:val="18"/>
              </w:rPr>
            </w:pPr>
          </w:p>
          <w:p w14:paraId="0CBC53FC">
            <w:pPr>
              <w:rPr>
                <w:rFonts w:asciiTheme="minorEastAsia" w:hAnsiTheme="minorEastAsia" w:eastAsiaTheme="minorEastAsia" w:cstheme="minorEastAsia"/>
                <w:sz w:val="18"/>
                <w:szCs w:val="18"/>
              </w:rPr>
            </w:pPr>
          </w:p>
        </w:tc>
        <w:tc>
          <w:tcPr>
            <w:tcW w:w="2460" w:type="dxa"/>
          </w:tcPr>
          <w:p w14:paraId="498315EA">
            <w:pPr>
              <w:ind w:firstLine="360" w:firstLineChars="200"/>
              <w:rPr>
                <w:rFonts w:asciiTheme="minorEastAsia" w:hAnsiTheme="minorEastAsia" w:eastAsiaTheme="minorEastAsia" w:cstheme="minorEastAsia"/>
                <w:sz w:val="18"/>
                <w:szCs w:val="18"/>
              </w:rPr>
            </w:pPr>
          </w:p>
          <w:p w14:paraId="65AA25C1">
            <w:pPr>
              <w:ind w:firstLine="360" w:firstLineChars="200"/>
              <w:rPr>
                <w:rFonts w:asciiTheme="minorEastAsia" w:hAnsiTheme="minorEastAsia" w:eastAsiaTheme="minorEastAsia" w:cstheme="minorEastAsia"/>
                <w:sz w:val="18"/>
                <w:szCs w:val="18"/>
              </w:rPr>
            </w:pPr>
          </w:p>
          <w:p w14:paraId="7ECBB51F">
            <w:pPr>
              <w:ind w:firstLine="360" w:firstLineChars="200"/>
              <w:rPr>
                <w:rFonts w:asciiTheme="minorEastAsia" w:hAnsiTheme="minorEastAsia" w:eastAsiaTheme="minorEastAsia" w:cstheme="minorEastAsia"/>
                <w:sz w:val="18"/>
                <w:szCs w:val="18"/>
              </w:rPr>
            </w:pPr>
          </w:p>
          <w:p w14:paraId="250C6883">
            <w:pPr>
              <w:ind w:firstLine="360" w:firstLineChars="200"/>
              <w:rPr>
                <w:rFonts w:asciiTheme="minorEastAsia" w:hAnsiTheme="minorEastAsia" w:eastAsiaTheme="minorEastAsia" w:cstheme="minorEastAsia"/>
                <w:sz w:val="18"/>
                <w:szCs w:val="18"/>
              </w:rPr>
            </w:pPr>
          </w:p>
          <w:p w14:paraId="4AFADD8C">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发生程度分级指标分为“发生面积比率”和“平均病情指数”（DB11/T 286-2005，DB11/T 287-2005，3）</w:t>
            </w:r>
          </w:p>
        </w:tc>
        <w:tc>
          <w:tcPr>
            <w:tcW w:w="2325" w:type="dxa"/>
          </w:tcPr>
          <w:p w14:paraId="48F1D520">
            <w:pPr>
              <w:ind w:firstLine="360" w:firstLineChars="200"/>
              <w:rPr>
                <w:rFonts w:asciiTheme="minorEastAsia" w:hAnsiTheme="minorEastAsia" w:eastAsiaTheme="minorEastAsia" w:cstheme="minorEastAsia"/>
                <w:sz w:val="18"/>
                <w:szCs w:val="18"/>
              </w:rPr>
            </w:pPr>
          </w:p>
          <w:p w14:paraId="74737F8A">
            <w:pPr>
              <w:ind w:firstLine="360" w:firstLineChars="200"/>
              <w:rPr>
                <w:rFonts w:asciiTheme="minorEastAsia" w:hAnsiTheme="minorEastAsia" w:eastAsiaTheme="minorEastAsia" w:cstheme="minorEastAsia"/>
                <w:sz w:val="18"/>
                <w:szCs w:val="18"/>
              </w:rPr>
            </w:pPr>
          </w:p>
          <w:p w14:paraId="76FBF0EB">
            <w:pPr>
              <w:ind w:firstLine="360" w:firstLineChars="200"/>
              <w:rPr>
                <w:rFonts w:asciiTheme="minorEastAsia" w:hAnsiTheme="minorEastAsia" w:eastAsiaTheme="minorEastAsia" w:cstheme="minorEastAsia"/>
                <w:sz w:val="18"/>
                <w:szCs w:val="18"/>
              </w:rPr>
            </w:pPr>
          </w:p>
          <w:p w14:paraId="18C1F09C">
            <w:pPr>
              <w:ind w:firstLine="360" w:firstLineChars="200"/>
              <w:rPr>
                <w:rFonts w:asciiTheme="minorEastAsia" w:hAnsiTheme="minorEastAsia" w:eastAsiaTheme="minorEastAsia" w:cstheme="minorEastAsia"/>
                <w:sz w:val="18"/>
                <w:szCs w:val="18"/>
              </w:rPr>
            </w:pPr>
          </w:p>
          <w:p w14:paraId="2FBD7706">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发生程度分级指标</w:t>
            </w:r>
            <w:r>
              <w:rPr>
                <w:rFonts w:hint="eastAsia" w:ascii="宋体"/>
                <w:sz w:val="18"/>
                <w:szCs w:val="18"/>
              </w:rPr>
              <w:t>用平均病情指数（a）为主要指标，参考病株率（b）确定。</w:t>
            </w:r>
          </w:p>
        </w:tc>
        <w:tc>
          <w:tcPr>
            <w:tcW w:w="2629" w:type="dxa"/>
          </w:tcPr>
          <w:p w14:paraId="795B1543">
            <w:pPr>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新修订的标准将原发生程度分级标准中“发生面积比率”修订为“病株率”，与平均病情指数两个指标协同确定发生程度。考虑到在实际生产中，霜霉病成片发生但发病情况不重</w:t>
            </w:r>
            <w:r>
              <w:rPr>
                <w:rFonts w:hint="eastAsia" w:asciiTheme="minorEastAsia" w:hAnsiTheme="minorEastAsia" w:eastAsiaTheme="minorEastAsia" w:cstheme="minorEastAsia"/>
                <w:sz w:val="18"/>
                <w:szCs w:val="18"/>
                <w:lang w:eastAsia="zh-CN"/>
              </w:rPr>
              <w:t>、或病株率低但发病重</w:t>
            </w:r>
            <w:r>
              <w:rPr>
                <w:rFonts w:hint="eastAsia" w:asciiTheme="minorEastAsia" w:hAnsiTheme="minorEastAsia" w:eastAsiaTheme="minorEastAsia" w:cstheme="minorEastAsia"/>
                <w:sz w:val="18"/>
                <w:szCs w:val="18"/>
              </w:rPr>
              <w:t>的</w:t>
            </w:r>
            <w:r>
              <w:rPr>
                <w:rFonts w:hint="eastAsia" w:asciiTheme="minorEastAsia" w:hAnsiTheme="minorEastAsia" w:eastAsiaTheme="minorEastAsia" w:cstheme="minorEastAsia"/>
                <w:sz w:val="18"/>
                <w:szCs w:val="18"/>
                <w:lang w:eastAsia="zh-CN"/>
              </w:rPr>
              <w:t>复杂</w:t>
            </w:r>
            <w:r>
              <w:rPr>
                <w:rFonts w:hint="eastAsia" w:asciiTheme="minorEastAsia" w:hAnsiTheme="minorEastAsia" w:eastAsiaTheme="minorEastAsia" w:cstheme="minorEastAsia"/>
                <w:sz w:val="18"/>
                <w:szCs w:val="18"/>
              </w:rPr>
              <w:t>情况较多，单以发生面积作为分级标准代表性较差；并参考了DB34/T 880-2009 黄瓜霜霉病测报调查规范(安徽省地方标准)、DB3303/T 017-2020 黄瓜霜霉病、白粉病测报调查技术规程（温州地方标准）等调查规范，改为由平均病情指数和病株率协同分级，既可以表示发生程度的不同，也简化了实际操作中的工作量，符合北京实际生产情况。</w:t>
            </w:r>
          </w:p>
          <w:p w14:paraId="7DC757AE">
            <w:pPr>
              <w:rPr>
                <w:rFonts w:asciiTheme="minorEastAsia" w:hAnsiTheme="minorEastAsia" w:eastAsiaTheme="minorEastAsia" w:cstheme="minorEastAsia"/>
                <w:sz w:val="18"/>
                <w:szCs w:val="18"/>
              </w:rPr>
            </w:pPr>
          </w:p>
        </w:tc>
      </w:tr>
      <w:tr w14:paraId="3334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14:paraId="4E590E60">
            <w:pPr>
              <w:rPr>
                <w:rFonts w:asciiTheme="minorEastAsia" w:hAnsiTheme="minorEastAsia" w:eastAsiaTheme="minorEastAsia" w:cstheme="minorEastAsia"/>
                <w:sz w:val="18"/>
                <w:szCs w:val="18"/>
              </w:rPr>
            </w:pPr>
          </w:p>
          <w:p w14:paraId="21FEDFC8">
            <w:pPr>
              <w:rPr>
                <w:rFonts w:asciiTheme="minorEastAsia" w:hAnsiTheme="minorEastAsia" w:eastAsiaTheme="minorEastAsia" w:cstheme="minorEastAsia"/>
                <w:sz w:val="18"/>
                <w:szCs w:val="18"/>
              </w:rPr>
            </w:pPr>
          </w:p>
          <w:p w14:paraId="6950207D">
            <w:pPr>
              <w:rPr>
                <w:rFonts w:asciiTheme="minorEastAsia" w:hAnsiTheme="minorEastAsia" w:eastAsiaTheme="minorEastAsia" w:cstheme="minorEastAsia"/>
                <w:sz w:val="18"/>
                <w:szCs w:val="18"/>
              </w:rPr>
            </w:pPr>
          </w:p>
          <w:p w14:paraId="64E7D6C2">
            <w:pPr>
              <w:rPr>
                <w:rFonts w:asciiTheme="minorEastAsia" w:hAnsiTheme="minorEastAsia" w:eastAsiaTheme="minorEastAsia" w:cstheme="minorEastAsia"/>
                <w:sz w:val="18"/>
                <w:szCs w:val="18"/>
              </w:rPr>
            </w:pPr>
          </w:p>
          <w:p w14:paraId="26BAD351">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附录B</w:t>
            </w:r>
          </w:p>
          <w:p w14:paraId="4E95905A">
            <w:pPr>
              <w:rPr>
                <w:rFonts w:asciiTheme="minorEastAsia" w:hAnsiTheme="minorEastAsia" w:eastAsiaTheme="minorEastAsia" w:cstheme="minorEastAsia"/>
                <w:sz w:val="18"/>
                <w:szCs w:val="18"/>
              </w:rPr>
            </w:pPr>
          </w:p>
        </w:tc>
        <w:tc>
          <w:tcPr>
            <w:tcW w:w="2460" w:type="dxa"/>
          </w:tcPr>
          <w:p w14:paraId="0824AEE8">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A.1 症状描述 </w:t>
            </w:r>
          </w:p>
          <w:p w14:paraId="08C44326">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苗期开始即可发病。多由下部叶片发生，最初在叶正面出现水浸状淡绿色斑点，扩大后受叶脉限制</w:t>
            </w:r>
          </w:p>
          <w:p w14:paraId="5AA88AE0">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呈黄褐色，近圆形至多角形病斑，潮湿时病斑背面长出白霉。病情严重时病斑连片，叶片枯黄。</w:t>
            </w:r>
          </w:p>
        </w:tc>
        <w:tc>
          <w:tcPr>
            <w:tcW w:w="2325" w:type="dxa"/>
          </w:tcPr>
          <w:p w14:paraId="52283ADE">
            <w:pPr>
              <w:rPr>
                <w:rFonts w:asciiTheme="minorEastAsia" w:hAnsiTheme="minorEastAsia" w:eastAsiaTheme="minorEastAsia" w:cstheme="minorEastAsia"/>
                <w:sz w:val="18"/>
                <w:szCs w:val="18"/>
              </w:rPr>
            </w:pPr>
            <w:bookmarkStart w:id="26" w:name="_Toc577625776"/>
            <w:bookmarkStart w:id="27" w:name="_Toc83619692"/>
            <w:bookmarkStart w:id="28" w:name="_Toc2133173486"/>
            <w:r>
              <w:rPr>
                <w:rFonts w:hint="eastAsia" w:asciiTheme="minorEastAsia" w:hAnsiTheme="minorEastAsia" w:eastAsiaTheme="minorEastAsia" w:cstheme="minorEastAsia"/>
                <w:sz w:val="18"/>
                <w:szCs w:val="18"/>
              </w:rPr>
              <w:t>B.1.1 白菜类受害症状</w:t>
            </w:r>
            <w:bookmarkEnd w:id="26"/>
            <w:bookmarkEnd w:id="27"/>
            <w:bookmarkEnd w:id="28"/>
          </w:p>
          <w:p w14:paraId="2EDD9830">
            <w:pPr>
              <w:rPr>
                <w:rFonts w:asciiTheme="minorEastAsia" w:hAnsiTheme="minorEastAsia" w:eastAsiaTheme="minorEastAsia" w:cstheme="minorEastAsia"/>
                <w:sz w:val="18"/>
                <w:szCs w:val="18"/>
              </w:rPr>
            </w:pPr>
            <w:bookmarkStart w:id="29" w:name="_Toc1056064481"/>
            <w:bookmarkStart w:id="30" w:name="_Toc468192361"/>
            <w:bookmarkStart w:id="31" w:name="_Toc760756580"/>
            <w:r>
              <w:rPr>
                <w:rFonts w:hint="eastAsia" w:asciiTheme="minorEastAsia" w:hAnsiTheme="minorEastAsia" w:eastAsiaTheme="minorEastAsia" w:cstheme="minorEastAsia"/>
                <w:sz w:val="18"/>
                <w:szCs w:val="18"/>
              </w:rPr>
              <w:t>B.1.2 甘蓝类受害症状</w:t>
            </w:r>
            <w:bookmarkEnd w:id="29"/>
            <w:bookmarkEnd w:id="30"/>
            <w:bookmarkEnd w:id="31"/>
          </w:p>
          <w:p w14:paraId="363BD0BA">
            <w:pPr>
              <w:rPr>
                <w:rFonts w:asciiTheme="minorEastAsia" w:hAnsiTheme="minorEastAsia" w:eastAsiaTheme="minorEastAsia" w:cstheme="minorEastAsia"/>
                <w:sz w:val="18"/>
                <w:szCs w:val="18"/>
              </w:rPr>
            </w:pPr>
            <w:bookmarkStart w:id="32" w:name="_Toc641726988"/>
            <w:bookmarkStart w:id="33" w:name="_Toc131071368"/>
            <w:bookmarkStart w:id="34" w:name="_Toc821589351"/>
            <w:r>
              <w:rPr>
                <w:rFonts w:hint="eastAsia" w:asciiTheme="minorEastAsia" w:hAnsiTheme="minorEastAsia" w:eastAsiaTheme="minorEastAsia" w:cstheme="minorEastAsia"/>
                <w:sz w:val="18"/>
                <w:szCs w:val="18"/>
              </w:rPr>
              <w:t>B.1.3 萝卜类受害症状</w:t>
            </w:r>
            <w:bookmarkEnd w:id="32"/>
            <w:bookmarkEnd w:id="33"/>
            <w:bookmarkEnd w:id="34"/>
          </w:p>
          <w:p w14:paraId="5729D0A7">
            <w:pPr>
              <w:rPr>
                <w:rFonts w:asciiTheme="minorEastAsia" w:hAnsiTheme="minorEastAsia" w:eastAsiaTheme="minorEastAsia" w:cstheme="minorEastAsia"/>
                <w:sz w:val="18"/>
                <w:szCs w:val="18"/>
              </w:rPr>
            </w:pPr>
          </w:p>
        </w:tc>
        <w:tc>
          <w:tcPr>
            <w:tcW w:w="2629" w:type="dxa"/>
            <w:vAlign w:val="center"/>
          </w:tcPr>
          <w:p w14:paraId="53FF4246">
            <w:pPr>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根据十字花科不同类型蔬菜不同的霜霉病表现症状，分类描述症状</w:t>
            </w:r>
            <w:r>
              <w:rPr>
                <w:rFonts w:hint="eastAsia" w:asciiTheme="minorEastAsia" w:hAnsiTheme="minorEastAsia" w:eastAsiaTheme="minorEastAsia" w:cstheme="minorEastAsia"/>
                <w:sz w:val="18"/>
                <w:szCs w:val="18"/>
                <w:lang w:eastAsia="zh-CN"/>
              </w:rPr>
              <w:t>，便于技术人员在操作时针对不同类型的十字花科蔬菜，对照不同的症状进行识别和监测</w:t>
            </w:r>
            <w:r>
              <w:rPr>
                <w:rFonts w:hint="eastAsia" w:asciiTheme="minorEastAsia" w:hAnsiTheme="minorEastAsia" w:eastAsiaTheme="minorEastAsia" w:cstheme="minorEastAsia"/>
                <w:sz w:val="18"/>
                <w:szCs w:val="18"/>
              </w:rPr>
              <w:t>。</w:t>
            </w:r>
          </w:p>
        </w:tc>
      </w:tr>
      <w:tr w14:paraId="70A8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14:paraId="150423F6">
            <w:pPr>
              <w:rPr>
                <w:rFonts w:asciiTheme="minorEastAsia" w:hAnsiTheme="minorEastAsia" w:eastAsiaTheme="minorEastAsia" w:cstheme="minorEastAsia"/>
                <w:sz w:val="18"/>
                <w:szCs w:val="18"/>
              </w:rPr>
            </w:pPr>
          </w:p>
          <w:p w14:paraId="1F1A77D4">
            <w:pPr>
              <w:rPr>
                <w:rFonts w:asciiTheme="minorEastAsia" w:hAnsiTheme="minorEastAsia" w:eastAsiaTheme="minorEastAsia" w:cstheme="minorEastAsia"/>
                <w:sz w:val="18"/>
                <w:szCs w:val="18"/>
              </w:rPr>
            </w:pPr>
          </w:p>
          <w:p w14:paraId="477B6BE0">
            <w:pPr>
              <w:rPr>
                <w:rFonts w:asciiTheme="minorEastAsia" w:hAnsiTheme="minorEastAsia" w:eastAsiaTheme="minorEastAsia" w:cstheme="minorEastAsia"/>
                <w:sz w:val="18"/>
                <w:szCs w:val="18"/>
              </w:rPr>
            </w:pPr>
          </w:p>
          <w:p w14:paraId="702184D0">
            <w:pPr>
              <w:rPr>
                <w:rFonts w:asciiTheme="minorEastAsia" w:hAnsiTheme="minorEastAsia" w:eastAsiaTheme="minorEastAsia" w:cstheme="minorEastAsia"/>
                <w:sz w:val="18"/>
                <w:szCs w:val="18"/>
              </w:rPr>
            </w:pPr>
          </w:p>
          <w:p w14:paraId="391CCECB">
            <w:pPr>
              <w:rPr>
                <w:rFonts w:asciiTheme="minorEastAsia" w:hAnsiTheme="minorEastAsia" w:eastAsiaTheme="minorEastAsia" w:cstheme="minorEastAsia"/>
                <w:sz w:val="18"/>
                <w:szCs w:val="18"/>
              </w:rPr>
            </w:pPr>
          </w:p>
          <w:p w14:paraId="72CB47DB">
            <w:pPr>
              <w:rPr>
                <w:rFonts w:asciiTheme="minorEastAsia" w:hAnsiTheme="minorEastAsia" w:eastAsiaTheme="minorEastAsia" w:cstheme="minorEastAsia"/>
                <w:sz w:val="18"/>
                <w:szCs w:val="18"/>
              </w:rPr>
            </w:pPr>
          </w:p>
          <w:p w14:paraId="14E4AD7F">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附录B</w:t>
            </w:r>
          </w:p>
          <w:p w14:paraId="510732B6">
            <w:pPr>
              <w:rPr>
                <w:rFonts w:asciiTheme="minorEastAsia" w:hAnsiTheme="minorEastAsia" w:eastAsiaTheme="minorEastAsia" w:cstheme="minorEastAsia"/>
                <w:sz w:val="18"/>
                <w:szCs w:val="18"/>
              </w:rPr>
            </w:pPr>
          </w:p>
        </w:tc>
        <w:tc>
          <w:tcPr>
            <w:tcW w:w="2460" w:type="dxa"/>
          </w:tcPr>
          <w:p w14:paraId="028E376B">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A.2 病原菌识别 </w:t>
            </w:r>
          </w:p>
          <w:p w14:paraId="786257C2">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大白菜霜霉病由鞭毛菌亚门寄生霜霉属真菌 </w:t>
            </w:r>
            <w:r>
              <w:rPr>
                <w:rFonts w:hint="eastAsia" w:asciiTheme="minorEastAsia" w:hAnsiTheme="minorEastAsia" w:eastAsiaTheme="minorEastAsia" w:cstheme="minorEastAsia"/>
                <w:i/>
                <w:iCs/>
                <w:sz w:val="18"/>
                <w:szCs w:val="18"/>
              </w:rPr>
              <w:t xml:space="preserve">Peronospora parasitica </w:t>
            </w:r>
            <w:r>
              <w:rPr>
                <w:rFonts w:hint="eastAsia" w:asciiTheme="minorEastAsia" w:hAnsiTheme="minorEastAsia" w:eastAsiaTheme="minorEastAsia" w:cstheme="minorEastAsia"/>
                <w:sz w:val="18"/>
                <w:szCs w:val="18"/>
              </w:rPr>
              <w:t>(Pers.) Fr.侵染引起。孢囊梗自气</w:t>
            </w:r>
          </w:p>
          <w:p w14:paraId="4FEDC149">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孔伸出，单生或束生，无色、无分隔，主轴和分枝处成锐角，顶端的小梗尖锐、弯曲，孢囊梗顶端着生一个孢子囊，孢子囊无色、单孢，长圆形至卵圆形，孢子囊萌发时直接产生芽管。（DB11/T 287-2005）</w:t>
            </w:r>
          </w:p>
        </w:tc>
        <w:tc>
          <w:tcPr>
            <w:tcW w:w="2325" w:type="dxa"/>
          </w:tcPr>
          <w:p w14:paraId="33A3681D">
            <w:pPr>
              <w:rPr>
                <w:rFonts w:asciiTheme="minorEastAsia" w:hAnsiTheme="minorEastAsia" w:eastAsiaTheme="minorEastAsia" w:cstheme="minorEastAsia"/>
                <w:sz w:val="18"/>
                <w:szCs w:val="18"/>
              </w:rPr>
            </w:pPr>
            <w:bookmarkStart w:id="35" w:name="_Toc1258839581"/>
            <w:r>
              <w:rPr>
                <w:rFonts w:hint="eastAsia" w:asciiTheme="minorEastAsia" w:hAnsiTheme="minorEastAsia" w:eastAsiaTheme="minorEastAsia" w:cstheme="minorEastAsia"/>
                <w:sz w:val="18"/>
                <w:szCs w:val="18"/>
              </w:rPr>
              <w:t>B.2 病原菌识别</w:t>
            </w:r>
            <w:bookmarkEnd w:id="35"/>
          </w:p>
          <w:p w14:paraId="6744D160">
            <w:pPr>
              <w:pStyle w:val="17"/>
              <w:widowControl w:val="0"/>
              <w:ind w:firstLine="360"/>
              <w:rPr>
                <w:sz w:val="18"/>
                <w:szCs w:val="18"/>
              </w:rPr>
            </w:pPr>
            <w:r>
              <w:rPr>
                <w:rFonts w:hint="eastAsia"/>
                <w:sz w:val="18"/>
                <w:szCs w:val="18"/>
              </w:rPr>
              <w:t>十字花科霜霉病由卵菌门卵菌纲霜霉目霜霉科无色霜霉属</w:t>
            </w:r>
            <w:r>
              <w:rPr>
                <w:rFonts w:hint="eastAsia"/>
                <w:i/>
                <w:sz w:val="18"/>
                <w:szCs w:val="18"/>
              </w:rPr>
              <w:t xml:space="preserve">Peronospora parasitica </w:t>
            </w:r>
            <w:r>
              <w:rPr>
                <w:rFonts w:hint="eastAsia"/>
                <w:sz w:val="18"/>
                <w:szCs w:val="18"/>
              </w:rPr>
              <w:t>(Pers.) Fr.侵染引起。国内分为芸薹属变种（</w:t>
            </w:r>
            <w:r>
              <w:rPr>
                <w:rFonts w:hint="eastAsia"/>
                <w:i/>
                <w:sz w:val="18"/>
                <w:szCs w:val="18"/>
              </w:rPr>
              <w:t xml:space="preserve">P. parasitica </w:t>
            </w:r>
            <w:r>
              <w:rPr>
                <w:rFonts w:hint="eastAsia"/>
                <w:iCs/>
                <w:sz w:val="18"/>
                <w:szCs w:val="18"/>
              </w:rPr>
              <w:t>var.</w:t>
            </w:r>
            <w:r>
              <w:rPr>
                <w:rFonts w:hint="eastAsia"/>
                <w:i/>
                <w:sz w:val="18"/>
                <w:szCs w:val="18"/>
              </w:rPr>
              <w:t xml:space="preserve"> brassicae</w:t>
            </w:r>
            <w:r>
              <w:rPr>
                <w:rFonts w:hint="eastAsia"/>
                <w:sz w:val="18"/>
                <w:szCs w:val="18"/>
              </w:rPr>
              <w:t>）、萝卜变种（</w:t>
            </w:r>
            <w:r>
              <w:rPr>
                <w:rFonts w:hint="eastAsia"/>
                <w:i/>
                <w:sz w:val="18"/>
                <w:szCs w:val="18"/>
              </w:rPr>
              <w:t xml:space="preserve">P. parasitica </w:t>
            </w:r>
            <w:r>
              <w:rPr>
                <w:rFonts w:hint="eastAsia"/>
                <w:iCs/>
                <w:sz w:val="18"/>
                <w:szCs w:val="18"/>
              </w:rPr>
              <w:t xml:space="preserve">var. </w:t>
            </w:r>
            <w:r>
              <w:rPr>
                <w:rFonts w:hint="eastAsia"/>
                <w:i/>
                <w:sz w:val="18"/>
                <w:szCs w:val="18"/>
              </w:rPr>
              <w:t>raphani</w:t>
            </w:r>
            <w:r>
              <w:rPr>
                <w:rFonts w:hint="eastAsia"/>
                <w:sz w:val="18"/>
                <w:szCs w:val="18"/>
              </w:rPr>
              <w:t>）、荠菜属变种（</w:t>
            </w:r>
            <w:r>
              <w:rPr>
                <w:rFonts w:hint="eastAsia"/>
                <w:i/>
                <w:sz w:val="18"/>
                <w:szCs w:val="18"/>
              </w:rPr>
              <w:t xml:space="preserve">P. parasitica </w:t>
            </w:r>
            <w:r>
              <w:rPr>
                <w:rFonts w:hint="eastAsia"/>
                <w:iCs/>
                <w:sz w:val="18"/>
                <w:szCs w:val="18"/>
              </w:rPr>
              <w:t>var.</w:t>
            </w:r>
            <w:r>
              <w:rPr>
                <w:rFonts w:hint="eastAsia"/>
                <w:i/>
                <w:sz w:val="18"/>
                <w:szCs w:val="18"/>
              </w:rPr>
              <w:t xml:space="preserve"> capsellae</w:t>
            </w:r>
            <w:r>
              <w:rPr>
                <w:rFonts w:hint="eastAsia"/>
                <w:sz w:val="18"/>
                <w:szCs w:val="18"/>
              </w:rPr>
              <w:t>）三个变种。孢囊梗自气孔伸出，单生或束生，无色、无分隔，主轴和分枝处成锐角，顶端的小梗尖锐、弯曲，孢囊梗顶端着生一个孢子囊，孢子囊无色、单孢，长圆形至卵圆形，孢子囊萌发时直接产生芽管。</w:t>
            </w:r>
          </w:p>
          <w:p w14:paraId="2578CB60">
            <w:pPr>
              <w:ind w:firstLine="360" w:firstLineChars="200"/>
              <w:rPr>
                <w:rFonts w:asciiTheme="minorEastAsia" w:hAnsiTheme="minorEastAsia" w:eastAsiaTheme="minorEastAsia" w:cstheme="minorEastAsia"/>
                <w:sz w:val="18"/>
                <w:szCs w:val="18"/>
              </w:rPr>
            </w:pPr>
          </w:p>
        </w:tc>
        <w:tc>
          <w:tcPr>
            <w:tcW w:w="2629" w:type="dxa"/>
          </w:tcPr>
          <w:p w14:paraId="7F0A8D88">
            <w:pPr>
              <w:ind w:firstLine="360" w:firstLineChars="200"/>
              <w:rPr>
                <w:rFonts w:hint="eastAsia" w:asciiTheme="minorEastAsia" w:hAnsiTheme="minorEastAsia" w:eastAsiaTheme="minorEastAsia" w:cstheme="minorEastAsia"/>
                <w:i w:val="0"/>
                <w:iCs/>
                <w:color w:val="0000FF"/>
                <w:sz w:val="18"/>
                <w:szCs w:val="18"/>
                <w:lang w:eastAsia="zh-CN"/>
              </w:rPr>
            </w:pPr>
            <w:r>
              <w:rPr>
                <w:rFonts w:hint="eastAsia" w:asciiTheme="minorEastAsia" w:hAnsiTheme="minorEastAsia" w:eastAsiaTheme="minorEastAsia" w:cstheme="minorEastAsia"/>
                <w:sz w:val="18"/>
                <w:szCs w:val="18"/>
              </w:rPr>
              <w:t>随着学科的发展和对霜霉病研究的逐步深入，植物病原菌分类系统出现了许多新变化，卵菌不再属于真菌界。十字花科霜霉病真菌作为一种卵菌，已被重新命名和分类。DB11/T 287-2005《大白菜霜霉病测报调查规范》附录中大白菜霜霉病的病原为鞭毛菌亚门寄生霜霉属真菌（</w:t>
            </w:r>
            <w:r>
              <w:rPr>
                <w:rFonts w:hint="eastAsia" w:asciiTheme="minorEastAsia" w:hAnsiTheme="minorEastAsia" w:eastAsiaTheme="minorEastAsia" w:cstheme="minorEastAsia"/>
                <w:i/>
                <w:sz w:val="18"/>
                <w:szCs w:val="18"/>
              </w:rPr>
              <w:t>Peronospora Parasitica</w:t>
            </w:r>
            <w:r>
              <w:rPr>
                <w:rFonts w:hint="eastAsia" w:asciiTheme="minorEastAsia" w:hAnsiTheme="minorEastAsia" w:eastAsiaTheme="minorEastAsia" w:cstheme="minorEastAsia"/>
                <w:sz w:val="18"/>
                <w:szCs w:val="18"/>
              </w:rPr>
              <w:t xml:space="preserve"> Pers.），标准修订后将大白菜等十字花科蔬菜病原菌归为卵菌门霜霉目霜霉科无色霜霉属真菌</w:t>
            </w:r>
            <w:r>
              <w:rPr>
                <w:rFonts w:hint="eastAsia" w:asciiTheme="minorEastAsia" w:hAnsiTheme="minorEastAsia" w:eastAsiaTheme="minorEastAsia" w:cstheme="minorEastAsia"/>
                <w:i/>
                <w:sz w:val="18"/>
                <w:szCs w:val="18"/>
              </w:rPr>
              <w:t>Hyaloperonospora parasitica</w:t>
            </w:r>
            <w:r>
              <w:rPr>
                <w:rFonts w:hint="eastAsia" w:asciiTheme="minorEastAsia" w:hAnsiTheme="minorEastAsia" w:eastAsiaTheme="minorEastAsia" w:cstheme="minorEastAsia"/>
                <w:i w:val="0"/>
                <w:iCs/>
                <w:sz w:val="18"/>
                <w:szCs w:val="18"/>
                <w:lang w:eastAsia="zh-CN"/>
              </w:rPr>
              <w:t>，并增加了变种的拉丁学名，便于开展实验室检测工作。</w:t>
            </w:r>
          </w:p>
          <w:p w14:paraId="6BF613AC">
            <w:pPr>
              <w:rPr>
                <w:rFonts w:asciiTheme="minorEastAsia" w:hAnsiTheme="minorEastAsia" w:eastAsiaTheme="minorEastAsia" w:cstheme="minorEastAsia"/>
                <w:sz w:val="18"/>
                <w:szCs w:val="18"/>
              </w:rPr>
            </w:pPr>
          </w:p>
        </w:tc>
      </w:tr>
    </w:tbl>
    <w:p w14:paraId="54EFF8BB">
      <w:pPr>
        <w:numPr>
          <w:ilvl w:val="0"/>
          <w:numId w:val="4"/>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公平竞争审查情况。</w:t>
      </w:r>
    </w:p>
    <w:p w14:paraId="1B4D9879">
      <w:pPr>
        <w:ind w:firstLine="560" w:firstLineChars="200"/>
        <w:rPr>
          <w:rFonts w:ascii="仿宋_GB2312" w:eastAsia="仿宋_GB2312"/>
          <w:sz w:val="28"/>
          <w:szCs w:val="28"/>
        </w:rPr>
      </w:pPr>
      <w:r>
        <w:rPr>
          <w:rFonts w:hint="eastAsia" w:ascii="仿宋_GB2312" w:eastAsia="仿宋_GB2312"/>
          <w:sz w:val="28"/>
          <w:szCs w:val="28"/>
        </w:rPr>
        <w:t>经审查，本地方标准不存在以下情况：限制或者变相限制市场准入和退出的规定；限制商品要素自由流动的条款；不合理影响生产经营成本，如不当补贴、收费等方面的内容；以及限制生产经营行为，如指定交易、限制竞争手段等相关内容。综上所述，本地方标准通过公平竞争审查，不会对市场竞争产生排除、限制影响。</w:t>
      </w:r>
    </w:p>
    <w:p w14:paraId="6B99BCA8">
      <w:pPr>
        <w:numPr>
          <w:ilvl w:val="0"/>
          <w:numId w:val="4"/>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重大意见分歧的处理依据和结果。</w:t>
      </w:r>
    </w:p>
    <w:p w14:paraId="73B25CFD">
      <w:pPr>
        <w:ind w:firstLine="560" w:firstLineChars="200"/>
        <w:rPr>
          <w:rFonts w:ascii="仿宋_GB2312" w:eastAsia="仿宋_GB2312"/>
          <w:sz w:val="28"/>
          <w:szCs w:val="28"/>
        </w:rPr>
      </w:pPr>
      <w:r>
        <w:rPr>
          <w:rFonts w:hint="eastAsia" w:ascii="仿宋_GB2312" w:eastAsia="仿宋_GB2312"/>
          <w:sz w:val="28"/>
          <w:szCs w:val="28"/>
        </w:rPr>
        <w:t>无重大意见分歧。</w:t>
      </w:r>
    </w:p>
    <w:p w14:paraId="1E4B859A">
      <w:pPr>
        <w:numPr>
          <w:ilvl w:val="0"/>
          <w:numId w:val="4"/>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作为推荐性标准或者强制性标准的建议及其理由。</w:t>
      </w:r>
    </w:p>
    <w:p w14:paraId="3B8A95CE">
      <w:pPr>
        <w:ind w:firstLine="560" w:firstLineChars="200"/>
        <w:rPr>
          <w:rFonts w:ascii="仿宋_GB2312" w:eastAsia="仿宋_GB2312"/>
          <w:sz w:val="28"/>
          <w:szCs w:val="28"/>
        </w:rPr>
      </w:pPr>
      <w:r>
        <w:rPr>
          <w:rFonts w:ascii="仿宋_GB2312" w:eastAsia="仿宋_GB2312"/>
          <w:sz w:val="28"/>
          <w:szCs w:val="28"/>
        </w:rPr>
        <w:t>作为推荐性标准</w:t>
      </w:r>
      <w:r>
        <w:rPr>
          <w:rFonts w:hint="eastAsia" w:ascii="仿宋_GB2312" w:eastAsia="仿宋_GB2312"/>
          <w:sz w:val="28"/>
          <w:szCs w:val="28"/>
        </w:rPr>
        <w:t>。根据《农作物病虫害防治条例》：第十四条　县级以上人民政府农业农村主管部门应当组织开展农作物病虫害监测。农作物病虫害监测包括下列内容：（一）农作物病虫害发生的种类、时间、范围、程度；（二）害虫主要天敌种类、分布与种群消长情况；（三）影响农作物病虫害发生的田间气候；（四）其他需要监测的内容。农作物病虫害监测技术规范由省级以上人民政府农业农村主管部门制定。</w:t>
      </w:r>
    </w:p>
    <w:p w14:paraId="16E7C98F">
      <w:pPr>
        <w:numPr>
          <w:ilvl w:val="0"/>
          <w:numId w:val="4"/>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强制性标准实施的风险点、风险程度、风险防控措施和预案。</w:t>
      </w:r>
    </w:p>
    <w:p w14:paraId="33A6AA79">
      <w:pPr>
        <w:numPr>
          <w:ilvl w:val="0"/>
          <w:numId w:val="4"/>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实施标准的措施(政策措施/宣贯培训/试点示范/监督检查/配套资金等)。</w:t>
      </w:r>
    </w:p>
    <w:p w14:paraId="537F0075">
      <w:pPr>
        <w:ind w:firstLine="560" w:firstLineChars="200"/>
        <w:rPr>
          <w:rFonts w:ascii="仿宋_GB2312" w:eastAsia="仿宋_GB2312"/>
          <w:sz w:val="28"/>
          <w:szCs w:val="28"/>
        </w:rPr>
      </w:pPr>
      <w:r>
        <w:rPr>
          <w:rFonts w:hint="eastAsia" w:ascii="仿宋_GB2312" w:eastAsia="仿宋_GB2312"/>
          <w:sz w:val="28"/>
          <w:szCs w:val="28"/>
        </w:rPr>
        <w:t>1.宣贯培训。市植保站在全市建立了一百余个病虫监测点，基本覆盖了全市所有地区的设施和大田作物；培养了70余名具有丰富测报调查经验的基层测报员，这些技术人员长期扎根于农业生产一线从事病虫调查工作，是测报调查标准修订的人员基础。修订后的标准发布后，针对区级植保技术人员和基层测报员开展技术培训，确保掌握测报调查规范方法；</w:t>
      </w:r>
    </w:p>
    <w:p w14:paraId="51FEE383">
      <w:pPr>
        <w:ind w:firstLine="560" w:firstLineChars="200"/>
        <w:rPr>
          <w:rFonts w:ascii="仿宋_GB2312" w:eastAsia="仿宋_GB2312"/>
          <w:sz w:val="28"/>
          <w:szCs w:val="28"/>
        </w:rPr>
      </w:pPr>
      <w:r>
        <w:rPr>
          <w:rFonts w:hint="eastAsia" w:ascii="仿宋_GB2312" w:eastAsia="仿宋_GB2312"/>
          <w:sz w:val="28"/>
          <w:szCs w:val="28"/>
        </w:rPr>
        <w:t>2.监督把关。“北京市农业农村综合管理平台”是北京市监测预警工作线上平台，各级测报人员每旬上报一次，在上报过程中，市级植保部门做好把关，保障修订后的测报调查规范在实际中运用起来；</w:t>
      </w:r>
    </w:p>
    <w:p w14:paraId="5BDD7549">
      <w:pPr>
        <w:ind w:firstLine="560" w:firstLineChars="200"/>
        <w:rPr>
          <w:rFonts w:ascii="仿宋_GB2312" w:eastAsia="仿宋_GB2312"/>
          <w:sz w:val="28"/>
          <w:szCs w:val="28"/>
        </w:rPr>
      </w:pPr>
      <w:r>
        <w:rPr>
          <w:rFonts w:hint="eastAsia" w:ascii="仿宋_GB2312" w:eastAsia="仿宋_GB2312"/>
          <w:sz w:val="28"/>
          <w:szCs w:val="28"/>
        </w:rPr>
        <w:t>3.资金保障。北京市植物保护站每年都有监测预警相关业务项目资金保障，用于开展监测预警工作的相关示范和新技术试验，以保证基层测报员正常开展监测预警工作，守卫首都粮食生产安全。</w:t>
      </w:r>
    </w:p>
    <w:p w14:paraId="7782A236">
      <w:pPr>
        <w:numPr>
          <w:ilvl w:val="0"/>
          <w:numId w:val="4"/>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其他应说明的事项。</w:t>
      </w:r>
    </w:p>
    <w:p w14:paraId="6D6ACF94">
      <w:pPr>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不涉及专利和独家垄断。</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A510B"/>
    <w:multiLevelType w:val="singleLevel"/>
    <w:tmpl w:val="FFDA510B"/>
    <w:lvl w:ilvl="0" w:tentative="0">
      <w:start w:val="2"/>
      <w:numFmt w:val="chineseCounting"/>
      <w:suff w:val="nothing"/>
      <w:lvlText w:val="（%1）"/>
      <w:lvlJc w:val="left"/>
      <w:rPr>
        <w:rFonts w:hint="eastAsia"/>
      </w:rPr>
    </w:lvl>
  </w:abstractNum>
  <w:abstractNum w:abstractNumId="1">
    <w:nsid w:val="197E3600"/>
    <w:multiLevelType w:val="multilevel"/>
    <w:tmpl w:val="197E3600"/>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pStyle w:val="20"/>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9341B64"/>
    <w:multiLevelType w:val="singleLevel"/>
    <w:tmpl w:val="79341B64"/>
    <w:lvl w:ilvl="0" w:tentative="0">
      <w:start w:val="1"/>
      <w:numFmt w:val="japaneseCounting"/>
      <w:lvlText w:val="%1、"/>
      <w:lvlJc w:val="left"/>
      <w:pPr>
        <w:tabs>
          <w:tab w:val="left" w:pos="630"/>
        </w:tabs>
        <w:ind w:left="630" w:hanging="63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MDAyZDRhMmU1NjY3MDIzMGU1Y2Y1MzhkZjk3MTcifQ=="/>
  </w:docVars>
  <w:rsids>
    <w:rsidRoot w:val="707E5C20"/>
    <w:rsid w:val="00004FF6"/>
    <w:rsid w:val="0003188E"/>
    <w:rsid w:val="00037D52"/>
    <w:rsid w:val="00053E5F"/>
    <w:rsid w:val="000B07A7"/>
    <w:rsid w:val="000E2F62"/>
    <w:rsid w:val="000F7E69"/>
    <w:rsid w:val="0016052C"/>
    <w:rsid w:val="00175DDA"/>
    <w:rsid w:val="00195AA3"/>
    <w:rsid w:val="001B5C7E"/>
    <w:rsid w:val="00276253"/>
    <w:rsid w:val="00286272"/>
    <w:rsid w:val="002E2A89"/>
    <w:rsid w:val="0033392C"/>
    <w:rsid w:val="0033725D"/>
    <w:rsid w:val="00350E8A"/>
    <w:rsid w:val="00364B04"/>
    <w:rsid w:val="003C3DC5"/>
    <w:rsid w:val="003E21BB"/>
    <w:rsid w:val="00413B65"/>
    <w:rsid w:val="004702AE"/>
    <w:rsid w:val="00476E0D"/>
    <w:rsid w:val="00483988"/>
    <w:rsid w:val="004E4BE4"/>
    <w:rsid w:val="00512BCC"/>
    <w:rsid w:val="005162D7"/>
    <w:rsid w:val="005263AD"/>
    <w:rsid w:val="005320DC"/>
    <w:rsid w:val="005601E5"/>
    <w:rsid w:val="00563F0A"/>
    <w:rsid w:val="005A02E7"/>
    <w:rsid w:val="00637AC2"/>
    <w:rsid w:val="006411A9"/>
    <w:rsid w:val="00651C9E"/>
    <w:rsid w:val="00687CB3"/>
    <w:rsid w:val="006912BF"/>
    <w:rsid w:val="006A1D27"/>
    <w:rsid w:val="006A7263"/>
    <w:rsid w:val="006A7A7A"/>
    <w:rsid w:val="006C7373"/>
    <w:rsid w:val="006F2BF9"/>
    <w:rsid w:val="00737262"/>
    <w:rsid w:val="008056FA"/>
    <w:rsid w:val="008419CD"/>
    <w:rsid w:val="008F1975"/>
    <w:rsid w:val="00905C22"/>
    <w:rsid w:val="00907BB8"/>
    <w:rsid w:val="009461F9"/>
    <w:rsid w:val="0098441E"/>
    <w:rsid w:val="0099323B"/>
    <w:rsid w:val="009D1149"/>
    <w:rsid w:val="009F380E"/>
    <w:rsid w:val="00A128DA"/>
    <w:rsid w:val="00A40C2D"/>
    <w:rsid w:val="00AA2887"/>
    <w:rsid w:val="00B36E2F"/>
    <w:rsid w:val="00B56ACB"/>
    <w:rsid w:val="00B6457A"/>
    <w:rsid w:val="00B7453C"/>
    <w:rsid w:val="00BA7F52"/>
    <w:rsid w:val="00C049C1"/>
    <w:rsid w:val="00C12291"/>
    <w:rsid w:val="00C43E7F"/>
    <w:rsid w:val="00CE7610"/>
    <w:rsid w:val="00D23D26"/>
    <w:rsid w:val="00D26100"/>
    <w:rsid w:val="00D77390"/>
    <w:rsid w:val="00D80A2C"/>
    <w:rsid w:val="00E05DE2"/>
    <w:rsid w:val="00E06750"/>
    <w:rsid w:val="00E240EA"/>
    <w:rsid w:val="00E75307"/>
    <w:rsid w:val="00E860B1"/>
    <w:rsid w:val="00EB44F1"/>
    <w:rsid w:val="00EC3CB5"/>
    <w:rsid w:val="00EC6BED"/>
    <w:rsid w:val="00ED0B32"/>
    <w:rsid w:val="00EE6F53"/>
    <w:rsid w:val="00EF1E0B"/>
    <w:rsid w:val="00EF2B91"/>
    <w:rsid w:val="00F16731"/>
    <w:rsid w:val="00F8699C"/>
    <w:rsid w:val="00F915F7"/>
    <w:rsid w:val="00FA57DB"/>
    <w:rsid w:val="00FC1F73"/>
    <w:rsid w:val="00FC3A49"/>
    <w:rsid w:val="00FD420D"/>
    <w:rsid w:val="00FE4D73"/>
    <w:rsid w:val="0AE542F4"/>
    <w:rsid w:val="0DFC6121"/>
    <w:rsid w:val="11D1474A"/>
    <w:rsid w:val="1366238E"/>
    <w:rsid w:val="19EC507C"/>
    <w:rsid w:val="1FEC7A8D"/>
    <w:rsid w:val="2AB021AF"/>
    <w:rsid w:val="319D7639"/>
    <w:rsid w:val="3B9FAA79"/>
    <w:rsid w:val="3BBBB164"/>
    <w:rsid w:val="3BC60C3C"/>
    <w:rsid w:val="3CBA0719"/>
    <w:rsid w:val="3EF965AE"/>
    <w:rsid w:val="3F7B1B20"/>
    <w:rsid w:val="3FDEA2C1"/>
    <w:rsid w:val="42F71AD2"/>
    <w:rsid w:val="457566DF"/>
    <w:rsid w:val="4A716BD1"/>
    <w:rsid w:val="514F3E5B"/>
    <w:rsid w:val="5C481799"/>
    <w:rsid w:val="5DAD5125"/>
    <w:rsid w:val="5E5F75BF"/>
    <w:rsid w:val="5FF71569"/>
    <w:rsid w:val="620F1E56"/>
    <w:rsid w:val="66DFB3CE"/>
    <w:rsid w:val="67DFC89A"/>
    <w:rsid w:val="67F7884D"/>
    <w:rsid w:val="6BBDABC3"/>
    <w:rsid w:val="6D388668"/>
    <w:rsid w:val="6F5957B3"/>
    <w:rsid w:val="6FC5849B"/>
    <w:rsid w:val="707E5C20"/>
    <w:rsid w:val="74DB2652"/>
    <w:rsid w:val="75FFE327"/>
    <w:rsid w:val="76BE4BAB"/>
    <w:rsid w:val="76F63EE6"/>
    <w:rsid w:val="79157E08"/>
    <w:rsid w:val="7A7D9362"/>
    <w:rsid w:val="7B3769E0"/>
    <w:rsid w:val="7B6F10F5"/>
    <w:rsid w:val="7B6F5DE9"/>
    <w:rsid w:val="7D657C47"/>
    <w:rsid w:val="7DF0F8F6"/>
    <w:rsid w:val="7DFF1740"/>
    <w:rsid w:val="7ED73C84"/>
    <w:rsid w:val="7F7FB492"/>
    <w:rsid w:val="7FBFB53D"/>
    <w:rsid w:val="7FD97BA1"/>
    <w:rsid w:val="7FFD7C98"/>
    <w:rsid w:val="7FFF87C2"/>
    <w:rsid w:val="8BCFCA3B"/>
    <w:rsid w:val="93DFE18F"/>
    <w:rsid w:val="97FFDFD0"/>
    <w:rsid w:val="9EFF5484"/>
    <w:rsid w:val="A3BF660E"/>
    <w:rsid w:val="A4FF0462"/>
    <w:rsid w:val="A7FB3922"/>
    <w:rsid w:val="AFCF2A0F"/>
    <w:rsid w:val="AFFDEFEB"/>
    <w:rsid w:val="B7BC2495"/>
    <w:rsid w:val="B9F77882"/>
    <w:rsid w:val="BFBEDCC5"/>
    <w:rsid w:val="BFF67967"/>
    <w:rsid w:val="C7DB4228"/>
    <w:rsid w:val="C7DF085B"/>
    <w:rsid w:val="C8FFE1E2"/>
    <w:rsid w:val="CC5F9996"/>
    <w:rsid w:val="D37FAA14"/>
    <w:rsid w:val="DE974152"/>
    <w:rsid w:val="DF9F703A"/>
    <w:rsid w:val="DFBB5936"/>
    <w:rsid w:val="DFFC21DD"/>
    <w:rsid w:val="E37D573E"/>
    <w:rsid w:val="EA8BBC40"/>
    <w:rsid w:val="EB5EE05D"/>
    <w:rsid w:val="EBBF21C3"/>
    <w:rsid w:val="EFDFC685"/>
    <w:rsid w:val="F3777709"/>
    <w:rsid w:val="F6FFB099"/>
    <w:rsid w:val="F7171281"/>
    <w:rsid w:val="F7DEF32A"/>
    <w:rsid w:val="FA6D412C"/>
    <w:rsid w:val="FB781472"/>
    <w:rsid w:val="FBD360BE"/>
    <w:rsid w:val="FCDE98AA"/>
    <w:rsid w:val="FD7F359E"/>
    <w:rsid w:val="FDE66B6D"/>
    <w:rsid w:val="FDFF3B7B"/>
    <w:rsid w:val="FE3F68F8"/>
    <w:rsid w:val="FEBF5932"/>
    <w:rsid w:val="FECCCC82"/>
    <w:rsid w:val="FEEFA7C9"/>
    <w:rsid w:val="FF735552"/>
    <w:rsid w:val="FF7FCC5F"/>
    <w:rsid w:val="FFEB9E63"/>
    <w:rsid w:val="FFEEF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lock Text"/>
    <w:qFormat/>
    <w:uiPriority w:val="0"/>
    <w:pPr>
      <w:widowControl w:val="0"/>
      <w:spacing w:line="360" w:lineRule="auto"/>
      <w:ind w:left="-630" w:leftChars="-300" w:right="-695" w:rightChars="-331" w:firstLine="540" w:firstLineChars="225"/>
      <w:jc w:val="both"/>
    </w:pPr>
    <w:rPr>
      <w:rFonts w:ascii="Times New Roman" w:hAnsi="Times New Roman" w:eastAsia="宋体" w:cs="Times New Roman"/>
      <w:kern w:val="2"/>
      <w:sz w:val="24"/>
      <w:szCs w:val="24"/>
      <w:lang w:val="en-US" w:eastAsia="zh-CN" w:bidi="ar-SA"/>
    </w:rPr>
  </w:style>
  <w:style w:type="paragraph" w:styleId="4">
    <w:name w:val="Balloon Text"/>
    <w:basedOn w:val="1"/>
    <w:link w:val="2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2"/>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页眉 字符"/>
    <w:basedOn w:val="10"/>
    <w:link w:val="6"/>
    <w:qFormat/>
    <w:uiPriority w:val="0"/>
    <w:rPr>
      <w:kern w:val="2"/>
      <w:sz w:val="18"/>
      <w:szCs w:val="18"/>
    </w:rPr>
  </w:style>
  <w:style w:type="paragraph" w:styleId="13">
    <w:name w:val="List Paragraph"/>
    <w:basedOn w:val="1"/>
    <w:qFormat/>
    <w:uiPriority w:val="34"/>
    <w:pPr>
      <w:ind w:firstLine="420" w:firstLineChars="200"/>
    </w:pPr>
  </w:style>
  <w:style w:type="paragraph" w:customStyle="1" w:styleId="14">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标准文件_一级条标题"/>
    <w:basedOn w:val="16"/>
    <w:next w:val="17"/>
    <w:qFormat/>
    <w:uiPriority w:val="0"/>
    <w:pPr>
      <w:numPr>
        <w:ilvl w:val="2"/>
      </w:numPr>
      <w:spacing w:before="50" w:beforeLines="50" w:after="50" w:afterLines="50"/>
      <w:outlineLvl w:val="1"/>
    </w:pPr>
  </w:style>
  <w:style w:type="paragraph" w:customStyle="1" w:styleId="16">
    <w:name w:val="标准文件_章标题"/>
    <w:next w:val="17"/>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二级无标题"/>
    <w:basedOn w:val="19"/>
    <w:qFormat/>
    <w:uiPriority w:val="0"/>
    <w:pPr>
      <w:spacing w:before="0" w:beforeLines="0" w:after="0" w:afterLines="0"/>
      <w:outlineLvl w:val="9"/>
    </w:pPr>
    <w:rPr>
      <w:rFonts w:ascii="宋体" w:eastAsia="宋体"/>
    </w:rPr>
  </w:style>
  <w:style w:type="paragraph" w:customStyle="1" w:styleId="19">
    <w:name w:val="标准文件_二级条标题"/>
    <w:next w:val="17"/>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0">
    <w:name w:val="标准文件_附录一级条标题"/>
    <w:next w:val="17"/>
    <w:qFormat/>
    <w:uiPriority w:val="0"/>
    <w:pPr>
      <w:widowControl w:val="0"/>
      <w:numPr>
        <w:ilvl w:val="1"/>
        <w:numId w:val="2"/>
      </w:numPr>
      <w:spacing w:before="50" w:beforeLines="50" w:after="50" w:afterLines="50"/>
      <w:jc w:val="both"/>
      <w:outlineLvl w:val="2"/>
    </w:pPr>
    <w:rPr>
      <w:rFonts w:ascii="黑体" w:hAnsi="Times New Roman" w:eastAsia="黑体" w:cs="Times New Roman"/>
      <w:kern w:val="21"/>
      <w:sz w:val="21"/>
      <w:lang w:val="en-US" w:eastAsia="zh-CN" w:bidi="ar-SA"/>
    </w:rPr>
  </w:style>
  <w:style w:type="character" w:customStyle="1" w:styleId="21">
    <w:name w:val="批注文字 字符"/>
    <w:basedOn w:val="10"/>
    <w:link w:val="2"/>
    <w:qFormat/>
    <w:uiPriority w:val="0"/>
    <w:rPr>
      <w:kern w:val="2"/>
      <w:sz w:val="21"/>
      <w:szCs w:val="24"/>
    </w:rPr>
  </w:style>
  <w:style w:type="character" w:customStyle="1" w:styleId="22">
    <w:name w:val="批注主题 字符"/>
    <w:basedOn w:val="21"/>
    <w:link w:val="7"/>
    <w:qFormat/>
    <w:uiPriority w:val="0"/>
    <w:rPr>
      <w:b/>
      <w:bCs/>
      <w:kern w:val="2"/>
      <w:sz w:val="21"/>
      <w:szCs w:val="24"/>
    </w:rPr>
  </w:style>
  <w:style w:type="character" w:customStyle="1" w:styleId="23">
    <w:name w:val="批注框文本 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1072</Words>
  <Characters>6117</Characters>
  <Lines>50</Lines>
  <Paragraphs>14</Paragraphs>
  <TotalTime>13</TotalTime>
  <ScaleCrop>false</ScaleCrop>
  <LinksUpToDate>false</LinksUpToDate>
  <CharactersWithSpaces>7175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2024-07-15T19:43:00Z</dcterms:created>
  <dc:creator>windowns</dc:creator>
  <cp:lastModifiedBy>nyncj</cp:lastModifiedBy>
  <dcterms:modified xsi:type="dcterms:W3CDTF">2025-09-29T15:55:44Z</dcterms:modified>
  <dc:title>《XXXX》北京市地方标准编制说明</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86E4033AB0F394AA803BDA68D4AF24C1_43</vt:lpwstr>
  </property>
</Properties>
</file>