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BD73F">
      <w:pPr>
        <w:ind w:firstLine="0" w:firstLineChars="0"/>
        <w:rPr>
          <w:rFonts w:hint="eastAsia" w:ascii="黑体" w:hAnsi="黑体" w:eastAsia="黑体"/>
          <w:sz w:val="32"/>
          <w:szCs w:val="32"/>
          <w:lang w:val="en-US" w:eastAsia="zh-CN"/>
        </w:rPr>
      </w:pPr>
      <w:bookmarkStart w:id="1" w:name="_GoBack"/>
      <w:bookmarkEnd w:id="1"/>
      <w:r>
        <w:rPr>
          <w:rFonts w:hint="eastAsia" w:ascii="黑体" w:hAnsi="黑体" w:eastAsia="黑体"/>
          <w:sz w:val="32"/>
          <w:szCs w:val="32"/>
        </w:rPr>
        <w:t>附件</w:t>
      </w:r>
      <w:r>
        <w:rPr>
          <w:rFonts w:hint="eastAsia" w:ascii="黑体" w:hAnsi="黑体" w:eastAsia="黑体"/>
          <w:sz w:val="32"/>
          <w:szCs w:val="32"/>
          <w:lang w:val="en-US" w:eastAsia="zh-CN"/>
        </w:rPr>
        <w:t>1</w:t>
      </w:r>
    </w:p>
    <w:p w14:paraId="6C9D8363">
      <w:pPr>
        <w:rPr>
          <w:rFonts w:hint="eastAsia"/>
        </w:rPr>
      </w:pPr>
    </w:p>
    <w:p w14:paraId="39EDEAE9">
      <w:pPr>
        <w:spacing w:line="560" w:lineRule="exact"/>
        <w:ind w:firstLine="0" w:firstLineChars="0"/>
        <w:jc w:val="center"/>
        <w:rPr>
          <w:rFonts w:hint="eastAsia" w:eastAsia="方正小标宋简体" w:cs="方正小标宋简体"/>
          <w:bCs/>
          <w:snapToGrid w:val="0"/>
          <w:color w:val="auto"/>
          <w:spacing w:val="-6"/>
          <w:kern w:val="0"/>
          <w:sz w:val="44"/>
          <w:szCs w:val="44"/>
          <w:lang w:bidi="he-IL"/>
        </w:rPr>
      </w:pPr>
      <w:r>
        <w:rPr>
          <w:rFonts w:hint="eastAsia" w:eastAsia="方正小标宋简体" w:cs="方正小标宋简体"/>
          <w:bCs/>
          <w:snapToGrid w:val="0"/>
          <w:color w:val="auto"/>
          <w:spacing w:val="-6"/>
          <w:kern w:val="0"/>
          <w:sz w:val="44"/>
          <w:szCs w:val="44"/>
          <w:lang w:bidi="he-IL"/>
        </w:rPr>
        <w:t>北京市工程造价咨询企业及其注册造价工程师</w:t>
      </w:r>
      <w:r>
        <w:rPr>
          <w:rFonts w:hint="eastAsia" w:eastAsia="方正小标宋简体" w:cs="方正小标宋简体"/>
          <w:bCs/>
          <w:snapToGrid w:val="0"/>
          <w:color w:val="auto"/>
          <w:spacing w:val="-6"/>
          <w:kern w:val="0"/>
          <w:sz w:val="44"/>
          <w:szCs w:val="44"/>
          <w:lang w:bidi="he-IL"/>
        </w:rPr>
        <w:br w:type="textWrapping"/>
      </w:r>
      <w:r>
        <w:rPr>
          <w:rFonts w:hint="eastAsia" w:eastAsia="方正小标宋简体" w:cs="方正小标宋简体"/>
          <w:bCs/>
          <w:snapToGrid w:val="0"/>
          <w:color w:val="auto"/>
          <w:spacing w:val="-6"/>
          <w:kern w:val="0"/>
          <w:sz w:val="44"/>
          <w:szCs w:val="44"/>
          <w:lang w:eastAsia="zh-CN" w:bidi="he-IL"/>
        </w:rPr>
        <w:t>信用信息</w:t>
      </w:r>
      <w:r>
        <w:rPr>
          <w:rFonts w:hint="eastAsia" w:eastAsia="方正小标宋简体" w:cs="方正小标宋简体"/>
          <w:bCs/>
          <w:snapToGrid w:val="0"/>
          <w:color w:val="auto"/>
          <w:spacing w:val="-6"/>
          <w:kern w:val="0"/>
          <w:sz w:val="44"/>
          <w:szCs w:val="44"/>
          <w:lang w:bidi="he-IL"/>
        </w:rPr>
        <w:t>管理办法</w:t>
      </w:r>
    </w:p>
    <w:p w14:paraId="6E58897E">
      <w:pPr>
        <w:spacing w:line="500" w:lineRule="exact"/>
        <w:jc w:val="center"/>
        <w:rPr>
          <w:rFonts w:hint="eastAsia" w:ascii="楷体_GB2312" w:hAnsi="楷体_GB2312" w:eastAsia="楷体_GB2312" w:cs="楷体_GB2312"/>
          <w:bCs/>
          <w:color w:val="auto"/>
          <w:spacing w:val="-6"/>
          <w:sz w:val="32"/>
          <w:szCs w:val="32"/>
        </w:rPr>
      </w:pPr>
      <w:r>
        <w:rPr>
          <w:rFonts w:hint="eastAsia" w:ascii="楷体_GB2312" w:hAnsi="楷体_GB2312" w:eastAsia="楷体_GB2312" w:cs="楷体_GB2312"/>
          <w:bCs/>
          <w:color w:val="auto"/>
          <w:spacing w:val="-6"/>
          <w:sz w:val="32"/>
          <w:szCs w:val="32"/>
        </w:rPr>
        <w:t>（</w:t>
      </w:r>
      <w:r>
        <w:rPr>
          <w:rFonts w:hint="eastAsia" w:ascii="楷体_GB2312" w:hAnsi="楷体_GB2312" w:eastAsia="楷体_GB2312" w:cs="楷体_GB2312"/>
          <w:bCs/>
          <w:color w:val="auto"/>
          <w:sz w:val="32"/>
          <w:szCs w:val="32"/>
        </w:rPr>
        <w:t>征求意见稿</w:t>
      </w:r>
      <w:r>
        <w:rPr>
          <w:rFonts w:hint="eastAsia" w:ascii="楷体_GB2312" w:hAnsi="楷体_GB2312" w:eastAsia="楷体_GB2312" w:cs="楷体_GB2312"/>
          <w:bCs/>
          <w:color w:val="auto"/>
          <w:spacing w:val="-6"/>
          <w:sz w:val="32"/>
          <w:szCs w:val="32"/>
        </w:rPr>
        <w:t>）</w:t>
      </w:r>
    </w:p>
    <w:p w14:paraId="5CA33F9D">
      <w:pPr>
        <w:snapToGrid w:val="0"/>
        <w:spacing w:line="360" w:lineRule="auto"/>
        <w:jc w:val="center"/>
        <w:rPr>
          <w:rFonts w:hint="eastAsia" w:ascii="黑体" w:hAnsi="宋体" w:eastAsia="黑体"/>
          <w:bCs/>
          <w:color w:val="auto"/>
          <w:sz w:val="32"/>
          <w:szCs w:val="32"/>
        </w:rPr>
      </w:pPr>
    </w:p>
    <w:p w14:paraId="2B6499B9">
      <w:pPr>
        <w:pStyle w:val="4"/>
        <w:bidi w:val="0"/>
        <w:rPr>
          <w:rFonts w:hint="eastAsia"/>
          <w:color w:val="auto"/>
        </w:rPr>
      </w:pPr>
      <w:r>
        <w:rPr>
          <w:rFonts w:hint="eastAsia"/>
          <w:color w:val="auto"/>
        </w:rPr>
        <w:t>总则</w:t>
      </w:r>
    </w:p>
    <w:p w14:paraId="44932604">
      <w:pPr>
        <w:bidi w:val="0"/>
        <w:rPr>
          <w:rFonts w:hint="eastAsia"/>
          <w:color w:val="auto"/>
        </w:rPr>
      </w:pPr>
      <w:r>
        <w:rPr>
          <w:rFonts w:hint="eastAsia"/>
          <w:b/>
          <w:bCs/>
          <w:color w:val="auto"/>
        </w:rPr>
        <w:t>第一条</w:t>
      </w:r>
      <w:r>
        <w:rPr>
          <w:rFonts w:hint="eastAsia"/>
          <w:color w:val="auto"/>
        </w:rPr>
        <w:t xml:space="preserve"> 为进一步规范本市工程造价咨询企业及其注册造价工程师市场行为，维护建筑市场的公平竞争秩序，营造诚信守法的市场环境，建立健全以信用为基础的新型监管体系，促进工程造价咨询行业的健康发展，根据《工程造价咨询企业管理办法》《注册造价工程师管理办法》《建筑市场信用管理暂行办法》《北京市公共信用信息管理办法》，国务院办公厅《关于进一步完善失信约束制度构建诚信建设长效机制的指导意见》（国办发</w:t>
      </w:r>
      <w:r>
        <w:rPr>
          <w:rFonts w:hint="eastAsia" w:ascii="仿宋_GB2312" w:hAnsi="仿宋_GB2312" w:eastAsia="仿宋_GB2312" w:cs="仿宋_GB2312"/>
          <w:color w:val="auto"/>
        </w:rPr>
        <w:t>〔2020〕49</w:t>
      </w:r>
      <w:r>
        <w:rPr>
          <w:rFonts w:hint="eastAsia"/>
          <w:color w:val="auto"/>
        </w:rPr>
        <w:t>号）以及住房和城乡建设部办公厅《关于取消工程造价咨询企业资质审批加强事中事后监管的通知》（建办标</w:t>
      </w:r>
      <w:r>
        <w:rPr>
          <w:rFonts w:hint="eastAsia" w:ascii="仿宋_GB2312" w:hAnsi="仿宋_GB2312" w:eastAsia="仿宋_GB2312" w:cs="仿宋_GB2312"/>
          <w:color w:val="auto"/>
        </w:rPr>
        <w:t>〔2021〕26号</w:t>
      </w:r>
      <w:r>
        <w:rPr>
          <w:rFonts w:hint="eastAsia"/>
          <w:color w:val="auto"/>
        </w:rPr>
        <w:t>），结合本市实际，制定本办法。</w:t>
      </w:r>
    </w:p>
    <w:p w14:paraId="64AC0348">
      <w:pPr>
        <w:numPr>
          <w:ins w:id="0" w:author="wxw" w:date="2025-06-20T10:58:27Z"/>
        </w:numPr>
        <w:rPr>
          <w:rFonts w:hint="eastAsia"/>
          <w:color w:val="auto"/>
        </w:rPr>
      </w:pPr>
      <w:r>
        <w:rPr>
          <w:rFonts w:hint="eastAsia"/>
          <w:b/>
          <w:bCs/>
          <w:color w:val="auto"/>
        </w:rPr>
        <w:t>第二条</w:t>
      </w:r>
      <w:r>
        <w:rPr>
          <w:rFonts w:hint="eastAsia"/>
          <w:color w:val="auto"/>
        </w:rPr>
        <w:t xml:space="preserve"> 在本市行政区域内，对从事</w:t>
      </w:r>
      <w:r>
        <w:rPr>
          <w:rFonts w:hint="eastAsia"/>
          <w:color w:val="auto"/>
          <w:lang w:eastAsia="zh-CN"/>
        </w:rPr>
        <w:t>建筑工程</w:t>
      </w:r>
      <w:r>
        <w:rPr>
          <w:rFonts w:hint="eastAsia"/>
          <w:color w:val="auto"/>
        </w:rPr>
        <w:t>造价咨询</w:t>
      </w:r>
      <w:r>
        <w:rPr>
          <w:rFonts w:hint="eastAsia"/>
          <w:color w:val="auto"/>
          <w:lang w:eastAsia="zh-CN"/>
        </w:rPr>
        <w:t>业务的</w:t>
      </w:r>
      <w:r>
        <w:rPr>
          <w:rFonts w:hint="eastAsia"/>
          <w:color w:val="auto"/>
        </w:rPr>
        <w:t>企业</w:t>
      </w:r>
      <w:r>
        <w:rPr>
          <w:rFonts w:hint="eastAsia"/>
          <w:color w:val="auto"/>
          <w:lang w:eastAsia="zh-CN"/>
        </w:rPr>
        <w:t>（以下简称工程造价咨询企业）</w:t>
      </w:r>
      <w:r>
        <w:rPr>
          <w:rFonts w:hint="eastAsia"/>
          <w:color w:val="auto"/>
        </w:rPr>
        <w:t>及其注册造价工程师开展信用信息的采集、评价、公开、使用及监督管理，适用本办法。</w:t>
      </w:r>
    </w:p>
    <w:p w14:paraId="67CA002C">
      <w:pPr>
        <w:numPr>
          <w:ins w:id="1" w:author="wxw" w:date="2025-06-20T10:58:27Z"/>
        </w:numPr>
        <w:rPr>
          <w:rFonts w:hint="eastAsia" w:eastAsia="仿宋_GB2312"/>
          <w:lang w:eastAsia="zh-CN"/>
        </w:rPr>
      </w:pPr>
      <w:r>
        <w:rPr>
          <w:rFonts w:hint="eastAsia"/>
          <w:color w:val="auto"/>
          <w:lang w:eastAsia="zh-CN"/>
        </w:rPr>
        <w:t>本办法所称建筑工程，是指房屋建筑和市政基础设施</w:t>
      </w:r>
      <w:r>
        <w:rPr>
          <w:rFonts w:hint="eastAsia"/>
          <w:color w:val="auto"/>
        </w:rPr>
        <w:t>工程</w:t>
      </w:r>
      <w:r>
        <w:rPr>
          <w:rFonts w:hint="eastAsia"/>
          <w:color w:val="auto"/>
          <w:lang w:eastAsia="zh-CN"/>
        </w:rPr>
        <w:t>。</w:t>
      </w:r>
    </w:p>
    <w:p w14:paraId="601E6494">
      <w:pPr>
        <w:bidi w:val="0"/>
        <w:rPr>
          <w:rFonts w:hint="eastAsia"/>
          <w:color w:val="auto"/>
        </w:rPr>
      </w:pPr>
      <w:r>
        <w:rPr>
          <w:rFonts w:hint="eastAsia"/>
          <w:b/>
          <w:bCs/>
          <w:color w:val="auto"/>
        </w:rPr>
        <w:t>第三条</w:t>
      </w:r>
      <w:r>
        <w:rPr>
          <w:rFonts w:hint="eastAsia"/>
          <w:color w:val="auto"/>
        </w:rPr>
        <w:t xml:space="preserve"> 本办法所称信用信息，是指北京市住房和城乡建设委员会（以下简称市住房城乡建设委）在依法履行职责过程中</w:t>
      </w:r>
      <w:r>
        <w:rPr>
          <w:rFonts w:hint="eastAsia"/>
          <w:color w:val="auto"/>
          <w:lang w:eastAsia="zh-CN"/>
        </w:rPr>
        <w:t>收集和产生</w:t>
      </w:r>
      <w:r>
        <w:rPr>
          <w:rFonts w:hint="eastAsia"/>
          <w:color w:val="auto"/>
        </w:rPr>
        <w:t>的，能够反映工程造价咨询企业及其注册造价工程师在本市从事工程</w:t>
      </w:r>
      <w:r>
        <w:rPr>
          <w:rFonts w:hint="eastAsia" w:ascii="Times New Roman" w:hAnsi="Times New Roman"/>
          <w:b w:val="0"/>
          <w:i w:val="0"/>
          <w:color w:val="000000"/>
          <w:sz w:val="33"/>
          <w:lang w:eastAsia="zh-CN"/>
        </w:rPr>
        <w:t>造价咨询</w:t>
      </w:r>
      <w:r>
        <w:rPr>
          <w:rFonts w:hint="eastAsia"/>
          <w:color w:val="auto"/>
        </w:rPr>
        <w:t>相关活动信用状况的数据和资料。</w:t>
      </w:r>
    </w:p>
    <w:p w14:paraId="26714473">
      <w:pPr>
        <w:bidi w:val="0"/>
        <w:rPr>
          <w:rFonts w:hint="eastAsia"/>
          <w:color w:val="auto"/>
        </w:rPr>
      </w:pPr>
      <w:r>
        <w:rPr>
          <w:rFonts w:hint="eastAsia"/>
          <w:b/>
          <w:bCs/>
          <w:color w:val="auto"/>
        </w:rPr>
        <w:t>第四条</w:t>
      </w:r>
      <w:r>
        <w:rPr>
          <w:rFonts w:hint="eastAsia"/>
          <w:color w:val="auto"/>
        </w:rPr>
        <w:t xml:space="preserve"> 工程造价咨询企业及其注册造价工程师信用信息管理应当遵循合法、客观、准确、必要和安全的原则，依法保护相关各方的合法权益。</w:t>
      </w:r>
    </w:p>
    <w:p w14:paraId="029D64E8">
      <w:pPr>
        <w:bidi w:val="0"/>
        <w:rPr>
          <w:rFonts w:hint="eastAsia"/>
          <w:color w:val="auto"/>
        </w:rPr>
      </w:pPr>
      <w:r>
        <w:rPr>
          <w:rFonts w:hint="eastAsia"/>
          <w:b/>
          <w:bCs/>
          <w:color w:val="auto"/>
        </w:rPr>
        <w:t>第五条</w:t>
      </w:r>
      <w:r>
        <w:rPr>
          <w:rFonts w:hint="eastAsia"/>
          <w:color w:val="auto"/>
        </w:rPr>
        <w:t xml:space="preserve"> 市住房城乡建设委负责制定本行政区域内工程造价咨询企业及其注册造价工程师信用信息评价标准，负责建立健全信用信息评价系统，负责信用信息的归集和评价，负责对其他部门或组织提供的相关信用信息的采用，负责信用信息与评价结果的发布，并依据评价结果组织实施差别化监管。具体工作委托北京市建设工程造价管理机构实施。</w:t>
      </w:r>
    </w:p>
    <w:p w14:paraId="416EADE3">
      <w:pPr>
        <w:bidi w:val="0"/>
        <w:rPr>
          <w:rFonts w:hint="eastAsia"/>
          <w:color w:val="auto"/>
        </w:rPr>
      </w:pPr>
      <w:r>
        <w:rPr>
          <w:rFonts w:hint="eastAsia"/>
          <w:color w:val="auto"/>
        </w:rPr>
        <w:t>工程造价咨询企业及其注册造价工程师按本办法对信用信息进行填报，并对所提交内容的真实性、完整性、及时性负责。</w:t>
      </w:r>
    </w:p>
    <w:p w14:paraId="6CAF984A">
      <w:pPr>
        <w:bidi w:val="0"/>
        <w:rPr>
          <w:rFonts w:hint="eastAsia"/>
          <w:color w:val="auto"/>
        </w:rPr>
      </w:pPr>
      <w:r>
        <w:rPr>
          <w:rFonts w:hint="eastAsia"/>
          <w:b/>
          <w:bCs/>
          <w:color w:val="auto"/>
        </w:rPr>
        <w:t>第六条</w:t>
      </w:r>
      <w:r>
        <w:rPr>
          <w:rFonts w:hint="eastAsia"/>
          <w:color w:val="auto"/>
        </w:rPr>
        <w:t xml:space="preserve"> 信用信息包括基本信息、良好信息和不良信息。</w:t>
      </w:r>
    </w:p>
    <w:p w14:paraId="7EF57610">
      <w:pPr>
        <w:bidi w:val="0"/>
        <w:rPr>
          <w:rFonts w:hint="eastAsia"/>
          <w:color w:val="auto"/>
        </w:rPr>
      </w:pPr>
      <w:r>
        <w:rPr>
          <w:rFonts w:hint="eastAsia"/>
          <w:color w:val="auto"/>
        </w:rPr>
        <w:t>（一）基本信息指工程造价咨询企业及其注册造价工程师基础信息。</w:t>
      </w:r>
    </w:p>
    <w:p w14:paraId="4016660B">
      <w:pPr>
        <w:bidi w:val="0"/>
        <w:rPr>
          <w:rFonts w:hint="eastAsia"/>
          <w:color w:val="auto"/>
        </w:rPr>
      </w:pPr>
      <w:r>
        <w:rPr>
          <w:rFonts w:hint="eastAsia"/>
          <w:color w:val="auto"/>
        </w:rPr>
        <w:t>企业基本信息包括企业名称、法定代表人或者负责人、统一社会信用代码、取得的行政许可及行政备案信息、从业人员职业资格等信息；</w:t>
      </w:r>
    </w:p>
    <w:p w14:paraId="1750AC32">
      <w:pPr>
        <w:bidi w:val="0"/>
        <w:rPr>
          <w:rFonts w:hint="eastAsia"/>
          <w:color w:val="auto"/>
        </w:rPr>
      </w:pPr>
      <w:r>
        <w:rPr>
          <w:rFonts w:hint="eastAsia"/>
          <w:color w:val="auto"/>
        </w:rPr>
        <w:t>注册造价工程师基本信息包括姓名、身份证号码、学历、取得的职业资格及注册情况等信息。</w:t>
      </w:r>
    </w:p>
    <w:p w14:paraId="78236F0C">
      <w:pPr>
        <w:bidi w:val="0"/>
        <w:rPr>
          <w:rFonts w:hint="eastAsia"/>
          <w:color w:val="auto"/>
        </w:rPr>
      </w:pPr>
      <w:r>
        <w:rPr>
          <w:rFonts w:hint="eastAsia"/>
          <w:color w:val="auto"/>
        </w:rPr>
        <w:t>（二）良好信息是指工程造价咨询企业及其注册造价工程师提供的反映依法承接工程造价咨询业务的合同履约、业绩等信息，在工程造价咨询活动中获得省级以上政府相关部门给予的住房城乡建设领域表彰奖励信息，参与制定或审核国家、省级、行业工程造价相关标准，为本市造价行业发展做出贡献，积极履行社会责任等方面的信息。</w:t>
      </w:r>
    </w:p>
    <w:p w14:paraId="0E89C6DA">
      <w:pPr>
        <w:bidi w:val="0"/>
        <w:rPr>
          <w:rFonts w:hint="eastAsia"/>
          <w:color w:val="auto"/>
        </w:rPr>
      </w:pPr>
      <w:r>
        <w:rPr>
          <w:rFonts w:hint="eastAsia"/>
          <w:color w:val="auto"/>
        </w:rPr>
        <w:t>（三）不良信息是指工程造价咨询企业及其注册造价工程师在工程造价咨询活动中违反相关法律、法规、规章、规范性文件等，受到刑事处罚、行政处罚、行政处理，以及本办法正文及附件中列明的其他不良信息。</w:t>
      </w:r>
    </w:p>
    <w:p w14:paraId="7DA98767">
      <w:pPr>
        <w:pStyle w:val="4"/>
        <w:bidi w:val="0"/>
        <w:rPr>
          <w:rFonts w:hint="eastAsia"/>
          <w:color w:val="auto"/>
        </w:rPr>
      </w:pPr>
      <w:r>
        <w:rPr>
          <w:rFonts w:hint="eastAsia"/>
          <w:color w:val="auto"/>
        </w:rPr>
        <w:t>信用信息采集</w:t>
      </w:r>
    </w:p>
    <w:p w14:paraId="4AA9651D">
      <w:pPr>
        <w:bidi w:val="0"/>
        <w:rPr>
          <w:rFonts w:hint="eastAsia" w:ascii="仿宋_GB2312" w:hAnsi="仿宋_GB2312" w:eastAsia="仿宋_GB2312" w:cs="仿宋_GB2312"/>
          <w:color w:val="auto"/>
        </w:rPr>
      </w:pPr>
      <w:r>
        <w:rPr>
          <w:rFonts w:hint="eastAsia" w:ascii="Calibri" w:hAnsi="Calibri" w:eastAsia="仿宋_GB2312" w:cs="Times New Roman"/>
          <w:b/>
          <w:bCs/>
          <w:color w:val="auto"/>
        </w:rPr>
        <w:t>第七条</w:t>
      </w:r>
      <w:r>
        <w:rPr>
          <w:rFonts w:hint="eastAsia" w:ascii="仿宋_GB2312" w:hAnsi="仿宋_GB2312" w:eastAsia="仿宋_GB2312" w:cs="仿宋_GB2312"/>
          <w:color w:val="auto"/>
        </w:rPr>
        <w:t xml:space="preserve"> 工程造价咨询企业及其注册造价工程师</w:t>
      </w:r>
      <w:r>
        <w:rPr>
          <w:rFonts w:hint="eastAsia"/>
          <w:color w:val="auto"/>
          <w:lang w:eastAsia="zh-CN"/>
        </w:rPr>
        <w:t>的</w:t>
      </w:r>
      <w:r>
        <w:rPr>
          <w:rFonts w:hint="eastAsia" w:ascii="仿宋_GB2312" w:hAnsi="仿宋_GB2312" w:eastAsia="仿宋_GB2312" w:cs="仿宋_GB2312"/>
          <w:color w:val="auto"/>
        </w:rPr>
        <w:t>相关信用信息的填报</w:t>
      </w:r>
      <w:r>
        <w:rPr>
          <w:rFonts w:hint="eastAsia" w:ascii="仿宋_GB2312" w:hAnsi="仿宋_GB2312" w:cs="仿宋_GB2312"/>
          <w:color w:val="auto"/>
          <w:lang w:eastAsia="zh-CN"/>
        </w:rPr>
        <w:t>，</w:t>
      </w:r>
      <w:r>
        <w:rPr>
          <w:rFonts w:hint="eastAsia" w:ascii="仿宋_GB2312" w:hAnsi="仿宋_GB2312" w:eastAsia="仿宋_GB2312" w:cs="仿宋_GB2312"/>
          <w:color w:val="auto"/>
        </w:rPr>
        <w:t>通过市住房城乡建设委网站项下工程造价服务平台（以下简称平台）进行。</w:t>
      </w:r>
    </w:p>
    <w:p w14:paraId="5DE64418">
      <w:pPr>
        <w:bidi w:val="0"/>
        <w:rPr>
          <w:rFonts w:hint="eastAsia" w:ascii="仿宋_GB2312" w:hAnsi="仿宋_GB2312" w:eastAsia="仿宋_GB2312" w:cs="仿宋_GB2312"/>
          <w:color w:val="auto"/>
        </w:rPr>
      </w:pPr>
      <w:r>
        <w:rPr>
          <w:rFonts w:hint="eastAsia" w:ascii="Calibri" w:hAnsi="Calibri" w:eastAsia="仿宋_GB2312" w:cs="Times New Roman"/>
          <w:b/>
          <w:bCs/>
          <w:color w:val="auto"/>
        </w:rPr>
        <w:t>第八条</w:t>
      </w:r>
      <w:r>
        <w:rPr>
          <w:rFonts w:hint="eastAsia" w:ascii="仿宋_GB2312" w:hAnsi="仿宋_GB2312" w:eastAsia="仿宋_GB2312" w:cs="仿宋_GB2312"/>
          <w:color w:val="auto"/>
        </w:rPr>
        <w:t xml:space="preserve"> 基本信息采集</w:t>
      </w:r>
    </w:p>
    <w:p w14:paraId="3BB3A1B6">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基本信息的采集以市住房城乡建设委</w:t>
      </w:r>
      <w:r>
        <w:rPr>
          <w:rFonts w:hint="eastAsia" w:ascii="仿宋_GB2312" w:hAnsi="仿宋_GB2312" w:cs="仿宋_GB2312"/>
          <w:color w:val="auto"/>
          <w:lang w:eastAsia="zh-CN"/>
        </w:rPr>
        <w:t>获取并纳入平台</w:t>
      </w:r>
      <w:r>
        <w:rPr>
          <w:rFonts w:hint="eastAsia" w:ascii="仿宋_GB2312" w:hAnsi="仿宋_GB2312" w:eastAsia="仿宋_GB2312" w:cs="仿宋_GB2312"/>
          <w:color w:val="auto"/>
        </w:rPr>
        <w:t>的数据信息为基础，以工程造价咨询企业登录平台账户自主</w:t>
      </w:r>
      <w:r>
        <w:rPr>
          <w:rFonts w:hint="eastAsia" w:ascii="仿宋_GB2312" w:hAnsi="仿宋_GB2312" w:cs="仿宋_GB2312"/>
          <w:color w:val="auto"/>
          <w:lang w:eastAsia="zh-CN"/>
        </w:rPr>
        <w:t>填报</w:t>
      </w:r>
      <w:r>
        <w:rPr>
          <w:rFonts w:hint="eastAsia" w:ascii="仿宋_GB2312" w:hAnsi="仿宋_GB2312" w:eastAsia="仿宋_GB2312" w:cs="仿宋_GB2312"/>
          <w:color w:val="auto"/>
        </w:rPr>
        <w:t>为补充。</w:t>
      </w:r>
    </w:p>
    <w:p w14:paraId="0B4677ED">
      <w:pPr>
        <w:bidi w:val="0"/>
        <w:rPr>
          <w:rFonts w:hint="eastAsia" w:ascii="仿宋_GB2312" w:hAnsi="仿宋_GB2312" w:eastAsia="仿宋_GB2312" w:cs="仿宋_GB2312"/>
          <w:color w:val="auto"/>
        </w:rPr>
      </w:pPr>
      <w:r>
        <w:rPr>
          <w:rFonts w:hint="eastAsia" w:ascii="Calibri" w:hAnsi="Calibri" w:eastAsia="仿宋_GB2312" w:cs="Times New Roman"/>
          <w:b/>
          <w:bCs/>
          <w:color w:val="auto"/>
        </w:rPr>
        <w:t xml:space="preserve">第九条 </w:t>
      </w:r>
      <w:r>
        <w:rPr>
          <w:rFonts w:hint="eastAsia" w:ascii="仿宋_GB2312" w:hAnsi="仿宋_GB2312" w:eastAsia="仿宋_GB2312" w:cs="仿宋_GB2312"/>
          <w:color w:val="auto"/>
        </w:rPr>
        <w:t>良好信息采集</w:t>
      </w:r>
    </w:p>
    <w:p w14:paraId="5F082753">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（一）工程造价咨询企业的业绩信息，以上一年度的统计调查数据为准，由市住房城乡建设委按照统计调查数据统一录入。注册造价工程师的业绩信息由所属企业在平台填报。</w:t>
      </w:r>
    </w:p>
    <w:p w14:paraId="3087B817">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（二）成果文件报送由企业登录平台自行填报；</w:t>
      </w:r>
    </w:p>
    <w:p w14:paraId="33ED292B">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（三）荣誉表彰等良好信息，由企业登录平台自行</w:t>
      </w:r>
      <w:r>
        <w:rPr>
          <w:rFonts w:hint="eastAsia" w:ascii="仿宋_GB2312" w:hAnsi="仿宋_GB2312" w:cs="仿宋_GB2312"/>
          <w:color w:val="auto"/>
          <w:lang w:eastAsia="zh-CN"/>
        </w:rPr>
        <w:t>填报</w:t>
      </w:r>
      <w:r>
        <w:rPr>
          <w:rFonts w:hint="eastAsia" w:ascii="仿宋_GB2312" w:hAnsi="仿宋_GB2312" w:eastAsia="仿宋_GB2312" w:cs="仿宋_GB2312"/>
          <w:color w:val="auto"/>
        </w:rPr>
        <w:t>。</w:t>
      </w:r>
    </w:p>
    <w:p w14:paraId="0A7D067B">
      <w:pPr>
        <w:bidi w:val="0"/>
        <w:rPr>
          <w:rFonts w:hint="eastAsia" w:ascii="仿宋_GB2312" w:hAnsi="仿宋_GB2312" w:eastAsia="仿宋_GB2312" w:cs="仿宋_GB2312"/>
          <w:color w:val="auto"/>
        </w:rPr>
      </w:pPr>
      <w:r>
        <w:rPr>
          <w:rFonts w:hint="eastAsia" w:ascii="Calibri" w:hAnsi="Calibri" w:eastAsia="仿宋_GB2312" w:cs="Times New Roman"/>
          <w:b/>
          <w:bCs/>
          <w:color w:val="auto"/>
        </w:rPr>
        <w:t>第十条</w:t>
      </w:r>
      <w:r>
        <w:rPr>
          <w:rFonts w:hint="eastAsia" w:ascii="仿宋_GB2312" w:hAnsi="仿宋_GB2312" w:eastAsia="仿宋_GB2312" w:cs="仿宋_GB2312"/>
          <w:color w:val="auto"/>
        </w:rPr>
        <w:t xml:space="preserve"> 不良信息采集</w:t>
      </w:r>
    </w:p>
    <w:p w14:paraId="069449FD">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工程造价咨询企业及其注册造价工程师的不良信息，通过市住房城乡建设委执法系统等渠道采集。</w:t>
      </w:r>
    </w:p>
    <w:p w14:paraId="707858A4">
      <w:pPr>
        <w:bidi w:val="0"/>
        <w:rPr>
          <w:rFonts w:hint="eastAsia" w:ascii="仿宋_GB2312" w:hAnsi="仿宋_GB2312" w:eastAsia="仿宋_GB2312" w:cs="仿宋_GB2312"/>
          <w:color w:val="auto"/>
        </w:rPr>
      </w:pPr>
      <w:r>
        <w:rPr>
          <w:rFonts w:hint="eastAsia" w:ascii="Calibri" w:hAnsi="Calibri" w:eastAsia="仿宋_GB2312" w:cs="Times New Roman"/>
          <w:b/>
          <w:bCs/>
          <w:color w:val="auto"/>
        </w:rPr>
        <w:t>第十一条</w:t>
      </w:r>
      <w:r>
        <w:rPr>
          <w:rFonts w:hint="eastAsia" w:ascii="仿宋_GB2312" w:hAnsi="仿宋_GB2312" w:eastAsia="仿宋_GB2312" w:cs="仿宋_GB2312"/>
          <w:color w:val="auto"/>
        </w:rPr>
        <w:t xml:space="preserve"> 建立异议信息申诉与复核制度。工程造价咨询企业及其注册造价工程师对其信用信息提出异议的，应当在信息公布之日起3个工作日内，在平台填报申诉相关内容及联系方式，并将相关证明材料一次性提交，住房城乡建设委应对异议信息进行核实，并在收到证明材料之日起3个工作日内作出处理。</w:t>
      </w:r>
    </w:p>
    <w:p w14:paraId="5A31ABF7">
      <w:pPr>
        <w:pStyle w:val="4"/>
        <w:bidi w:val="0"/>
        <w:rPr>
          <w:rFonts w:hint="eastAsia"/>
          <w:color w:val="auto"/>
        </w:rPr>
      </w:pPr>
      <w:r>
        <w:rPr>
          <w:rFonts w:hint="eastAsia"/>
          <w:color w:val="auto"/>
        </w:rPr>
        <w:t>信用评价</w:t>
      </w:r>
    </w:p>
    <w:p w14:paraId="1E650AE5">
      <w:pPr>
        <w:bidi w:val="0"/>
        <w:rPr>
          <w:rFonts w:hint="eastAsia" w:ascii="仿宋_GB2312" w:hAnsi="仿宋_GB2312" w:eastAsia="仿宋_GB2312" w:cs="仿宋_GB2312"/>
          <w:color w:val="auto"/>
        </w:rPr>
      </w:pPr>
      <w:r>
        <w:rPr>
          <w:rFonts w:hint="eastAsia" w:ascii="Calibri" w:hAnsi="Calibri" w:eastAsia="仿宋_GB2312" w:cs="Times New Roman"/>
          <w:b/>
          <w:bCs/>
          <w:color w:val="auto"/>
        </w:rPr>
        <w:t>第十二条</w:t>
      </w:r>
      <w:r>
        <w:rPr>
          <w:rFonts w:hint="eastAsia" w:ascii="仿宋_GB2312" w:hAnsi="仿宋_GB2312" w:eastAsia="仿宋_GB2312" w:cs="仿宋_GB2312"/>
          <w:color w:val="auto"/>
        </w:rPr>
        <w:t xml:space="preserve"> 市住房城乡建设委建立工程造价咨询企业及其注册造价工程师信用信息评价系统，按照</w:t>
      </w:r>
      <w:r>
        <w:rPr>
          <w:rFonts w:hint="eastAsia" w:ascii="仿宋_GB2312" w:hAnsi="仿宋_GB2312" w:cs="仿宋_GB2312"/>
          <w:color w:val="auto"/>
          <w:lang w:eastAsia="zh-CN"/>
        </w:rPr>
        <w:t>最新版</w:t>
      </w:r>
      <w:r>
        <w:rPr>
          <w:rFonts w:hint="eastAsia" w:ascii="仿宋_GB2312" w:hAnsi="仿宋_GB2312" w:eastAsia="仿宋_GB2312" w:cs="仿宋_GB2312"/>
          <w:color w:val="auto"/>
        </w:rPr>
        <w:t>《北京市工程造价咨询企业信用信息评价标准》（附件1）、《北京市工程造价咨询企业中注册造价工程师信用信息评价标准》（附件2）对相关主体一年内的信用信息进行评价，依托平台每日对归集审核的信用信息进行汇总</w:t>
      </w:r>
      <w:r>
        <w:rPr>
          <w:rFonts w:hint="eastAsia" w:ascii="仿宋_GB2312" w:hAnsi="仿宋_GB2312" w:cs="仿宋_GB2312"/>
          <w:color w:val="auto"/>
          <w:lang w:eastAsia="zh-CN"/>
        </w:rPr>
        <w:t>，</w:t>
      </w:r>
      <w:r>
        <w:rPr>
          <w:rFonts w:hint="eastAsia" w:ascii="仿宋_GB2312" w:hAnsi="仿宋_GB2312" w:eastAsia="仿宋_GB2312" w:cs="仿宋_GB2312"/>
          <w:color w:val="auto"/>
        </w:rPr>
        <w:t>计算信用评价得分，生成对应信用等级，企业</w:t>
      </w:r>
      <w:r>
        <w:rPr>
          <w:rFonts w:hint="eastAsia" w:ascii="仿宋_GB2312" w:hAnsi="仿宋_GB2312" w:cs="仿宋_GB2312"/>
          <w:color w:val="auto"/>
          <w:lang w:eastAsia="zh-CN"/>
        </w:rPr>
        <w:t>等级</w:t>
      </w:r>
      <w:r>
        <w:rPr>
          <w:rFonts w:hint="eastAsia" w:ascii="仿宋_GB2312" w:hAnsi="仿宋_GB2312" w:eastAsia="仿宋_GB2312" w:cs="仿宋_GB2312"/>
          <w:color w:val="auto"/>
        </w:rPr>
        <w:t>在市住房城乡建设委网站公布</w:t>
      </w:r>
      <w:r>
        <w:rPr>
          <w:rFonts w:hint="eastAsia" w:ascii="仿宋_GB2312" w:hAnsi="仿宋_GB2312" w:cs="仿宋_GB2312"/>
          <w:color w:val="auto"/>
          <w:lang w:eastAsia="zh-CN"/>
        </w:rPr>
        <w:t>，人员等级适时</w:t>
      </w:r>
      <w:r>
        <w:rPr>
          <w:rFonts w:hint="eastAsia" w:ascii="仿宋_GB2312" w:hAnsi="仿宋_GB2312" w:eastAsia="仿宋_GB2312" w:cs="仿宋_GB2312"/>
          <w:color w:val="auto"/>
        </w:rPr>
        <w:t>在市住房城乡建设委网站公布。</w:t>
      </w:r>
    </w:p>
    <w:p w14:paraId="41827121">
      <w:pPr>
        <w:bidi w:val="0"/>
        <w:rPr>
          <w:rFonts w:hint="eastAsia" w:ascii="仿宋_GB2312" w:hAnsi="仿宋_GB2312" w:eastAsia="仿宋_GB2312" w:cs="仿宋_GB2312"/>
          <w:color w:val="auto"/>
        </w:rPr>
      </w:pPr>
      <w:r>
        <w:rPr>
          <w:rFonts w:hint="eastAsia" w:ascii="Calibri" w:hAnsi="Calibri" w:eastAsia="仿宋_GB2312" w:cs="Times New Roman"/>
          <w:b/>
          <w:bCs/>
          <w:color w:val="auto"/>
        </w:rPr>
        <w:t>第十三条</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工程造价咨询企业有下列行为之一的，整改期间暂不对其进行信用信息评价，整改合格后恢复评价：</w:t>
      </w:r>
    </w:p>
    <w:p w14:paraId="589244AB">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（一）同时接受招标人和投标人或两个以上投标人对同一工程项目的工程造价咨询业务；</w:t>
      </w:r>
    </w:p>
    <w:p w14:paraId="1975BBFB">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（二）以给予回扣、恶意压低收费等方式进行不正当竞争；</w:t>
      </w:r>
    </w:p>
    <w:p w14:paraId="0B0A7D9F">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（三）转包承接的工程造价咨询业务；</w:t>
      </w:r>
    </w:p>
    <w:p w14:paraId="7534F3F1">
      <w:pPr>
        <w:bidi w:val="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（四）</w:t>
      </w:r>
      <w:r>
        <w:rPr>
          <w:rFonts w:hint="eastAsia" w:ascii="仿宋_GB2312" w:hAnsi="仿宋_GB2312" w:cs="仿宋_GB2312"/>
          <w:color w:val="auto"/>
          <w:lang w:eastAsia="zh-CN"/>
        </w:rPr>
        <w:t>出具有虚假记载、误导性陈述的工程造价成果文件；</w:t>
      </w:r>
    </w:p>
    <w:p w14:paraId="4838ACE9">
      <w:pPr>
        <w:bidi w:val="0"/>
        <w:rPr>
          <w:rFonts w:hint="eastAsia" w:ascii="仿宋_GB2312" w:hAnsi="仿宋_GB2312" w:eastAsia="仿宋_GB2312" w:cs="仿宋_GB2312"/>
          <w:color w:val="auto"/>
        </w:rPr>
      </w:pPr>
      <w:r>
        <w:rPr>
          <w:rFonts w:hint="eastAsia" w:ascii="仿宋_GB2312" w:hAnsi="仿宋_GB2312" w:cs="仿宋_GB2312"/>
          <w:color w:val="auto"/>
          <w:lang w:eastAsia="zh-CN"/>
        </w:rPr>
        <w:t>（五）</w:t>
      </w:r>
      <w:r>
        <w:rPr>
          <w:rFonts w:hint="eastAsia" w:ascii="仿宋_GB2312" w:hAnsi="仿宋_GB2312" w:eastAsia="仿宋_GB2312" w:cs="仿宋_GB2312"/>
          <w:color w:val="auto"/>
        </w:rPr>
        <w:t>法律、法规禁止的其他行为。</w:t>
      </w:r>
    </w:p>
    <w:p w14:paraId="038BD10D">
      <w:pPr>
        <w:bidi w:val="0"/>
        <w:rPr>
          <w:rFonts w:hint="eastAsia" w:ascii="仿宋_GB2312" w:hAnsi="仿宋_GB2312" w:eastAsia="仿宋_GB2312" w:cs="仿宋_GB2312"/>
          <w:color w:val="auto"/>
        </w:rPr>
      </w:pPr>
      <w:r>
        <w:rPr>
          <w:rFonts w:hint="eastAsia" w:ascii="Calibri" w:hAnsi="Calibri" w:eastAsia="仿宋_GB2312" w:cs="Times New Roman"/>
          <w:b/>
          <w:bCs/>
          <w:color w:val="auto"/>
        </w:rPr>
        <w:t>第十四条</w:t>
      </w:r>
      <w:r>
        <w:rPr>
          <w:rFonts w:hint="eastAsia" w:ascii="仿宋_GB2312" w:hAnsi="仿宋_GB2312" w:eastAsia="仿宋_GB2312" w:cs="仿宋_GB2312"/>
          <w:color w:val="auto"/>
        </w:rPr>
        <w:t xml:space="preserve"> 注册造价工程师有下列行为之一的，整改期间暂不对其进行市场行为信用评价，整改合格后恢复评价：</w:t>
      </w:r>
    </w:p>
    <w:p w14:paraId="67339BBE">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（一）不履行注册造价工程师义务；</w:t>
      </w:r>
    </w:p>
    <w:p w14:paraId="283E2F16">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（二）在执业过程中，索贿、受贿或者谋取合同约定费用外的其他利益；</w:t>
      </w:r>
    </w:p>
    <w:p w14:paraId="797D59AF">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（三）在执业过程中实施商业贿赂；</w:t>
      </w:r>
    </w:p>
    <w:p w14:paraId="0CC1D702">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（四）签署有虚假记载、误导性陈述的工程造价成果文件；</w:t>
      </w:r>
    </w:p>
    <w:p w14:paraId="3592665B">
      <w:pPr>
        <w:numPr>
          <w:ins w:id="2" w:author="wxw" w:date="2025-06-13T11:11:26Z"/>
        </w:numPr>
        <w:rPr>
          <w:rFonts w:hint="eastAsia" w:ascii="仿宋_GB2312" w:hAnsi="仿宋_GB2312" w:eastAsia="仿宋_GB2312" w:cs="仿宋_GB2312"/>
          <w:color w:val="auto"/>
        </w:rPr>
      </w:pPr>
      <w:r>
        <w:rPr>
          <w:rFonts w:hint="eastAsia" w:ascii="仿宋_GB2312" w:hAnsi="仿宋_GB2312" w:eastAsia="仿宋_GB2312" w:cs="仿宋_GB2312"/>
          <w:color w:val="auto"/>
        </w:rPr>
        <w:t>（五）以个人名义承接工程造价业务；</w:t>
      </w:r>
    </w:p>
    <w:p w14:paraId="279514AC">
      <w:pPr>
        <w:numPr>
          <w:ins w:id="3" w:author="wxw" w:date="2025-06-13T11:11:26Z"/>
        </w:numPr>
        <w:rPr>
          <w:rFonts w:hint="eastAsia"/>
        </w:rPr>
      </w:pPr>
      <w:r>
        <w:rPr>
          <w:rFonts w:hint="eastAsia"/>
        </w:rPr>
        <w:t>（六）允许他人以自己名义从事工程造价业务；</w:t>
      </w:r>
    </w:p>
    <w:p w14:paraId="502048DD">
      <w:pPr>
        <w:numPr>
          <w:ins w:id="4" w:author="wxw" w:date="2025-06-13T11:11:26Z"/>
        </w:numPr>
        <w:rPr>
          <w:rFonts w:hint="eastAsia"/>
        </w:rPr>
      </w:pPr>
      <w:r>
        <w:rPr>
          <w:rFonts w:hint="eastAsia"/>
        </w:rPr>
        <w:t>（七）同时在两个或者两个以上单位执业；</w:t>
      </w:r>
    </w:p>
    <w:p w14:paraId="19E1CB3A">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w:t>
      </w:r>
      <w:r>
        <w:rPr>
          <w:rFonts w:hint="eastAsia" w:ascii="仿宋_GB2312" w:hAnsi="仿宋_GB2312" w:cs="仿宋_GB2312"/>
          <w:color w:val="auto"/>
          <w:lang w:eastAsia="zh-CN"/>
        </w:rPr>
        <w:t>八</w:t>
      </w:r>
      <w:r>
        <w:rPr>
          <w:rFonts w:hint="eastAsia" w:ascii="仿宋_GB2312" w:hAnsi="仿宋_GB2312" w:eastAsia="仿宋_GB2312" w:cs="仿宋_GB2312"/>
          <w:color w:val="auto"/>
        </w:rPr>
        <w:t>）涂改、倒卖、出租、出借或者以其他形式非法转让注册证书或者执业印章；</w:t>
      </w:r>
    </w:p>
    <w:p w14:paraId="2E66C35A">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w:t>
      </w:r>
      <w:r>
        <w:rPr>
          <w:rFonts w:hint="eastAsia" w:ascii="仿宋_GB2312" w:hAnsi="仿宋_GB2312" w:cs="仿宋_GB2312"/>
          <w:color w:val="auto"/>
          <w:lang w:eastAsia="zh-CN"/>
        </w:rPr>
        <w:t>九</w:t>
      </w:r>
      <w:r>
        <w:rPr>
          <w:rFonts w:hint="eastAsia" w:ascii="仿宋_GB2312" w:hAnsi="仿宋_GB2312" w:eastAsia="仿宋_GB2312" w:cs="仿宋_GB2312"/>
          <w:color w:val="auto"/>
        </w:rPr>
        <w:t>）超出执业范围、注册专业范围执业；</w:t>
      </w:r>
    </w:p>
    <w:p w14:paraId="7138CED5">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w:t>
      </w:r>
      <w:r>
        <w:rPr>
          <w:rFonts w:hint="eastAsia" w:ascii="仿宋_GB2312" w:hAnsi="仿宋_GB2312" w:cs="仿宋_GB2312"/>
          <w:color w:val="auto"/>
          <w:lang w:eastAsia="zh-CN"/>
        </w:rPr>
        <w:t>十</w:t>
      </w:r>
      <w:r>
        <w:rPr>
          <w:rFonts w:hint="eastAsia" w:ascii="仿宋_GB2312" w:hAnsi="仿宋_GB2312" w:eastAsia="仿宋_GB2312" w:cs="仿宋_GB2312"/>
          <w:color w:val="auto"/>
        </w:rPr>
        <w:t>）法律、法规、规章禁止的其他行为。</w:t>
      </w:r>
    </w:p>
    <w:p w14:paraId="49C6B0BB">
      <w:pPr>
        <w:bidi w:val="0"/>
        <w:rPr>
          <w:rFonts w:hint="eastAsia" w:ascii="仿宋_GB2312" w:hAnsi="仿宋_GB2312" w:eastAsia="仿宋_GB2312" w:cs="仿宋_GB2312"/>
          <w:color w:val="auto"/>
        </w:rPr>
      </w:pPr>
      <w:r>
        <w:rPr>
          <w:rFonts w:hint="eastAsia" w:ascii="Calibri" w:hAnsi="Calibri" w:eastAsia="仿宋_GB2312" w:cs="Times New Roman"/>
          <w:b/>
          <w:bCs/>
          <w:color w:val="auto"/>
        </w:rPr>
        <w:t>第十五条</w:t>
      </w:r>
      <w:r>
        <w:rPr>
          <w:rFonts w:hint="eastAsia" w:ascii="仿宋_GB2312" w:hAnsi="仿宋_GB2312" w:eastAsia="仿宋_GB2312" w:cs="仿宋_GB2312"/>
          <w:color w:val="auto"/>
        </w:rPr>
        <w:t xml:space="preserve"> 信用评价得分=基础分值+良好行为得分-不良行为积分。其中，基础分值为市住房城乡建设委统一赋予的初始分值。</w:t>
      </w:r>
    </w:p>
    <w:p w14:paraId="7B42C13B">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外省(市)进京承接业务的工程造价咨询企业及其注册造价工程师参与我市市场行为信用评价的初始分值，按本市工程造价咨询企业及其注册造价工程师评价得分的基础分值确定；相关省(市)与市住房城乡建设委建立信用信息评价互认机制、联合惩戒机制等合作机制的，初始分值按机制确认的相关权重赋值。</w:t>
      </w:r>
    </w:p>
    <w:p w14:paraId="14303914">
      <w:pPr>
        <w:bidi w:val="0"/>
        <w:rPr>
          <w:rFonts w:hint="eastAsia" w:ascii="仿宋_GB2312" w:hAnsi="仿宋_GB2312" w:eastAsia="仿宋_GB2312" w:cs="仿宋_GB2312"/>
          <w:color w:val="auto"/>
        </w:rPr>
      </w:pPr>
      <w:r>
        <w:rPr>
          <w:rFonts w:hint="eastAsia" w:ascii="Calibri" w:hAnsi="Calibri" w:eastAsia="仿宋_GB2312" w:cs="Times New Roman"/>
          <w:b/>
          <w:bCs/>
          <w:color w:val="auto"/>
        </w:rPr>
        <w:t>第十六条</w:t>
      </w:r>
      <w:r>
        <w:rPr>
          <w:rFonts w:hint="eastAsia" w:ascii="仿宋_GB2312" w:hAnsi="仿宋_GB2312" w:eastAsia="仿宋_GB2312" w:cs="仿宋_GB2312"/>
          <w:color w:val="auto"/>
        </w:rPr>
        <w:t xml:space="preserve"> 对信用评价结果实施信用等级管理。以信用评价得分由高到低依次分为A、B、C、D四个等级，对应国家公共信用综合评价“优、良、中、差”四等。具体划分为A、A-、B+、B、B-、C+、C、C-、D九级。按照信用等级对工程造价咨询企业及其注册造价工程师分别实施差别化监管。</w:t>
      </w:r>
    </w:p>
    <w:p w14:paraId="662396F3">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信用评价得分与等级对应关系详见</w:t>
      </w:r>
      <w:r>
        <w:rPr>
          <w:rFonts w:hint="eastAsia" w:ascii="仿宋_GB2312" w:hAnsi="仿宋_GB2312" w:cs="仿宋_GB2312"/>
          <w:color w:val="auto"/>
          <w:lang w:eastAsia="zh-CN"/>
        </w:rPr>
        <w:t>最新版</w:t>
      </w:r>
      <w:r>
        <w:rPr>
          <w:rFonts w:hint="eastAsia" w:ascii="仿宋_GB2312" w:hAnsi="仿宋_GB2312" w:eastAsia="仿宋_GB2312" w:cs="仿宋_GB2312"/>
          <w:color w:val="auto"/>
        </w:rPr>
        <w:t>《北京市工程造价咨询企业及其注册造价工程师信用信息等级划分标准》（附件3）。</w:t>
      </w:r>
    </w:p>
    <w:p w14:paraId="194D403E">
      <w:pPr>
        <w:pStyle w:val="4"/>
        <w:bidi w:val="0"/>
        <w:rPr>
          <w:rFonts w:hint="eastAsia"/>
          <w:color w:val="auto"/>
        </w:rPr>
      </w:pPr>
      <w:r>
        <w:rPr>
          <w:rFonts w:hint="eastAsia"/>
          <w:color w:val="auto"/>
        </w:rPr>
        <w:t>评价结果应用</w:t>
      </w:r>
    </w:p>
    <w:p w14:paraId="58FD318C">
      <w:pPr>
        <w:bidi w:val="0"/>
        <w:rPr>
          <w:rFonts w:hint="eastAsia" w:ascii="仿宋_GB2312" w:hAnsi="仿宋_GB2312" w:eastAsia="仿宋_GB2312" w:cs="仿宋_GB2312"/>
          <w:color w:val="auto"/>
        </w:rPr>
      </w:pPr>
      <w:r>
        <w:rPr>
          <w:rFonts w:hint="eastAsia" w:ascii="Calibri" w:hAnsi="Calibri" w:eastAsia="仿宋_GB2312" w:cs="Times New Roman"/>
          <w:b/>
          <w:bCs/>
          <w:color w:val="auto"/>
        </w:rPr>
        <w:t>第十七条</w:t>
      </w:r>
      <w:r>
        <w:rPr>
          <w:rFonts w:hint="eastAsia" w:ascii="Calibri" w:hAnsi="Calibri" w:eastAsia="仿宋_GB2312" w:cs="Times New Roman"/>
          <w:b/>
          <w:bCs/>
          <w:color w:val="auto"/>
          <w:lang w:val="en-US" w:eastAsia="zh-CN"/>
        </w:rPr>
        <w:t xml:space="preserve"> </w:t>
      </w:r>
      <w:r>
        <w:rPr>
          <w:rFonts w:hint="eastAsia" w:ascii="仿宋_GB2312" w:hAnsi="仿宋_GB2312" w:eastAsia="仿宋_GB2312" w:cs="仿宋_GB2312"/>
          <w:color w:val="auto"/>
        </w:rPr>
        <w:t>对工程造价咨询企业实施差别化监管。</w:t>
      </w:r>
    </w:p>
    <w:p w14:paraId="6EB094D6">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（一）对等级为优（A）级的评价对象，以自律为主、守信激励为原则，采取以下激励措施（法律法规另有规定的除外）：</w:t>
      </w:r>
    </w:p>
    <w:p w14:paraId="34C199AA">
      <w:pPr>
        <w:bidi w:val="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1.在日常监管中大幅减少检查比例、频次和内容</w:t>
      </w:r>
      <w:r>
        <w:rPr>
          <w:rFonts w:hint="eastAsia" w:ascii="仿宋_GB2312" w:hAnsi="仿宋_GB2312" w:cs="仿宋_GB2312"/>
          <w:color w:val="auto"/>
          <w:lang w:eastAsia="zh-CN"/>
        </w:rPr>
        <w:t>；</w:t>
      </w:r>
    </w:p>
    <w:p w14:paraId="43790C0B">
      <w:pPr>
        <w:bidi w:val="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2.国家或本市规定的其他激励措施</w:t>
      </w:r>
      <w:r>
        <w:rPr>
          <w:rFonts w:hint="eastAsia" w:ascii="仿宋_GB2312" w:hAnsi="仿宋_GB2312" w:cs="仿宋_GB2312"/>
          <w:color w:val="auto"/>
          <w:lang w:eastAsia="zh-CN"/>
        </w:rPr>
        <w:t>；</w:t>
      </w:r>
    </w:p>
    <w:p w14:paraId="62733450">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3.北京市建设工程造价管理机构确定的其他分级分类监管措施。</w:t>
      </w:r>
    </w:p>
    <w:p w14:paraId="07955122">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（二）对等级为良（B）级的评价对象，以监管和自律兼顾、适度激励为原则，采取以下激励措施（法律法规另有规定的除外）：</w:t>
      </w:r>
    </w:p>
    <w:p w14:paraId="4D72F920">
      <w:pPr>
        <w:bidi w:val="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1.在日常监管中适当减少检查比例、频次和内容</w:t>
      </w:r>
      <w:r>
        <w:rPr>
          <w:rFonts w:hint="eastAsia" w:ascii="仿宋_GB2312" w:hAnsi="仿宋_GB2312" w:cs="仿宋_GB2312"/>
          <w:color w:val="auto"/>
          <w:lang w:eastAsia="zh-CN"/>
        </w:rPr>
        <w:t>；</w:t>
      </w:r>
    </w:p>
    <w:p w14:paraId="5B04B88D">
      <w:pPr>
        <w:bidi w:val="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2.国家或本市规定的其他激励措施</w:t>
      </w:r>
      <w:r>
        <w:rPr>
          <w:rFonts w:hint="eastAsia" w:ascii="仿宋_GB2312" w:hAnsi="仿宋_GB2312" w:cs="仿宋_GB2312"/>
          <w:color w:val="auto"/>
          <w:lang w:eastAsia="zh-CN"/>
        </w:rPr>
        <w:t>；</w:t>
      </w:r>
    </w:p>
    <w:p w14:paraId="321D503C">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3.北京市建设工程造价管理机构确定的其他分级分类监管措施。</w:t>
      </w:r>
    </w:p>
    <w:p w14:paraId="2AE1EBFD">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（三）对等级为中（C）的评价对象，以监督督促、行业自律为原则，按照常规比例、频次及内容进行抽查。</w:t>
      </w:r>
    </w:p>
    <w:p w14:paraId="5A068907">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（四）对等级为差（D）的评价对象，以强化监管、失信惩戒为原则，采取以下约束措施：</w:t>
      </w:r>
    </w:p>
    <w:p w14:paraId="32CF62A3">
      <w:pPr>
        <w:bidi w:val="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1.在日常监管中，列为重点监管对象，增</w:t>
      </w:r>
      <w:r>
        <w:rPr>
          <w:rFonts w:hint="eastAsia" w:ascii="仿宋_GB2312" w:hAnsi="仿宋_GB2312" w:cs="仿宋_GB2312"/>
          <w:color w:val="auto"/>
          <w:lang w:eastAsia="zh-CN"/>
        </w:rPr>
        <w:t>大</w:t>
      </w:r>
      <w:r>
        <w:rPr>
          <w:rFonts w:hint="eastAsia" w:ascii="仿宋_GB2312" w:hAnsi="仿宋_GB2312" w:eastAsia="仿宋_GB2312" w:cs="仿宋_GB2312"/>
          <w:color w:val="auto"/>
        </w:rPr>
        <w:t>监管</w:t>
      </w:r>
      <w:r>
        <w:rPr>
          <w:rFonts w:hint="eastAsia" w:ascii="仿宋_GB2312" w:hAnsi="仿宋_GB2312" w:cs="仿宋_GB2312"/>
          <w:color w:val="auto"/>
          <w:lang w:eastAsia="zh-CN"/>
        </w:rPr>
        <w:t>力度；</w:t>
      </w:r>
    </w:p>
    <w:p w14:paraId="47E19403">
      <w:pPr>
        <w:bidi w:val="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2.对失信行为进行惩戒</w:t>
      </w:r>
      <w:r>
        <w:rPr>
          <w:rFonts w:hint="eastAsia" w:ascii="仿宋_GB2312" w:hAnsi="仿宋_GB2312" w:cs="仿宋_GB2312"/>
          <w:color w:val="auto"/>
          <w:lang w:eastAsia="zh-CN"/>
        </w:rPr>
        <w:t>；</w:t>
      </w:r>
    </w:p>
    <w:p w14:paraId="2BE3CD6C">
      <w:pPr>
        <w:bidi w:val="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3.国家或本市规定的其他惩戒措施</w:t>
      </w:r>
      <w:r>
        <w:rPr>
          <w:rFonts w:hint="eastAsia" w:ascii="仿宋_GB2312" w:hAnsi="仿宋_GB2312" w:cs="仿宋_GB2312"/>
          <w:color w:val="auto"/>
          <w:lang w:eastAsia="zh-CN"/>
        </w:rPr>
        <w:t>；</w:t>
      </w:r>
    </w:p>
    <w:p w14:paraId="5EEB9C1C">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4.北京市建设工程造价管理机构确定的其他分级分类监管措施。</w:t>
      </w:r>
    </w:p>
    <w:p w14:paraId="18ACD703">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（五）对发生本办法第十三条所列情形之一的工程造价咨询企业，实行惩戒机制：</w:t>
      </w:r>
    </w:p>
    <w:p w14:paraId="1C3DE5D4">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1.</w:t>
      </w:r>
      <w:r>
        <w:rPr>
          <w:rFonts w:hint="eastAsia" w:ascii="仿宋_GB2312" w:hAnsi="仿宋_GB2312" w:cs="仿宋_GB2312"/>
          <w:color w:val="auto"/>
          <w:lang w:eastAsia="zh-CN"/>
        </w:rPr>
        <w:t>在本市行政区域内开展</w:t>
      </w:r>
      <w:r>
        <w:rPr>
          <w:rFonts w:hint="eastAsia" w:ascii="仿宋_GB2312" w:hAnsi="仿宋_GB2312" w:eastAsia="仿宋_GB2312" w:cs="仿宋_GB2312"/>
          <w:color w:val="auto"/>
        </w:rPr>
        <w:t>造价咨询业务的工程造价咨询企业，对其</w:t>
      </w:r>
      <w:r>
        <w:rPr>
          <w:rFonts w:hint="eastAsia" w:ascii="仿宋_GB2312" w:hAnsi="仿宋_GB2312" w:cs="仿宋_GB2312"/>
          <w:color w:val="auto"/>
          <w:lang w:eastAsia="zh-CN"/>
        </w:rPr>
        <w:t>出具的成果文件</w:t>
      </w:r>
      <w:r>
        <w:rPr>
          <w:rFonts w:hint="eastAsia" w:ascii="仿宋_GB2312" w:hAnsi="仿宋_GB2312" w:eastAsia="仿宋_GB2312" w:cs="仿宋_GB2312"/>
          <w:color w:val="auto"/>
        </w:rPr>
        <w:t>启动</w:t>
      </w:r>
      <w:r>
        <w:rPr>
          <w:rFonts w:hint="eastAsia" w:ascii="仿宋_GB2312" w:hAnsi="仿宋_GB2312" w:cs="仿宋_GB2312"/>
          <w:color w:val="auto"/>
          <w:lang w:eastAsia="zh-CN"/>
        </w:rPr>
        <w:t>重点抽查</w:t>
      </w:r>
      <w:r>
        <w:rPr>
          <w:rFonts w:hint="eastAsia" w:ascii="仿宋_GB2312" w:hAnsi="仿宋_GB2312" w:eastAsia="仿宋_GB2312" w:cs="仿宋_GB2312"/>
          <w:color w:val="auto"/>
        </w:rPr>
        <w:t>；</w:t>
      </w:r>
    </w:p>
    <w:p w14:paraId="29E2B006">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2.</w:t>
      </w:r>
      <w:r>
        <w:rPr>
          <w:rFonts w:hint="eastAsia" w:ascii="仿宋_GB2312" w:hAnsi="仿宋_GB2312" w:cs="仿宋_GB2312"/>
          <w:color w:val="auto"/>
          <w:lang w:eastAsia="zh-CN"/>
        </w:rPr>
        <w:t>其他</w:t>
      </w:r>
      <w:r>
        <w:rPr>
          <w:rFonts w:hint="eastAsia" w:ascii="仿宋_GB2312" w:hAnsi="仿宋_GB2312" w:eastAsia="仿宋_GB2312" w:cs="仿宋_GB2312"/>
          <w:color w:val="auto"/>
        </w:rPr>
        <w:t>工程造价咨询企业，将其信用信息情况函告</w:t>
      </w:r>
      <w:r>
        <w:rPr>
          <w:rFonts w:hint="eastAsia" w:ascii="仿宋_GB2312" w:hAnsi="仿宋_GB2312" w:cs="仿宋_GB2312"/>
          <w:color w:val="auto"/>
          <w:lang w:eastAsia="zh-CN"/>
        </w:rPr>
        <w:t>其住所地</w:t>
      </w:r>
      <w:r>
        <w:rPr>
          <w:rFonts w:hint="eastAsia" w:ascii="仿宋_GB2312" w:hAnsi="仿宋_GB2312" w:eastAsia="仿宋_GB2312" w:cs="仿宋_GB2312"/>
          <w:color w:val="auto"/>
        </w:rPr>
        <w:t>省级建设行政主管部门。</w:t>
      </w:r>
    </w:p>
    <w:p w14:paraId="1055C722">
      <w:pPr>
        <w:bidi w:val="0"/>
        <w:rPr>
          <w:rFonts w:hint="eastAsia" w:ascii="仿宋_GB2312" w:hAnsi="仿宋_GB2312" w:eastAsia="仿宋_GB2312" w:cs="仿宋_GB2312"/>
          <w:color w:val="auto"/>
        </w:rPr>
      </w:pPr>
      <w:r>
        <w:rPr>
          <w:rFonts w:hint="eastAsia" w:ascii="Calibri" w:hAnsi="Calibri" w:eastAsia="仿宋_GB2312" w:cs="Times New Roman"/>
          <w:b/>
          <w:bCs/>
          <w:color w:val="auto"/>
        </w:rPr>
        <w:t>第十八条</w:t>
      </w:r>
      <w:r>
        <w:rPr>
          <w:rFonts w:hint="eastAsia" w:ascii="仿宋_GB2312" w:hAnsi="仿宋_GB2312" w:eastAsia="仿宋_GB2312" w:cs="仿宋_GB2312"/>
          <w:color w:val="auto"/>
        </w:rPr>
        <w:t xml:space="preserve"> 对注册造价工程师实施差别化监管。</w:t>
      </w:r>
    </w:p>
    <w:p w14:paraId="34B482CC">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（一）对等级为优（A）级的评价对象，以自律为主、守信激励为原则，采取以下激励措施（法律法规另有规定的除外）：</w:t>
      </w:r>
    </w:p>
    <w:p w14:paraId="3A047CC8">
      <w:pPr>
        <w:bidi w:val="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1.在日常监管中大幅减少检查比例、频次和内容</w:t>
      </w:r>
      <w:r>
        <w:rPr>
          <w:rFonts w:hint="eastAsia" w:ascii="仿宋_GB2312" w:hAnsi="仿宋_GB2312" w:cs="仿宋_GB2312"/>
          <w:color w:val="auto"/>
          <w:lang w:eastAsia="zh-CN"/>
        </w:rPr>
        <w:t>；</w:t>
      </w:r>
    </w:p>
    <w:p w14:paraId="7FEA4BA9">
      <w:pPr>
        <w:bidi w:val="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2.国家或本市规定的其他激励措施</w:t>
      </w:r>
      <w:r>
        <w:rPr>
          <w:rFonts w:hint="eastAsia" w:ascii="仿宋_GB2312" w:hAnsi="仿宋_GB2312" w:cs="仿宋_GB2312"/>
          <w:color w:val="auto"/>
          <w:lang w:eastAsia="zh-CN"/>
        </w:rPr>
        <w:t>；</w:t>
      </w:r>
    </w:p>
    <w:p w14:paraId="0E650AA2">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3.北京市建设工程造价管理机构确定的其他分级分类监管措施。</w:t>
      </w:r>
    </w:p>
    <w:p w14:paraId="04C912FF">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（二）对等级为良（B）级的评价对象，以监管和自律兼顾、适度激励为原则，采取以下激励措施（法律法规另有规定的除外）：</w:t>
      </w:r>
    </w:p>
    <w:p w14:paraId="7701DE21">
      <w:pPr>
        <w:bidi w:val="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1.在日常监管中适当减少检查比例、频次和内容</w:t>
      </w:r>
      <w:r>
        <w:rPr>
          <w:rFonts w:hint="eastAsia" w:ascii="仿宋_GB2312" w:hAnsi="仿宋_GB2312" w:cs="仿宋_GB2312"/>
          <w:color w:val="auto"/>
          <w:lang w:eastAsia="zh-CN"/>
        </w:rPr>
        <w:t>；</w:t>
      </w:r>
    </w:p>
    <w:p w14:paraId="00804F41">
      <w:pPr>
        <w:bidi w:val="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2.国家或本市规定的其他激励措施</w:t>
      </w:r>
      <w:r>
        <w:rPr>
          <w:rFonts w:hint="eastAsia" w:ascii="仿宋_GB2312" w:hAnsi="仿宋_GB2312" w:cs="仿宋_GB2312"/>
          <w:color w:val="auto"/>
          <w:lang w:eastAsia="zh-CN"/>
        </w:rPr>
        <w:t>；</w:t>
      </w:r>
    </w:p>
    <w:p w14:paraId="324CAAB8">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3.北京市建设工程造价管理机构确定的其他分级分类监管措施。</w:t>
      </w:r>
    </w:p>
    <w:p w14:paraId="3C1B967D">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（三）对等级为中（C）的评价对象，以监督督促、行业自律为原则，按照常规比例、频次及内容进行抽查。</w:t>
      </w:r>
    </w:p>
    <w:p w14:paraId="14AF46FB">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（四）对等级为差（D）的评价对象，以强化监管、失信惩戒为原则，采取以下约束措施：</w:t>
      </w:r>
    </w:p>
    <w:p w14:paraId="76E23F4A">
      <w:pPr>
        <w:bidi w:val="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1.在日常监管中，列为重点监管对象，加</w:t>
      </w:r>
      <w:r>
        <w:rPr>
          <w:rFonts w:hint="eastAsia" w:ascii="仿宋_GB2312" w:hAnsi="仿宋_GB2312" w:cs="仿宋_GB2312"/>
          <w:color w:val="auto"/>
          <w:lang w:eastAsia="zh-CN"/>
        </w:rPr>
        <w:t>大</w:t>
      </w:r>
      <w:r>
        <w:rPr>
          <w:rFonts w:hint="eastAsia" w:ascii="仿宋_GB2312" w:hAnsi="仿宋_GB2312" w:eastAsia="仿宋_GB2312" w:cs="仿宋_GB2312"/>
          <w:color w:val="auto"/>
        </w:rPr>
        <w:t>监管</w:t>
      </w:r>
      <w:r>
        <w:rPr>
          <w:rFonts w:hint="eastAsia" w:ascii="仿宋_GB2312" w:hAnsi="仿宋_GB2312" w:cs="仿宋_GB2312"/>
          <w:color w:val="auto"/>
          <w:lang w:eastAsia="zh-CN"/>
        </w:rPr>
        <w:t>力度；</w:t>
      </w:r>
    </w:p>
    <w:p w14:paraId="69BED5BF">
      <w:pPr>
        <w:bidi w:val="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2.对失信行为进行惩戒</w:t>
      </w:r>
      <w:r>
        <w:rPr>
          <w:rFonts w:hint="eastAsia" w:ascii="仿宋_GB2312" w:hAnsi="仿宋_GB2312" w:cs="仿宋_GB2312"/>
          <w:color w:val="auto"/>
          <w:lang w:eastAsia="zh-CN"/>
        </w:rPr>
        <w:t>；</w:t>
      </w:r>
    </w:p>
    <w:p w14:paraId="5CA0CAC3">
      <w:pPr>
        <w:bidi w:val="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3.国家或本市规定的其他惩戒措施</w:t>
      </w:r>
      <w:r>
        <w:rPr>
          <w:rFonts w:hint="eastAsia" w:ascii="仿宋_GB2312" w:hAnsi="仿宋_GB2312" w:cs="仿宋_GB2312"/>
          <w:color w:val="auto"/>
          <w:lang w:eastAsia="zh-CN"/>
        </w:rPr>
        <w:t>；</w:t>
      </w:r>
    </w:p>
    <w:p w14:paraId="0E6E31AB">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4.北京市建设工程造价管理机构确定的其他分级分类监管措施。</w:t>
      </w:r>
    </w:p>
    <w:p w14:paraId="62AFEDAE">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（五）对发生本办法第十四条所列情形之一的注册造价工程师，实行惩戒机制：</w:t>
      </w:r>
    </w:p>
    <w:p w14:paraId="0792502C">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1.</w:t>
      </w:r>
      <w:r>
        <w:rPr>
          <w:rFonts w:hint="eastAsia" w:ascii="仿宋_GB2312" w:hAnsi="仿宋_GB2312" w:cs="仿宋_GB2312"/>
          <w:color w:val="auto"/>
          <w:lang w:eastAsia="zh-CN"/>
        </w:rPr>
        <w:t>在本市造价咨询企业注册执业</w:t>
      </w:r>
      <w:r>
        <w:rPr>
          <w:rFonts w:hint="eastAsia" w:ascii="仿宋_GB2312" w:hAnsi="仿宋_GB2312" w:eastAsia="仿宋_GB2312" w:cs="仿宋_GB2312"/>
          <w:color w:val="auto"/>
        </w:rPr>
        <w:t>的，重新核查个人注册资格，经核查达不到注册资格条件的，责令限期改正</w:t>
      </w:r>
      <w:r>
        <w:rPr>
          <w:rFonts w:hint="eastAsia" w:ascii="仿宋_GB2312" w:hAnsi="仿宋_GB2312" w:cs="仿宋_GB2312"/>
          <w:color w:val="auto"/>
          <w:lang w:eastAsia="zh-CN"/>
        </w:rPr>
        <w:t>，</w:t>
      </w:r>
      <w:r>
        <w:rPr>
          <w:rFonts w:hint="eastAsia" w:ascii="仿宋_GB2312" w:hAnsi="仿宋_GB2312" w:eastAsia="仿宋_GB2312" w:cs="仿宋_GB2312"/>
          <w:color w:val="auto"/>
        </w:rPr>
        <w:t>逾期不改或者整改不达标的，依法进行处理；</w:t>
      </w:r>
    </w:p>
    <w:p w14:paraId="6176964F">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2.本市以外的，将其评价结果函告个人资格注册所在地建设行政主管部门。</w:t>
      </w:r>
    </w:p>
    <w:p w14:paraId="244DDC77">
      <w:pPr>
        <w:bidi w:val="0"/>
        <w:rPr>
          <w:rFonts w:hint="eastAsia" w:ascii="仿宋_GB2312" w:hAnsi="仿宋_GB2312" w:eastAsia="仿宋_GB2312" w:cs="仿宋_GB2312"/>
          <w:color w:val="auto"/>
        </w:rPr>
      </w:pPr>
      <w:r>
        <w:rPr>
          <w:rFonts w:hint="eastAsia" w:ascii="Calibri" w:hAnsi="Calibri" w:eastAsia="仿宋_GB2312" w:cs="Times New Roman"/>
          <w:b/>
          <w:bCs/>
          <w:color w:val="auto"/>
        </w:rPr>
        <w:t>第</w:t>
      </w:r>
      <w:r>
        <w:rPr>
          <w:rFonts w:hint="eastAsia" w:cs="Times New Roman"/>
          <w:b/>
          <w:bCs/>
          <w:color w:val="auto"/>
          <w:lang w:eastAsia="zh-CN"/>
        </w:rPr>
        <w:t>十九</w:t>
      </w:r>
      <w:r>
        <w:rPr>
          <w:rFonts w:hint="eastAsia" w:ascii="Calibri" w:hAnsi="Calibri" w:eastAsia="仿宋_GB2312" w:cs="Times New Roman"/>
          <w:b/>
          <w:bCs/>
          <w:color w:val="auto"/>
        </w:rPr>
        <w:t xml:space="preserve">条 </w:t>
      </w:r>
      <w:r>
        <w:rPr>
          <w:rFonts w:hint="eastAsia" w:ascii="仿宋_GB2312" w:hAnsi="仿宋_GB2312" w:eastAsia="仿宋_GB2312" w:cs="仿宋_GB2312"/>
          <w:color w:val="auto"/>
        </w:rPr>
        <w:t>鼓励各级党政机关及建筑市场各方主体在从事与工程建设相关活动中查询、应用工程造价咨询企业及其注册造价工程师信用评价结果。</w:t>
      </w:r>
    </w:p>
    <w:p w14:paraId="7DBECE92">
      <w:pPr>
        <w:pStyle w:val="4"/>
        <w:bidi w:val="0"/>
        <w:rPr>
          <w:rFonts w:hint="eastAsia"/>
          <w:color w:val="auto"/>
        </w:rPr>
      </w:pPr>
      <w:r>
        <w:rPr>
          <w:rFonts w:hint="eastAsia"/>
          <w:color w:val="auto"/>
        </w:rPr>
        <w:t>责任处理</w:t>
      </w:r>
    </w:p>
    <w:p w14:paraId="1D2A9444">
      <w:pPr>
        <w:bidi w:val="0"/>
        <w:rPr>
          <w:rFonts w:hint="eastAsia"/>
          <w:color w:val="auto"/>
        </w:rPr>
      </w:pPr>
      <w:r>
        <w:rPr>
          <w:rFonts w:hint="eastAsia"/>
          <w:b/>
          <w:bCs/>
          <w:color w:val="auto"/>
        </w:rPr>
        <w:t>第二十条</w:t>
      </w:r>
      <w:r>
        <w:rPr>
          <w:rFonts w:hint="eastAsia"/>
          <w:color w:val="auto"/>
        </w:rPr>
        <w:t xml:space="preserve"> 工程造价咨询企业及其注册造价工程师违反本办法，提供虚假信用信息的，依法进行处理，并记入不良信息。</w:t>
      </w:r>
    </w:p>
    <w:p w14:paraId="21353277">
      <w:pPr>
        <w:bidi w:val="0"/>
        <w:rPr>
          <w:rFonts w:hint="eastAsia"/>
          <w:color w:val="auto"/>
        </w:rPr>
      </w:pPr>
      <w:r>
        <w:rPr>
          <w:rFonts w:hint="eastAsia"/>
          <w:b/>
          <w:bCs/>
          <w:color w:val="auto"/>
        </w:rPr>
        <w:t>第二十</w:t>
      </w:r>
      <w:r>
        <w:rPr>
          <w:rFonts w:hint="eastAsia"/>
          <w:b/>
          <w:bCs/>
          <w:color w:val="auto"/>
          <w:lang w:eastAsia="zh-CN"/>
        </w:rPr>
        <w:t>一</w:t>
      </w:r>
      <w:r>
        <w:rPr>
          <w:rFonts w:hint="eastAsia"/>
          <w:b/>
          <w:bCs/>
          <w:color w:val="auto"/>
        </w:rPr>
        <w:t>条</w:t>
      </w:r>
      <w:r>
        <w:rPr>
          <w:rFonts w:hint="eastAsia"/>
          <w:color w:val="auto"/>
        </w:rPr>
        <w:t xml:space="preserve"> 市住房城乡建设委工作人员有下列情形之一的，经调查属实后，由有权机关依法处理：</w:t>
      </w:r>
    </w:p>
    <w:p w14:paraId="766D0E7D">
      <w:pPr>
        <w:bidi w:val="0"/>
        <w:rPr>
          <w:rFonts w:hint="eastAsia" w:eastAsia="仿宋_GB2312"/>
          <w:color w:val="auto"/>
          <w:lang w:eastAsia="zh-CN"/>
        </w:rPr>
      </w:pPr>
      <w:r>
        <w:rPr>
          <w:rFonts w:hint="eastAsia"/>
          <w:color w:val="auto"/>
        </w:rPr>
        <w:t>（一）以不正当手段归集信用信息的</w:t>
      </w:r>
      <w:r>
        <w:rPr>
          <w:rFonts w:hint="eastAsia"/>
          <w:color w:val="auto"/>
          <w:lang w:eastAsia="zh-CN"/>
        </w:rPr>
        <w:t>；</w:t>
      </w:r>
    </w:p>
    <w:p w14:paraId="380CA799">
      <w:pPr>
        <w:bidi w:val="0"/>
        <w:rPr>
          <w:rFonts w:hint="eastAsia"/>
          <w:color w:val="auto"/>
        </w:rPr>
      </w:pPr>
      <w:r>
        <w:rPr>
          <w:rFonts w:hint="eastAsia"/>
          <w:color w:val="auto"/>
        </w:rPr>
        <w:t>（二）虚构、篡改或者违规删除信用信息的；</w:t>
      </w:r>
    </w:p>
    <w:p w14:paraId="12260DEF">
      <w:pPr>
        <w:bidi w:val="0"/>
        <w:rPr>
          <w:rFonts w:hint="eastAsia"/>
          <w:color w:val="auto"/>
        </w:rPr>
      </w:pPr>
      <w:r>
        <w:rPr>
          <w:rFonts w:hint="eastAsia"/>
          <w:color w:val="auto"/>
        </w:rPr>
        <w:t>（三）擅自查询或者越权查询信用信息的；</w:t>
      </w:r>
    </w:p>
    <w:p w14:paraId="230BE62D">
      <w:pPr>
        <w:bidi w:val="0"/>
        <w:rPr>
          <w:rFonts w:hint="eastAsia"/>
          <w:color w:val="auto"/>
        </w:rPr>
      </w:pPr>
      <w:r>
        <w:rPr>
          <w:rFonts w:hint="eastAsia"/>
          <w:color w:val="auto"/>
        </w:rPr>
        <w:t>（四）违规披露或者泄露信用信息等依法应予追究的其他情形。</w:t>
      </w:r>
    </w:p>
    <w:p w14:paraId="5F3D19C4">
      <w:pPr>
        <w:pStyle w:val="4"/>
        <w:bidi w:val="0"/>
        <w:rPr>
          <w:rFonts w:hint="eastAsia"/>
          <w:color w:val="auto"/>
        </w:rPr>
      </w:pPr>
      <w:r>
        <w:rPr>
          <w:rFonts w:hint="eastAsia"/>
          <w:color w:val="auto"/>
        </w:rPr>
        <w:t>附则</w:t>
      </w:r>
    </w:p>
    <w:p w14:paraId="13D19714">
      <w:pPr>
        <w:bidi w:val="0"/>
        <w:rPr>
          <w:rFonts w:hint="eastAsia"/>
          <w:color w:val="auto"/>
        </w:rPr>
      </w:pPr>
      <w:r>
        <w:rPr>
          <w:rFonts w:hint="eastAsia"/>
          <w:b/>
          <w:bCs/>
          <w:color w:val="auto"/>
        </w:rPr>
        <w:t>第二十</w:t>
      </w:r>
      <w:r>
        <w:rPr>
          <w:rFonts w:hint="eastAsia"/>
          <w:b/>
          <w:bCs/>
          <w:color w:val="auto"/>
          <w:lang w:eastAsia="zh-CN"/>
        </w:rPr>
        <w:t>二</w:t>
      </w:r>
      <w:r>
        <w:rPr>
          <w:rFonts w:hint="eastAsia"/>
          <w:b/>
          <w:bCs/>
          <w:color w:val="auto"/>
        </w:rPr>
        <w:t xml:space="preserve">条 </w:t>
      </w:r>
      <w:r>
        <w:rPr>
          <w:rFonts w:hint="eastAsia"/>
          <w:color w:val="auto"/>
        </w:rPr>
        <w:t>注册在非工程造价咨询企业等其他市场主体的注册造价工程师，信用信息参照本办法管理。</w:t>
      </w:r>
    </w:p>
    <w:p w14:paraId="02DC2439">
      <w:pPr>
        <w:bidi w:val="0"/>
        <w:rPr>
          <w:rFonts w:hint="eastAsia" w:ascii="仿宋_GB2312" w:hAnsi="仿宋_GB2312" w:cs="仿宋_GB2312"/>
          <w:color w:val="auto"/>
        </w:rPr>
      </w:pPr>
      <w:r>
        <w:rPr>
          <w:rFonts w:hint="eastAsia"/>
          <w:b/>
          <w:bCs/>
          <w:color w:val="auto"/>
        </w:rPr>
        <w:t>第二十</w:t>
      </w:r>
      <w:r>
        <w:rPr>
          <w:rFonts w:hint="eastAsia"/>
          <w:b/>
          <w:bCs/>
          <w:color w:val="auto"/>
          <w:lang w:eastAsia="zh-CN"/>
        </w:rPr>
        <w:t>三</w:t>
      </w:r>
      <w:r>
        <w:rPr>
          <w:rFonts w:hint="eastAsia"/>
          <w:b/>
          <w:bCs/>
          <w:color w:val="auto"/>
        </w:rPr>
        <w:t>条</w:t>
      </w:r>
      <w:r>
        <w:rPr>
          <w:rFonts w:hint="eastAsia"/>
          <w:color w:val="auto"/>
        </w:rPr>
        <w:t xml:space="preserve"> 本办法自 年 月 日起施行。</w:t>
      </w:r>
      <w:r>
        <w:rPr>
          <w:rFonts w:hint="eastAsia" w:ascii="Calibri" w:eastAsia="仿宋_GB2312"/>
          <w:color w:val="auto"/>
          <w:sz w:val="32"/>
          <w:szCs w:val="24"/>
        </w:rPr>
        <w:t>市住房城乡建设委</w:t>
      </w:r>
      <w:r>
        <w:rPr>
          <w:rFonts w:hint="eastAsia" w:ascii="仿宋_GB2312" w:hAnsi="仿宋_GB2312" w:eastAsia="仿宋_GB2312" w:cs="仿宋_GB2312"/>
          <w:color w:val="auto"/>
          <w:kern w:val="2"/>
          <w:sz w:val="32"/>
          <w:szCs w:val="24"/>
          <w:lang w:eastAsia="zh-CN"/>
        </w:rPr>
        <w:t>2017年12月27日</w:t>
      </w:r>
      <w:r>
        <w:rPr>
          <w:rFonts w:hint="eastAsia" w:ascii="仿宋_GB2312" w:hAnsi="仿宋_GB2312" w:cs="仿宋_GB2312"/>
          <w:color w:val="auto"/>
        </w:rPr>
        <w:t>发布的《</w:t>
      </w:r>
      <w:r>
        <w:rPr>
          <w:rFonts w:hint="eastAsia" w:ascii="仿宋_GB2312" w:hAnsi="仿宋_GB2312" w:eastAsia="仿宋_GB2312" w:cs="仿宋_GB2312"/>
          <w:color w:val="auto"/>
          <w:sz w:val="32"/>
          <w:szCs w:val="24"/>
        </w:rPr>
        <w:t>北京市工程造价咨询企业及其注册造价工程师市场行为信用评价管理暂行办法</w:t>
      </w:r>
      <w:r>
        <w:rPr>
          <w:rFonts w:hint="eastAsia" w:ascii="仿宋_GB2312" w:hAnsi="仿宋_GB2312" w:cs="仿宋_GB2312"/>
          <w:color w:val="auto"/>
        </w:rPr>
        <w:t>》（</w:t>
      </w:r>
      <w:r>
        <w:rPr>
          <w:rFonts w:hint="eastAsia" w:ascii="仿宋_GB2312" w:hAnsi="仿宋_GB2312" w:eastAsia="仿宋_GB2312" w:cs="仿宋_GB2312"/>
          <w:color w:val="000000"/>
          <w:sz w:val="32"/>
          <w:szCs w:val="24"/>
          <w:lang w:val="zh-CN"/>
        </w:rPr>
        <w:t>京建法〔2017〕28号</w:t>
      </w:r>
      <w:r>
        <w:rPr>
          <w:rFonts w:hint="eastAsia" w:ascii="仿宋_GB2312" w:hAnsi="仿宋_GB2312" w:cs="仿宋_GB2312"/>
          <w:color w:val="auto"/>
        </w:rPr>
        <w:t>）同时废止。</w:t>
      </w:r>
    </w:p>
    <w:p w14:paraId="50E8ED7E">
      <w:pPr>
        <w:widowControl/>
        <w:spacing w:line="560" w:lineRule="exact"/>
        <w:jc w:val="left"/>
        <w:outlineLvl w:val="0"/>
        <w:rPr>
          <w:rFonts w:hint="eastAsia" w:ascii="黑体" w:hAnsi="宋体" w:eastAsia="黑体"/>
          <w:bCs/>
          <w:color w:val="auto"/>
          <w:sz w:val="32"/>
          <w:szCs w:val="32"/>
        </w:rPr>
      </w:pPr>
    </w:p>
    <w:p w14:paraId="4F729C0F">
      <w:pPr>
        <w:bidi w:val="0"/>
        <w:ind w:left="0" w:leftChars="0" w:firstLine="0" w:firstLineChars="0"/>
        <w:rPr>
          <w:rFonts w:hint="eastAsia" w:ascii="仿宋_GB2312" w:hAnsi="仿宋_GB2312" w:eastAsia="仿宋_GB2312" w:cs="仿宋_GB2312"/>
          <w:color w:val="auto"/>
        </w:rPr>
      </w:pPr>
      <w:r>
        <w:rPr>
          <w:rFonts w:hint="eastAsia" w:ascii="仿宋_GB2312" w:hAnsi="仿宋_GB2312" w:eastAsia="仿宋_GB2312" w:cs="仿宋_GB2312"/>
          <w:color w:val="auto"/>
        </w:rPr>
        <w:t>附件：1.北京市工程造价咨询企业信用</w:t>
      </w:r>
      <w:r>
        <w:rPr>
          <w:rFonts w:hint="eastAsia" w:ascii="仿宋_GB2312" w:hAnsi="仿宋_GB2312" w:eastAsia="仿宋_GB2312" w:cs="仿宋_GB2312"/>
          <w:color w:val="auto"/>
          <w:lang w:eastAsia="zh-CN"/>
        </w:rPr>
        <w:t>信息</w:t>
      </w:r>
      <w:r>
        <w:rPr>
          <w:rFonts w:hint="eastAsia" w:ascii="仿宋_GB2312" w:hAnsi="仿宋_GB2312" w:eastAsia="仿宋_GB2312" w:cs="仿宋_GB2312"/>
          <w:color w:val="auto"/>
        </w:rPr>
        <w:t>评价标准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2025版</w:t>
      </w:r>
      <w:r>
        <w:rPr>
          <w:rFonts w:hint="eastAsia" w:ascii="仿宋_GB2312" w:hAnsi="仿宋_GB2312" w:eastAsia="仿宋_GB2312" w:cs="仿宋_GB2312"/>
          <w:color w:val="auto"/>
          <w:lang w:eastAsia="zh-CN"/>
        </w:rPr>
        <w:t>）</w:t>
      </w:r>
    </w:p>
    <w:p w14:paraId="050D148C">
      <w:pPr>
        <w:bidi w:val="0"/>
        <w:ind w:left="1280" w:leftChars="300" w:hanging="320" w:hangingChars="10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2.北京市工程造价咨询企业中注册造价工程师信用</w:t>
      </w:r>
      <w:r>
        <w:rPr>
          <w:rFonts w:hint="eastAsia" w:ascii="仿宋_GB2312" w:hAnsi="仿宋_GB2312" w:eastAsia="仿宋_GB2312" w:cs="仿宋_GB2312"/>
          <w:color w:val="auto"/>
          <w:lang w:eastAsia="zh-CN"/>
        </w:rPr>
        <w:t>信息评价标准（</w:t>
      </w:r>
      <w:r>
        <w:rPr>
          <w:rFonts w:hint="eastAsia" w:ascii="仿宋_GB2312" w:hAnsi="仿宋_GB2312" w:eastAsia="仿宋_GB2312" w:cs="仿宋_GB2312"/>
          <w:color w:val="auto"/>
          <w:lang w:val="en-US" w:eastAsia="zh-CN"/>
        </w:rPr>
        <w:t>2025版</w:t>
      </w:r>
      <w:r>
        <w:rPr>
          <w:rFonts w:hint="eastAsia" w:ascii="仿宋_GB2312" w:hAnsi="仿宋_GB2312" w:eastAsia="仿宋_GB2312" w:cs="仿宋_GB2312"/>
          <w:color w:val="auto"/>
          <w:lang w:eastAsia="zh-CN"/>
        </w:rPr>
        <w:t>）</w:t>
      </w:r>
    </w:p>
    <w:p w14:paraId="6110A3DE">
      <w:pPr>
        <w:bidi w:val="0"/>
        <w:ind w:left="1280" w:leftChars="300" w:hanging="320" w:hangingChars="100"/>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北京市工程造价咨询企业</w:t>
      </w:r>
      <w:r>
        <w:rPr>
          <w:rFonts w:hint="eastAsia" w:ascii="仿宋_GB2312" w:hAnsi="仿宋_GB2312" w:eastAsia="仿宋_GB2312" w:cs="仿宋_GB2312"/>
          <w:color w:val="auto"/>
          <w:lang w:eastAsia="zh-CN"/>
        </w:rPr>
        <w:t>及其</w:t>
      </w:r>
      <w:r>
        <w:rPr>
          <w:rFonts w:hint="eastAsia" w:ascii="仿宋_GB2312" w:hAnsi="仿宋_GB2312" w:eastAsia="仿宋_GB2312" w:cs="仿宋_GB2312"/>
          <w:color w:val="auto"/>
        </w:rPr>
        <w:t>注册造价工程师</w:t>
      </w:r>
      <w:r>
        <w:rPr>
          <w:rFonts w:hint="eastAsia" w:ascii="仿宋_GB2312" w:hAnsi="仿宋_GB2312" w:eastAsia="仿宋_GB2312" w:cs="仿宋_GB2312"/>
          <w:color w:val="auto"/>
          <w:lang w:eastAsia="zh-CN"/>
        </w:rPr>
        <w:t>信用信息等级</w:t>
      </w:r>
      <w:r>
        <w:rPr>
          <w:rFonts w:hint="eastAsia" w:ascii="仿宋_GB2312" w:hAnsi="仿宋_GB2312" w:eastAsia="仿宋_GB2312" w:cs="仿宋_GB2312"/>
          <w:color w:val="auto"/>
          <w:lang w:val="en-US" w:eastAsia="zh-CN"/>
        </w:rPr>
        <w:t>划分标准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2025版</w:t>
      </w:r>
      <w:r>
        <w:rPr>
          <w:rFonts w:hint="eastAsia" w:ascii="仿宋_GB2312" w:hAnsi="仿宋_GB2312" w:eastAsia="仿宋_GB2312" w:cs="仿宋_GB2312"/>
          <w:color w:val="auto"/>
          <w:lang w:eastAsia="zh-CN"/>
        </w:rPr>
        <w:t>）</w:t>
      </w:r>
    </w:p>
    <w:p w14:paraId="1EC30721">
      <w:pPr>
        <w:widowControl/>
        <w:spacing w:before="100" w:beforeAutospacing="1" w:after="100" w:afterAutospacing="1" w:line="560" w:lineRule="exact"/>
        <w:ind w:firstLine="480" w:firstLineChars="200"/>
        <w:jc w:val="left"/>
        <w:rPr>
          <w:rFonts w:hint="default" w:ascii="宋体" w:hAnsi="宋体" w:eastAsia="宋体" w:cs="宋体"/>
          <w:color w:val="auto"/>
          <w:kern w:val="0"/>
          <w:sz w:val="24"/>
          <w:lang w:val="en-US" w:eastAsia="zh-CN"/>
        </w:rPr>
        <w:sectPr>
          <w:footerReference r:id="rId5" w:type="default"/>
          <w:pgSz w:w="11906" w:h="16838"/>
          <w:pgMar w:top="1701" w:right="1474" w:bottom="1701" w:left="1587" w:header="851" w:footer="1134" w:gutter="0"/>
          <w:pgNumType w:fmt="numberInDash"/>
          <w:cols w:space="720" w:num="1"/>
          <w:docGrid w:type="lines" w:linePitch="312" w:charSpace="0"/>
        </w:sectPr>
      </w:pPr>
      <w:r>
        <w:rPr>
          <w:rFonts w:hint="eastAsia" w:ascii="宋体" w:hAnsi="宋体" w:cs="宋体"/>
          <w:color w:val="auto"/>
          <w:kern w:val="0"/>
          <w:sz w:val="24"/>
          <w:lang w:val="en-US" w:eastAsia="zh-CN"/>
        </w:rPr>
        <w:t xml:space="preserve">   </w:t>
      </w:r>
    </w:p>
    <w:p w14:paraId="0C1E61C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0" w:firstLine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附件1</w:t>
      </w:r>
    </w:p>
    <w:p w14:paraId="6E7263F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firstLine="0" w:firstLineChars="0"/>
        <w:jc w:val="center"/>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rPr>
        <w:t>北京市工程造价咨询企业</w:t>
      </w:r>
      <w:r>
        <w:rPr>
          <w:rFonts w:hint="eastAsia" w:ascii="黑体" w:hAnsi="黑体" w:eastAsia="黑体" w:cs="黑体"/>
          <w:b w:val="0"/>
          <w:bCs w:val="0"/>
          <w:color w:val="auto"/>
          <w:kern w:val="0"/>
          <w:sz w:val="32"/>
          <w:szCs w:val="32"/>
          <w:lang w:eastAsia="zh-CN"/>
        </w:rPr>
        <w:t>信用信息评价</w:t>
      </w:r>
      <w:r>
        <w:rPr>
          <w:rFonts w:hint="eastAsia" w:ascii="黑体" w:hAnsi="黑体" w:eastAsia="黑体" w:cs="黑体"/>
          <w:b w:val="0"/>
          <w:bCs w:val="0"/>
          <w:color w:val="auto"/>
          <w:kern w:val="0"/>
          <w:sz w:val="32"/>
          <w:szCs w:val="32"/>
        </w:rPr>
        <w:t>标准</w:t>
      </w:r>
      <w:r>
        <w:rPr>
          <w:rFonts w:hint="eastAsia" w:ascii="黑体" w:hAnsi="黑体" w:eastAsia="黑体" w:cs="黑体"/>
          <w:b w:val="0"/>
          <w:bCs w:val="0"/>
          <w:color w:val="auto"/>
          <w:kern w:val="0"/>
          <w:sz w:val="32"/>
          <w:szCs w:val="32"/>
          <w:lang w:eastAsia="zh-CN"/>
        </w:rPr>
        <w:t>（</w:t>
      </w:r>
      <w:r>
        <w:rPr>
          <w:rFonts w:hint="eastAsia" w:ascii="黑体" w:hAnsi="黑体" w:eastAsia="黑体" w:cs="黑体"/>
          <w:b w:val="0"/>
          <w:bCs w:val="0"/>
          <w:color w:val="auto"/>
          <w:kern w:val="0"/>
          <w:sz w:val="32"/>
          <w:szCs w:val="32"/>
          <w:lang w:val="en-US" w:eastAsia="zh-CN"/>
        </w:rPr>
        <w:t>2025版</w:t>
      </w:r>
      <w:r>
        <w:rPr>
          <w:rFonts w:hint="eastAsia" w:ascii="黑体" w:hAnsi="黑体" w:eastAsia="黑体" w:cs="黑体"/>
          <w:b w:val="0"/>
          <w:bCs w:val="0"/>
          <w:color w:val="auto"/>
          <w:kern w:val="0"/>
          <w:sz w:val="32"/>
          <w:szCs w:val="32"/>
          <w:lang w:eastAsia="zh-CN"/>
        </w:rPr>
        <w:t>）</w:t>
      </w:r>
    </w:p>
    <w:tbl>
      <w:tblPr>
        <w:tblStyle w:val="11"/>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983"/>
        <w:gridCol w:w="1182"/>
        <w:gridCol w:w="3500"/>
        <w:gridCol w:w="2632"/>
      </w:tblGrid>
      <w:tr w14:paraId="4742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77" w:type="dxa"/>
            <w:tcBorders>
              <w:top w:val="single" w:color="auto" w:sz="4" w:space="0"/>
              <w:left w:val="single" w:color="auto" w:sz="4" w:space="0"/>
              <w:bottom w:val="single" w:color="auto" w:sz="4" w:space="0"/>
              <w:right w:val="single" w:color="auto" w:sz="4" w:space="0"/>
            </w:tcBorders>
            <w:noWrap w:val="0"/>
            <w:vAlign w:val="center"/>
          </w:tcPr>
          <w:p w14:paraId="46DC044D">
            <w:pPr>
              <w:widowControl/>
              <w:spacing w:line="400" w:lineRule="exact"/>
              <w:ind w:left="-160" w:leftChars="-50" w:right="-156" w:rightChars="-49" w:firstLine="0" w:firstLineChars="0"/>
              <w:jc w:val="center"/>
              <w:rPr>
                <w:rFonts w:hint="eastAsia" w:ascii="仿宋_GB2312" w:hAnsi="仿宋_GB2312" w:eastAsia="仿宋_GB2312" w:cs="仿宋_GB2312"/>
                <w:b/>
                <w:bCs/>
                <w:color w:val="auto"/>
                <w:kern w:val="0"/>
                <w:sz w:val="24"/>
              </w:rPr>
            </w:pPr>
            <w:bookmarkStart w:id="0" w:name="_Hlk104669098"/>
          </w:p>
        </w:tc>
        <w:tc>
          <w:tcPr>
            <w:tcW w:w="983" w:type="dxa"/>
            <w:tcBorders>
              <w:top w:val="single" w:color="auto" w:sz="4" w:space="0"/>
              <w:left w:val="single" w:color="auto" w:sz="4" w:space="0"/>
              <w:bottom w:val="single" w:color="auto" w:sz="4" w:space="0"/>
              <w:right w:val="single" w:color="auto" w:sz="4" w:space="0"/>
            </w:tcBorders>
            <w:noWrap w:val="0"/>
            <w:vAlign w:val="center"/>
          </w:tcPr>
          <w:p w14:paraId="49984E8B">
            <w:pPr>
              <w:widowControl/>
              <w:spacing w:line="400" w:lineRule="exact"/>
              <w:ind w:left="-1" w:leftChars="-12" w:right="-70" w:rightChars="-22" w:hanging="37" w:hangingChars="18"/>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信息类别</w:t>
            </w:r>
          </w:p>
        </w:tc>
        <w:tc>
          <w:tcPr>
            <w:tcW w:w="4682" w:type="dxa"/>
            <w:gridSpan w:val="2"/>
            <w:tcBorders>
              <w:top w:val="single" w:color="auto" w:sz="4" w:space="0"/>
              <w:left w:val="single" w:color="auto" w:sz="4" w:space="0"/>
              <w:bottom w:val="single" w:color="auto" w:sz="4" w:space="0"/>
              <w:right w:val="single" w:color="auto" w:sz="4" w:space="0"/>
            </w:tcBorders>
            <w:noWrap w:val="0"/>
            <w:vAlign w:val="center"/>
          </w:tcPr>
          <w:p w14:paraId="13BB37F6">
            <w:pPr>
              <w:widowControl/>
              <w:spacing w:line="400" w:lineRule="exact"/>
              <w:ind w:left="-160" w:leftChars="-50" w:right="-160" w:rightChars="-50" w:firstLine="420" w:firstLineChars="20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评价项目</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7B76E252">
            <w:pPr>
              <w:widowControl/>
              <w:spacing w:line="400" w:lineRule="exact"/>
              <w:ind w:left="0" w:leftChars="0" w:right="-160" w:rightChars="-5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分值</w:t>
            </w:r>
          </w:p>
        </w:tc>
      </w:tr>
      <w:tr w14:paraId="5F18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7" w:type="dxa"/>
            <w:vMerge w:val="restart"/>
            <w:tcBorders>
              <w:top w:val="single" w:color="auto" w:sz="4" w:space="0"/>
              <w:left w:val="single" w:color="auto" w:sz="4" w:space="0"/>
              <w:right w:val="single" w:color="auto" w:sz="4" w:space="0"/>
            </w:tcBorders>
            <w:noWrap w:val="0"/>
            <w:vAlign w:val="center"/>
          </w:tcPr>
          <w:p w14:paraId="0699A2A1">
            <w:pPr>
              <w:widowControl/>
              <w:spacing w:line="400" w:lineRule="exact"/>
              <w:ind w:right="-156" w:rightChars="-49" w:firstLine="0" w:firstLineChars="0"/>
              <w:jc w:val="both"/>
              <w:rPr>
                <w:rFonts w:hint="eastAsia" w:ascii="仿宋_GB2312" w:hAnsi="仿宋_GB2312" w:eastAsia="仿宋_GB2312" w:cs="仿宋_GB2312"/>
                <w:b/>
                <w:color w:val="auto"/>
                <w:kern w:val="0"/>
                <w:sz w:val="21"/>
                <w:szCs w:val="21"/>
                <w:lang w:eastAsia="zh-CN"/>
              </w:rPr>
            </w:pPr>
            <w:r>
              <w:rPr>
                <w:rFonts w:hint="eastAsia" w:ascii="仿宋_GB2312" w:hAnsi="仿宋_GB2312" w:cs="仿宋_GB2312"/>
                <w:b/>
                <w:color w:val="auto"/>
                <w:kern w:val="0"/>
                <w:sz w:val="21"/>
                <w:szCs w:val="21"/>
                <w:lang w:eastAsia="zh-CN"/>
              </w:rPr>
              <w:t>良好</w:t>
            </w:r>
          </w:p>
          <w:p w14:paraId="3BE2C5E9">
            <w:pPr>
              <w:widowControl/>
              <w:spacing w:line="400" w:lineRule="exact"/>
              <w:ind w:right="-156" w:rightChars="-49" w:firstLine="0" w:firstLineChars="0"/>
              <w:jc w:val="both"/>
              <w:rPr>
                <w:rFonts w:hint="eastAsia" w:ascii="仿宋_GB2312" w:hAnsi="仿宋_GB2312" w:eastAsia="仿宋_GB2312" w:cs="仿宋_GB2312"/>
                <w:b/>
                <w:color w:val="auto"/>
                <w:kern w:val="0"/>
                <w:sz w:val="21"/>
                <w:szCs w:val="21"/>
              </w:rPr>
            </w:pPr>
            <w:r>
              <w:rPr>
                <w:rFonts w:hint="eastAsia" w:ascii="仿宋_GB2312" w:hAnsi="仿宋_GB2312" w:eastAsia="仿宋_GB2312" w:cs="仿宋_GB2312"/>
                <w:b/>
                <w:color w:val="auto"/>
                <w:kern w:val="0"/>
                <w:sz w:val="21"/>
                <w:szCs w:val="21"/>
              </w:rPr>
              <w:t>信息</w:t>
            </w:r>
          </w:p>
          <w:p w14:paraId="7D1C477B">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p w14:paraId="5F99F0AE">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tc>
        <w:tc>
          <w:tcPr>
            <w:tcW w:w="983" w:type="dxa"/>
            <w:vMerge w:val="restart"/>
            <w:tcBorders>
              <w:top w:val="single" w:color="auto" w:sz="4" w:space="0"/>
              <w:left w:val="single" w:color="auto" w:sz="4" w:space="0"/>
              <w:right w:val="single" w:color="auto" w:sz="4" w:space="0"/>
            </w:tcBorders>
            <w:noWrap w:val="0"/>
            <w:vAlign w:val="center"/>
          </w:tcPr>
          <w:p w14:paraId="01902097">
            <w:pPr>
              <w:widowControl/>
              <w:spacing w:line="400" w:lineRule="exact"/>
              <w:ind w:left="-1" w:leftChars="-12" w:right="-70" w:rightChars="-22" w:hanging="37" w:hangingChars="18"/>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经营</w:t>
            </w:r>
          </w:p>
          <w:p w14:paraId="08F588AA">
            <w:pPr>
              <w:widowControl/>
              <w:spacing w:line="400" w:lineRule="exact"/>
              <w:ind w:left="-1" w:leftChars="-12" w:right="-70" w:rightChars="-22" w:hanging="37" w:hangingChars="18"/>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情况</w:t>
            </w:r>
          </w:p>
        </w:tc>
        <w:tc>
          <w:tcPr>
            <w:tcW w:w="1182" w:type="dxa"/>
            <w:vMerge w:val="restart"/>
            <w:tcBorders>
              <w:top w:val="single" w:color="auto" w:sz="4" w:space="0"/>
              <w:left w:val="single" w:color="auto" w:sz="4" w:space="0"/>
              <w:bottom w:val="single" w:color="auto" w:sz="4" w:space="0"/>
              <w:right w:val="single" w:color="auto" w:sz="4" w:space="0"/>
            </w:tcBorders>
            <w:noWrap w:val="0"/>
            <w:vAlign w:val="center"/>
          </w:tcPr>
          <w:p w14:paraId="1C80842A">
            <w:pPr>
              <w:widowControl/>
              <w:spacing w:line="400" w:lineRule="exact"/>
              <w:ind w:left="-38" w:leftChars="-12" w:right="-73" w:rightChars="-23" w:firstLine="0" w:firstLineChars="0"/>
              <w:jc w:val="both"/>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造价咨询收入</w:t>
            </w:r>
            <w:r>
              <w:rPr>
                <w:rFonts w:hint="eastAsia" w:ascii="仿宋_GB2312" w:hAnsi="仿宋_GB2312" w:cs="仿宋_GB2312"/>
                <w:color w:val="auto"/>
                <w:kern w:val="0"/>
                <w:sz w:val="21"/>
                <w:szCs w:val="21"/>
                <w:lang w:eastAsia="zh-CN"/>
              </w:rPr>
              <w:t>情况</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cs="仿宋_GB2312"/>
                <w:color w:val="auto"/>
                <w:kern w:val="0"/>
                <w:sz w:val="21"/>
                <w:szCs w:val="21"/>
                <w:lang w:val="en-US" w:eastAsia="zh-CN"/>
              </w:rPr>
              <w:t>由</w:t>
            </w:r>
            <w:r>
              <w:rPr>
                <w:rFonts w:hint="eastAsia" w:ascii="仿宋_GB2312" w:hAnsi="仿宋_GB2312" w:eastAsia="仿宋_GB2312" w:cs="仿宋_GB2312"/>
                <w:color w:val="auto"/>
                <w:kern w:val="0"/>
                <w:sz w:val="21"/>
                <w:szCs w:val="21"/>
                <w:lang w:val="en-US" w:eastAsia="zh-CN"/>
              </w:rPr>
              <w:t>高到低）</w:t>
            </w:r>
          </w:p>
        </w:tc>
        <w:tc>
          <w:tcPr>
            <w:tcW w:w="3500" w:type="dxa"/>
            <w:tcBorders>
              <w:top w:val="single" w:color="auto" w:sz="4" w:space="0"/>
              <w:left w:val="single" w:color="auto" w:sz="4" w:space="0"/>
              <w:right w:val="single" w:color="auto" w:sz="4" w:space="0"/>
            </w:tcBorders>
            <w:noWrap w:val="0"/>
            <w:vAlign w:val="center"/>
          </w:tcPr>
          <w:p w14:paraId="05C182C1">
            <w:pPr>
              <w:widowControl/>
              <w:spacing w:line="400" w:lineRule="exact"/>
              <w:ind w:right="-160" w:rightChars="-50"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val="en-US" w:eastAsia="zh-CN"/>
              </w:rPr>
              <w:t>100</w:t>
            </w:r>
            <w:r>
              <w:rPr>
                <w:rFonts w:hint="eastAsia" w:ascii="仿宋_GB2312" w:hAnsi="仿宋_GB2312" w:eastAsia="仿宋_GB2312" w:cs="仿宋_GB2312"/>
                <w:color w:val="auto"/>
                <w:kern w:val="0"/>
                <w:sz w:val="21"/>
                <w:szCs w:val="21"/>
              </w:rPr>
              <w:t xml:space="preserve">名 </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14368A46">
            <w:pPr>
              <w:widowControl/>
              <w:spacing w:line="400" w:lineRule="exact"/>
              <w:ind w:right="-160" w:rightChars="-50"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 xml:space="preserve">分 </w:t>
            </w:r>
          </w:p>
        </w:tc>
      </w:tr>
      <w:tr w14:paraId="7EBF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7" w:type="dxa"/>
            <w:vMerge w:val="continue"/>
            <w:tcBorders>
              <w:left w:val="single" w:color="auto" w:sz="4" w:space="0"/>
              <w:right w:val="single" w:color="auto" w:sz="4" w:space="0"/>
            </w:tcBorders>
            <w:noWrap w:val="0"/>
            <w:vAlign w:val="center"/>
          </w:tcPr>
          <w:p w14:paraId="38654256">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tc>
        <w:tc>
          <w:tcPr>
            <w:tcW w:w="983" w:type="dxa"/>
            <w:vMerge w:val="continue"/>
            <w:tcBorders>
              <w:left w:val="single" w:color="auto" w:sz="4" w:space="0"/>
              <w:right w:val="single" w:color="auto" w:sz="4" w:space="0"/>
            </w:tcBorders>
            <w:noWrap w:val="0"/>
            <w:vAlign w:val="center"/>
          </w:tcPr>
          <w:p w14:paraId="70D4764B">
            <w:pPr>
              <w:widowControl/>
              <w:spacing w:line="400" w:lineRule="exact"/>
              <w:ind w:left="-1" w:leftChars="-12" w:right="-70" w:rightChars="-22" w:hanging="37" w:hangingChars="18"/>
              <w:jc w:val="center"/>
              <w:rPr>
                <w:rFonts w:hint="eastAsia" w:ascii="仿宋_GB2312" w:hAnsi="仿宋_GB2312" w:eastAsia="仿宋_GB2312" w:cs="仿宋_GB2312"/>
                <w:color w:val="auto"/>
                <w:kern w:val="0"/>
                <w:sz w:val="21"/>
                <w:szCs w:val="21"/>
              </w:rPr>
            </w:pPr>
          </w:p>
        </w:tc>
        <w:tc>
          <w:tcPr>
            <w:tcW w:w="1182" w:type="dxa"/>
            <w:vMerge w:val="continue"/>
            <w:tcBorders>
              <w:top w:val="single" w:color="auto" w:sz="4" w:space="0"/>
              <w:left w:val="single" w:color="auto" w:sz="4" w:space="0"/>
              <w:bottom w:val="single" w:color="auto" w:sz="4" w:space="0"/>
              <w:right w:val="single" w:color="auto" w:sz="4" w:space="0"/>
            </w:tcBorders>
            <w:noWrap w:val="0"/>
            <w:vAlign w:val="center"/>
          </w:tcPr>
          <w:p w14:paraId="652533EC">
            <w:pPr>
              <w:widowControl/>
              <w:spacing w:line="400" w:lineRule="exact"/>
              <w:ind w:firstLine="420" w:firstLineChars="200"/>
              <w:jc w:val="both"/>
              <w:rPr>
                <w:rFonts w:hint="eastAsia" w:ascii="仿宋_GB2312" w:hAnsi="仿宋_GB2312" w:eastAsia="仿宋_GB2312" w:cs="仿宋_GB2312"/>
                <w:color w:val="auto"/>
                <w:kern w:val="0"/>
                <w:sz w:val="21"/>
                <w:szCs w:val="21"/>
              </w:rPr>
            </w:pPr>
          </w:p>
        </w:tc>
        <w:tc>
          <w:tcPr>
            <w:tcW w:w="3500" w:type="dxa"/>
            <w:tcBorders>
              <w:top w:val="single" w:color="auto" w:sz="4" w:space="0"/>
              <w:left w:val="single" w:color="auto" w:sz="4" w:space="0"/>
              <w:right w:val="single" w:color="auto" w:sz="4" w:space="0"/>
            </w:tcBorders>
            <w:noWrap w:val="0"/>
            <w:vAlign w:val="center"/>
          </w:tcPr>
          <w:p w14:paraId="14B2B196">
            <w:pPr>
              <w:widowControl/>
              <w:spacing w:line="400" w:lineRule="exact"/>
              <w:ind w:right="-160" w:rightChars="-50"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101-</w:t>
            </w:r>
            <w:r>
              <w:rPr>
                <w:rFonts w:hint="eastAsia" w:ascii="仿宋_GB2312" w:hAnsi="仿宋_GB2312" w:eastAsia="仿宋_GB2312" w:cs="仿宋_GB2312"/>
                <w:color w:val="auto"/>
                <w:kern w:val="0"/>
                <w:sz w:val="21"/>
                <w:szCs w:val="21"/>
                <w:lang w:val="en-US" w:eastAsia="zh-CN"/>
              </w:rPr>
              <w:t>20</w:t>
            </w:r>
            <w:r>
              <w:rPr>
                <w:rFonts w:hint="eastAsia" w:ascii="仿宋_GB2312" w:hAnsi="仿宋_GB2312" w:eastAsia="仿宋_GB2312" w:cs="仿宋_GB2312"/>
                <w:color w:val="auto"/>
                <w:kern w:val="0"/>
                <w:sz w:val="21"/>
                <w:szCs w:val="21"/>
              </w:rPr>
              <w:t xml:space="preserve">0名 </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60D77927">
            <w:pPr>
              <w:widowControl/>
              <w:spacing w:line="400" w:lineRule="exact"/>
              <w:ind w:right="-160" w:rightChars="-50"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 xml:space="preserve">分 </w:t>
            </w:r>
          </w:p>
        </w:tc>
      </w:tr>
      <w:tr w14:paraId="3D06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7" w:type="dxa"/>
            <w:vMerge w:val="continue"/>
            <w:tcBorders>
              <w:left w:val="single" w:color="auto" w:sz="4" w:space="0"/>
              <w:right w:val="single" w:color="auto" w:sz="4" w:space="0"/>
            </w:tcBorders>
            <w:noWrap w:val="0"/>
            <w:vAlign w:val="center"/>
          </w:tcPr>
          <w:p w14:paraId="5FACC93D">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tc>
        <w:tc>
          <w:tcPr>
            <w:tcW w:w="983" w:type="dxa"/>
            <w:vMerge w:val="continue"/>
            <w:tcBorders>
              <w:left w:val="single" w:color="auto" w:sz="4" w:space="0"/>
              <w:right w:val="single" w:color="auto" w:sz="4" w:space="0"/>
            </w:tcBorders>
            <w:noWrap w:val="0"/>
            <w:vAlign w:val="center"/>
          </w:tcPr>
          <w:p w14:paraId="72678846">
            <w:pPr>
              <w:widowControl/>
              <w:spacing w:line="400" w:lineRule="exact"/>
              <w:ind w:left="-1" w:leftChars="-12" w:right="-70" w:rightChars="-22" w:hanging="37" w:hangingChars="18"/>
              <w:jc w:val="center"/>
              <w:rPr>
                <w:rFonts w:hint="eastAsia" w:ascii="仿宋_GB2312" w:hAnsi="仿宋_GB2312" w:eastAsia="仿宋_GB2312" w:cs="仿宋_GB2312"/>
                <w:color w:val="auto"/>
                <w:kern w:val="0"/>
                <w:sz w:val="21"/>
                <w:szCs w:val="21"/>
              </w:rPr>
            </w:pPr>
          </w:p>
        </w:tc>
        <w:tc>
          <w:tcPr>
            <w:tcW w:w="1182" w:type="dxa"/>
            <w:vMerge w:val="continue"/>
            <w:tcBorders>
              <w:top w:val="single" w:color="auto" w:sz="4" w:space="0"/>
              <w:left w:val="single" w:color="auto" w:sz="4" w:space="0"/>
              <w:bottom w:val="single" w:color="auto" w:sz="4" w:space="0"/>
              <w:right w:val="single" w:color="auto" w:sz="4" w:space="0"/>
            </w:tcBorders>
            <w:noWrap w:val="0"/>
            <w:vAlign w:val="center"/>
          </w:tcPr>
          <w:p w14:paraId="1201B8B1">
            <w:pPr>
              <w:widowControl/>
              <w:spacing w:line="400" w:lineRule="exact"/>
              <w:ind w:firstLine="420" w:firstLineChars="200"/>
              <w:jc w:val="both"/>
              <w:rPr>
                <w:rFonts w:hint="eastAsia" w:ascii="仿宋_GB2312" w:hAnsi="仿宋_GB2312" w:eastAsia="仿宋_GB2312" w:cs="仿宋_GB2312"/>
                <w:color w:val="auto"/>
                <w:kern w:val="0"/>
                <w:sz w:val="21"/>
                <w:szCs w:val="21"/>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14:paraId="196FBD90">
            <w:pPr>
              <w:widowControl/>
              <w:spacing w:line="400" w:lineRule="exact"/>
              <w:ind w:right="-160" w:rightChars="-50"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其他</w:t>
            </w:r>
            <w:r>
              <w:rPr>
                <w:rFonts w:hint="eastAsia" w:ascii="仿宋_GB2312" w:hAnsi="仿宋_GB2312" w:eastAsia="仿宋_GB2312" w:cs="仿宋_GB2312"/>
                <w:color w:val="auto"/>
                <w:kern w:val="0"/>
                <w:sz w:val="21"/>
                <w:szCs w:val="21"/>
                <w:lang w:eastAsia="zh-CN"/>
              </w:rPr>
              <w:t>报送</w:t>
            </w:r>
            <w:r>
              <w:rPr>
                <w:rFonts w:hint="eastAsia" w:ascii="仿宋_GB2312" w:hAnsi="仿宋_GB2312" w:eastAsia="仿宋_GB2312" w:cs="仿宋_GB2312"/>
                <w:color w:val="auto"/>
                <w:kern w:val="0"/>
                <w:sz w:val="21"/>
                <w:szCs w:val="21"/>
              </w:rPr>
              <w:t xml:space="preserve">企业 </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4FF3B097">
            <w:pPr>
              <w:widowControl/>
              <w:spacing w:line="400" w:lineRule="exact"/>
              <w:ind w:right="-160" w:rightChars="-50"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 xml:space="preserve">分 </w:t>
            </w:r>
          </w:p>
        </w:tc>
      </w:tr>
      <w:tr w14:paraId="52EE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77" w:type="dxa"/>
            <w:vMerge w:val="continue"/>
            <w:tcBorders>
              <w:left w:val="single" w:color="auto" w:sz="4" w:space="0"/>
              <w:right w:val="single" w:color="auto" w:sz="4" w:space="0"/>
            </w:tcBorders>
            <w:noWrap w:val="0"/>
            <w:vAlign w:val="center"/>
          </w:tcPr>
          <w:p w14:paraId="7E3EA199">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tc>
        <w:tc>
          <w:tcPr>
            <w:tcW w:w="983" w:type="dxa"/>
            <w:vMerge w:val="continue"/>
            <w:tcBorders>
              <w:left w:val="single" w:color="auto" w:sz="4" w:space="0"/>
              <w:right w:val="single" w:color="auto" w:sz="4" w:space="0"/>
            </w:tcBorders>
            <w:noWrap w:val="0"/>
            <w:vAlign w:val="center"/>
          </w:tcPr>
          <w:p w14:paraId="3B65F8A9">
            <w:pPr>
              <w:widowControl/>
              <w:spacing w:line="400" w:lineRule="exact"/>
              <w:ind w:left="-1" w:leftChars="-12" w:right="-70" w:rightChars="-22" w:hanging="37" w:hangingChars="18"/>
              <w:jc w:val="center"/>
              <w:rPr>
                <w:rFonts w:hint="eastAsia" w:ascii="仿宋_GB2312" w:hAnsi="仿宋_GB2312" w:eastAsia="仿宋_GB2312" w:cs="仿宋_GB2312"/>
                <w:color w:val="auto"/>
                <w:kern w:val="0"/>
                <w:sz w:val="21"/>
                <w:szCs w:val="21"/>
              </w:rPr>
            </w:pPr>
          </w:p>
        </w:tc>
        <w:tc>
          <w:tcPr>
            <w:tcW w:w="1182" w:type="dxa"/>
            <w:vMerge w:val="restart"/>
            <w:tcBorders>
              <w:top w:val="single" w:color="auto" w:sz="4" w:space="0"/>
              <w:left w:val="single" w:color="auto" w:sz="4" w:space="0"/>
              <w:right w:val="single" w:color="auto" w:sz="4" w:space="0"/>
            </w:tcBorders>
            <w:noWrap w:val="0"/>
            <w:vAlign w:val="center"/>
          </w:tcPr>
          <w:p w14:paraId="598BD2EA">
            <w:pPr>
              <w:widowControl/>
              <w:spacing w:line="400" w:lineRule="exact"/>
              <w:ind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配备的专业技术人员</w:t>
            </w:r>
          </w:p>
        </w:tc>
        <w:tc>
          <w:tcPr>
            <w:tcW w:w="3500" w:type="dxa"/>
            <w:tcBorders>
              <w:top w:val="single" w:color="auto" w:sz="4" w:space="0"/>
              <w:left w:val="single" w:color="auto" w:sz="4" w:space="0"/>
              <w:right w:val="single" w:color="auto" w:sz="4" w:space="0"/>
            </w:tcBorders>
            <w:noWrap w:val="0"/>
            <w:vAlign w:val="center"/>
          </w:tcPr>
          <w:p w14:paraId="58192A11">
            <w:pPr>
              <w:widowControl/>
              <w:spacing w:line="400" w:lineRule="exact"/>
              <w:ind w:right="-160" w:rightChars="-50" w:firstLine="0" w:firstLineChars="0"/>
              <w:jc w:val="both"/>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注册造价工程师数量</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4740E925">
            <w:pPr>
              <w:widowControl/>
              <w:spacing w:line="400" w:lineRule="exact"/>
              <w:ind w:left="0" w:leftChars="0" w:right="-160" w:rightChars="-50" w:firstLine="0" w:firstLineChars="0"/>
              <w:jc w:val="both"/>
              <w:rPr>
                <w:rFonts w:hint="eastAsia" w:ascii="仿宋_GB2312" w:hAnsi="仿宋_GB2312" w:eastAsia="仿宋_GB2312" w:cs="仿宋_GB2312"/>
                <w:color w:val="auto"/>
                <w:spacing w:val="-6"/>
                <w:kern w:val="0"/>
                <w:sz w:val="21"/>
                <w:szCs w:val="21"/>
                <w:lang w:val="en-US" w:eastAsia="zh-CN" w:bidi="ar-SA"/>
              </w:rPr>
            </w:pPr>
            <w:r>
              <w:rPr>
                <w:rFonts w:hint="eastAsia" w:ascii="仿宋_GB2312" w:hAnsi="仿宋_GB2312" w:eastAsia="仿宋_GB2312" w:cs="仿宋_GB2312"/>
                <w:color w:val="auto"/>
                <w:spacing w:val="-6"/>
                <w:kern w:val="0"/>
                <w:sz w:val="21"/>
                <w:szCs w:val="21"/>
                <w:lang w:val="en-US" w:eastAsia="zh-CN"/>
              </w:rPr>
              <w:t>每名记0.</w:t>
            </w:r>
            <w:r>
              <w:rPr>
                <w:rFonts w:hint="eastAsia" w:ascii="仿宋_GB2312" w:hAnsi="仿宋_GB2312" w:cs="仿宋_GB2312"/>
                <w:color w:val="auto"/>
                <w:spacing w:val="-6"/>
                <w:kern w:val="0"/>
                <w:sz w:val="21"/>
                <w:szCs w:val="21"/>
                <w:lang w:val="en-US" w:eastAsia="zh-CN"/>
              </w:rPr>
              <w:t>5</w:t>
            </w:r>
            <w:r>
              <w:rPr>
                <w:rFonts w:hint="eastAsia" w:ascii="仿宋_GB2312" w:hAnsi="仿宋_GB2312" w:eastAsia="仿宋_GB2312" w:cs="仿宋_GB2312"/>
                <w:color w:val="auto"/>
                <w:spacing w:val="-6"/>
                <w:kern w:val="0"/>
                <w:sz w:val="21"/>
                <w:szCs w:val="21"/>
                <w:lang w:val="en-US" w:eastAsia="zh-CN"/>
              </w:rPr>
              <w:t>分，最多记</w:t>
            </w:r>
            <w:r>
              <w:rPr>
                <w:rFonts w:hint="eastAsia" w:ascii="仿宋_GB2312" w:hAnsi="仿宋_GB2312" w:cs="仿宋_GB2312"/>
                <w:color w:val="auto"/>
                <w:spacing w:val="-6"/>
                <w:kern w:val="0"/>
                <w:sz w:val="21"/>
                <w:szCs w:val="21"/>
                <w:lang w:val="en-US" w:eastAsia="zh-CN"/>
              </w:rPr>
              <w:t>10</w:t>
            </w:r>
            <w:r>
              <w:rPr>
                <w:rFonts w:hint="eastAsia" w:ascii="仿宋_GB2312" w:hAnsi="仿宋_GB2312" w:eastAsia="仿宋_GB2312" w:cs="仿宋_GB2312"/>
                <w:color w:val="auto"/>
                <w:spacing w:val="-6"/>
                <w:kern w:val="0"/>
                <w:sz w:val="21"/>
                <w:szCs w:val="21"/>
              </w:rPr>
              <w:t>分</w:t>
            </w:r>
          </w:p>
        </w:tc>
      </w:tr>
      <w:tr w14:paraId="60D3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77" w:type="dxa"/>
            <w:vMerge w:val="continue"/>
            <w:tcBorders>
              <w:left w:val="single" w:color="auto" w:sz="4" w:space="0"/>
              <w:right w:val="single" w:color="auto" w:sz="4" w:space="0"/>
            </w:tcBorders>
            <w:noWrap w:val="0"/>
            <w:vAlign w:val="center"/>
          </w:tcPr>
          <w:p w14:paraId="00EB2ED1">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tc>
        <w:tc>
          <w:tcPr>
            <w:tcW w:w="983" w:type="dxa"/>
            <w:vMerge w:val="continue"/>
            <w:tcBorders>
              <w:left w:val="single" w:color="auto" w:sz="4" w:space="0"/>
              <w:right w:val="single" w:color="auto" w:sz="4" w:space="0"/>
            </w:tcBorders>
            <w:noWrap w:val="0"/>
            <w:vAlign w:val="center"/>
          </w:tcPr>
          <w:p w14:paraId="32C5D17A">
            <w:pPr>
              <w:widowControl/>
              <w:spacing w:line="400" w:lineRule="exact"/>
              <w:ind w:left="-1" w:leftChars="-12" w:right="-70" w:rightChars="-22" w:hanging="37" w:hangingChars="18"/>
              <w:jc w:val="center"/>
              <w:rPr>
                <w:rFonts w:hint="eastAsia" w:ascii="仿宋_GB2312" w:hAnsi="仿宋_GB2312" w:eastAsia="仿宋_GB2312" w:cs="仿宋_GB2312"/>
                <w:color w:val="auto"/>
                <w:kern w:val="0"/>
                <w:sz w:val="21"/>
                <w:szCs w:val="21"/>
              </w:rPr>
            </w:pPr>
          </w:p>
        </w:tc>
        <w:tc>
          <w:tcPr>
            <w:tcW w:w="1182" w:type="dxa"/>
            <w:vMerge w:val="continue"/>
            <w:tcBorders>
              <w:left w:val="single" w:color="auto" w:sz="4" w:space="0"/>
              <w:right w:val="single" w:color="auto" w:sz="4" w:space="0"/>
            </w:tcBorders>
            <w:noWrap w:val="0"/>
            <w:vAlign w:val="center"/>
          </w:tcPr>
          <w:p w14:paraId="26702B4B">
            <w:pPr>
              <w:widowControl/>
              <w:spacing w:line="400" w:lineRule="exact"/>
              <w:ind w:firstLine="420" w:firstLineChars="200"/>
              <w:jc w:val="both"/>
              <w:rPr>
                <w:rFonts w:hint="eastAsia" w:ascii="仿宋_GB2312" w:hAnsi="仿宋_GB2312" w:eastAsia="仿宋_GB2312" w:cs="仿宋_GB2312"/>
                <w:color w:val="auto"/>
                <w:kern w:val="0"/>
                <w:sz w:val="21"/>
                <w:szCs w:val="21"/>
              </w:rPr>
            </w:pPr>
          </w:p>
        </w:tc>
        <w:tc>
          <w:tcPr>
            <w:tcW w:w="3500" w:type="dxa"/>
            <w:vMerge w:val="restart"/>
            <w:tcBorders>
              <w:left w:val="single" w:color="auto" w:sz="4" w:space="0"/>
              <w:right w:val="single" w:color="auto" w:sz="4" w:space="0"/>
            </w:tcBorders>
            <w:noWrap w:val="0"/>
            <w:vAlign w:val="center"/>
          </w:tcPr>
          <w:p w14:paraId="3ABFD200">
            <w:pPr>
              <w:widowControl/>
              <w:spacing w:line="400" w:lineRule="exact"/>
              <w:ind w:right="-160" w:rightChars="-50"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注册造价工程师</w:t>
            </w:r>
            <w:r>
              <w:rPr>
                <w:rFonts w:hint="eastAsia" w:ascii="仿宋_GB2312" w:hAnsi="仿宋_GB2312" w:eastAsia="仿宋_GB2312" w:cs="仿宋_GB2312"/>
                <w:color w:val="auto"/>
                <w:kern w:val="0"/>
                <w:sz w:val="21"/>
                <w:szCs w:val="21"/>
                <w:lang w:eastAsia="zh-CN"/>
              </w:rPr>
              <w:t>各</w:t>
            </w:r>
            <w:r>
              <w:rPr>
                <w:rFonts w:hint="eastAsia" w:ascii="仿宋_GB2312" w:hAnsi="仿宋_GB2312" w:eastAsia="仿宋_GB2312" w:cs="仿宋_GB2312"/>
                <w:color w:val="auto"/>
                <w:kern w:val="0"/>
                <w:sz w:val="21"/>
                <w:szCs w:val="21"/>
              </w:rPr>
              <w:t>专业</w:t>
            </w:r>
            <w:r>
              <w:rPr>
                <w:rFonts w:hint="eastAsia" w:ascii="仿宋_GB2312" w:hAnsi="仿宋_GB2312" w:eastAsia="仿宋_GB2312" w:cs="仿宋_GB2312"/>
                <w:color w:val="auto"/>
                <w:kern w:val="0"/>
                <w:sz w:val="21"/>
                <w:szCs w:val="21"/>
                <w:lang w:eastAsia="zh-CN"/>
              </w:rPr>
              <w:t>配</w:t>
            </w:r>
            <w:r>
              <w:rPr>
                <w:rFonts w:hint="eastAsia" w:ascii="仿宋_GB2312" w:hAnsi="仿宋_GB2312" w:eastAsia="仿宋_GB2312" w:cs="仿宋_GB2312"/>
                <w:color w:val="auto"/>
                <w:kern w:val="0"/>
                <w:sz w:val="21"/>
                <w:szCs w:val="21"/>
              </w:rPr>
              <w:t>备</w:t>
            </w:r>
            <w:r>
              <w:rPr>
                <w:rFonts w:hint="eastAsia" w:ascii="仿宋_GB2312" w:hAnsi="仿宋_GB2312" w:eastAsia="仿宋_GB2312" w:cs="仿宋_GB2312"/>
                <w:color w:val="auto"/>
                <w:kern w:val="0"/>
                <w:sz w:val="21"/>
                <w:szCs w:val="21"/>
                <w:lang w:eastAsia="zh-CN"/>
              </w:rPr>
              <w:t>情况</w:t>
            </w:r>
          </w:p>
          <w:p w14:paraId="557D3663">
            <w:pPr>
              <w:widowControl/>
              <w:spacing w:line="400" w:lineRule="exact"/>
              <w:ind w:right="-160" w:rightChars="-50" w:firstLine="0" w:firstLineChars="0"/>
              <w:jc w:val="both"/>
              <w:rPr>
                <w:rFonts w:hint="eastAsia" w:ascii="仿宋_GB2312" w:hAnsi="仿宋_GB2312" w:eastAsia="仿宋_GB2312" w:cs="仿宋_GB2312"/>
                <w:color w:val="auto"/>
                <w:kern w:val="0"/>
                <w:sz w:val="21"/>
                <w:szCs w:val="21"/>
                <w:lang w:val="en-US" w:eastAsia="zh-CN" w:bidi="ar-SA"/>
              </w:rPr>
            </w:pPr>
          </w:p>
        </w:tc>
        <w:tc>
          <w:tcPr>
            <w:tcW w:w="2632" w:type="dxa"/>
            <w:tcBorders>
              <w:top w:val="single" w:color="auto" w:sz="4" w:space="0"/>
              <w:left w:val="single" w:color="auto" w:sz="4" w:space="0"/>
              <w:bottom w:val="single" w:color="auto" w:sz="4" w:space="0"/>
              <w:right w:val="single" w:color="auto" w:sz="4" w:space="0"/>
            </w:tcBorders>
            <w:noWrap w:val="0"/>
            <w:vAlign w:val="center"/>
          </w:tcPr>
          <w:p w14:paraId="0AF1FB82">
            <w:pPr>
              <w:widowControl/>
              <w:spacing w:line="400" w:lineRule="exact"/>
              <w:ind w:left="0" w:leftChars="0" w:right="-160" w:rightChars="-50" w:firstLine="0" w:firstLineChars="0"/>
              <w:jc w:val="both"/>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土木建筑工程、安装</w:t>
            </w:r>
            <w:r>
              <w:rPr>
                <w:rFonts w:hint="eastAsia" w:ascii="仿宋_GB2312" w:hAnsi="仿宋_GB2312" w:cs="仿宋_GB2312"/>
                <w:color w:val="auto"/>
                <w:kern w:val="0"/>
                <w:sz w:val="21"/>
                <w:szCs w:val="21"/>
                <w:lang w:eastAsia="zh-CN"/>
              </w:rPr>
              <w:t>工程</w:t>
            </w:r>
            <w:r>
              <w:rPr>
                <w:rFonts w:hint="eastAsia" w:ascii="仿宋_GB2312" w:hAnsi="仿宋_GB2312" w:cs="仿宋_GB2312"/>
                <w:color w:val="auto"/>
                <w:kern w:val="0"/>
                <w:sz w:val="21"/>
                <w:szCs w:val="21"/>
                <w:lang w:eastAsia="zh-CN"/>
              </w:rPr>
              <w:br w:type="textWrapping"/>
            </w:r>
            <w:r>
              <w:rPr>
                <w:rFonts w:hint="eastAsia" w:ascii="仿宋_GB2312" w:hAnsi="仿宋_GB2312" w:eastAsia="仿宋_GB2312" w:cs="仿宋_GB2312"/>
                <w:color w:val="auto"/>
                <w:kern w:val="0"/>
                <w:sz w:val="21"/>
                <w:szCs w:val="21"/>
                <w:lang w:eastAsia="zh-CN"/>
              </w:rPr>
              <w:t>各专业不少于</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lang w:val="en-US" w:eastAsia="zh-CN"/>
              </w:rPr>
              <w:t>名，记</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分</w:t>
            </w:r>
          </w:p>
        </w:tc>
      </w:tr>
      <w:tr w14:paraId="47FF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77" w:type="dxa"/>
            <w:vMerge w:val="continue"/>
            <w:tcBorders>
              <w:left w:val="single" w:color="auto" w:sz="4" w:space="0"/>
              <w:right w:val="single" w:color="auto" w:sz="4" w:space="0"/>
            </w:tcBorders>
            <w:noWrap w:val="0"/>
            <w:vAlign w:val="center"/>
          </w:tcPr>
          <w:p w14:paraId="05704C57">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tc>
        <w:tc>
          <w:tcPr>
            <w:tcW w:w="983" w:type="dxa"/>
            <w:vMerge w:val="continue"/>
            <w:tcBorders>
              <w:left w:val="single" w:color="auto" w:sz="4" w:space="0"/>
              <w:right w:val="single" w:color="auto" w:sz="4" w:space="0"/>
            </w:tcBorders>
            <w:noWrap w:val="0"/>
            <w:vAlign w:val="center"/>
          </w:tcPr>
          <w:p w14:paraId="7DB63101">
            <w:pPr>
              <w:widowControl/>
              <w:spacing w:line="400" w:lineRule="exact"/>
              <w:ind w:left="-1" w:leftChars="-12" w:right="-70" w:rightChars="-22" w:hanging="37" w:hangingChars="18"/>
              <w:jc w:val="center"/>
              <w:rPr>
                <w:rFonts w:hint="eastAsia" w:ascii="仿宋_GB2312" w:hAnsi="仿宋_GB2312" w:eastAsia="仿宋_GB2312" w:cs="仿宋_GB2312"/>
                <w:color w:val="auto"/>
                <w:kern w:val="0"/>
                <w:sz w:val="21"/>
                <w:szCs w:val="21"/>
              </w:rPr>
            </w:pPr>
          </w:p>
        </w:tc>
        <w:tc>
          <w:tcPr>
            <w:tcW w:w="1182" w:type="dxa"/>
            <w:vMerge w:val="continue"/>
            <w:tcBorders>
              <w:left w:val="single" w:color="auto" w:sz="4" w:space="0"/>
              <w:right w:val="single" w:color="auto" w:sz="4" w:space="0"/>
            </w:tcBorders>
            <w:noWrap w:val="0"/>
            <w:vAlign w:val="center"/>
          </w:tcPr>
          <w:p w14:paraId="09AD3FB7">
            <w:pPr>
              <w:widowControl/>
              <w:spacing w:line="400" w:lineRule="exact"/>
              <w:ind w:firstLine="420" w:firstLineChars="200"/>
              <w:jc w:val="both"/>
              <w:rPr>
                <w:rFonts w:hint="eastAsia" w:ascii="仿宋_GB2312" w:hAnsi="仿宋_GB2312" w:eastAsia="仿宋_GB2312" w:cs="仿宋_GB2312"/>
                <w:color w:val="auto"/>
                <w:kern w:val="0"/>
                <w:sz w:val="21"/>
                <w:szCs w:val="21"/>
              </w:rPr>
            </w:pPr>
          </w:p>
        </w:tc>
        <w:tc>
          <w:tcPr>
            <w:tcW w:w="3500" w:type="dxa"/>
            <w:vMerge w:val="continue"/>
            <w:tcBorders>
              <w:left w:val="single" w:color="auto" w:sz="4" w:space="0"/>
              <w:right w:val="single" w:color="auto" w:sz="4" w:space="0"/>
            </w:tcBorders>
            <w:noWrap w:val="0"/>
            <w:vAlign w:val="center"/>
          </w:tcPr>
          <w:p w14:paraId="0617ADE0">
            <w:pPr>
              <w:widowControl/>
              <w:spacing w:line="400" w:lineRule="exact"/>
              <w:ind w:right="-160" w:rightChars="-50" w:firstLine="0" w:firstLineChars="0"/>
              <w:jc w:val="both"/>
              <w:rPr>
                <w:rFonts w:hint="eastAsia" w:ascii="仿宋_GB2312" w:hAnsi="仿宋_GB2312" w:eastAsia="仿宋_GB2312" w:cs="仿宋_GB2312"/>
                <w:color w:val="auto"/>
                <w:kern w:val="0"/>
                <w:sz w:val="21"/>
                <w:szCs w:val="21"/>
                <w:lang w:val="en-US" w:eastAsia="zh-CN" w:bidi="ar-SA"/>
              </w:rPr>
            </w:pPr>
          </w:p>
        </w:tc>
        <w:tc>
          <w:tcPr>
            <w:tcW w:w="2632" w:type="dxa"/>
            <w:tcBorders>
              <w:top w:val="single" w:color="auto" w:sz="4" w:space="0"/>
              <w:left w:val="single" w:color="auto" w:sz="4" w:space="0"/>
              <w:bottom w:val="single" w:color="auto" w:sz="4" w:space="0"/>
              <w:right w:val="single" w:color="auto" w:sz="4" w:space="0"/>
            </w:tcBorders>
            <w:noWrap w:val="0"/>
            <w:vAlign w:val="center"/>
          </w:tcPr>
          <w:p w14:paraId="2CE5A632">
            <w:pPr>
              <w:widowControl/>
              <w:spacing w:line="400" w:lineRule="exact"/>
              <w:ind w:left="0" w:leftChars="0" w:right="-160" w:rightChars="-50" w:firstLine="0" w:firstLineChars="0"/>
              <w:jc w:val="both"/>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土木建筑工程、安装</w:t>
            </w:r>
            <w:r>
              <w:rPr>
                <w:rFonts w:hint="eastAsia" w:ascii="仿宋_GB2312" w:hAnsi="仿宋_GB2312" w:cs="仿宋_GB2312"/>
                <w:color w:val="auto"/>
                <w:kern w:val="0"/>
                <w:sz w:val="21"/>
                <w:szCs w:val="21"/>
                <w:lang w:eastAsia="zh-CN"/>
              </w:rPr>
              <w:t>工程</w:t>
            </w:r>
            <w:r>
              <w:rPr>
                <w:rFonts w:hint="eastAsia" w:ascii="仿宋_GB2312" w:hAnsi="仿宋_GB2312" w:cs="仿宋_GB2312"/>
                <w:color w:val="auto"/>
                <w:kern w:val="0"/>
                <w:sz w:val="21"/>
                <w:szCs w:val="21"/>
                <w:lang w:eastAsia="zh-CN"/>
              </w:rPr>
              <w:br w:type="textWrapping"/>
            </w:r>
            <w:r>
              <w:rPr>
                <w:rFonts w:hint="eastAsia" w:ascii="仿宋_GB2312" w:hAnsi="仿宋_GB2312" w:eastAsia="仿宋_GB2312" w:cs="仿宋_GB2312"/>
                <w:color w:val="auto"/>
                <w:kern w:val="0"/>
                <w:sz w:val="21"/>
                <w:szCs w:val="21"/>
                <w:lang w:eastAsia="zh-CN"/>
              </w:rPr>
              <w:t>各专业不少于</w:t>
            </w:r>
            <w:r>
              <w:rPr>
                <w:rFonts w:hint="eastAsia" w:ascii="仿宋_GB2312" w:hAnsi="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lang w:val="en-US" w:eastAsia="zh-CN"/>
              </w:rPr>
              <w:t>名，记</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分</w:t>
            </w:r>
          </w:p>
        </w:tc>
      </w:tr>
      <w:tr w14:paraId="50A8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77" w:type="dxa"/>
            <w:vMerge w:val="continue"/>
            <w:tcBorders>
              <w:left w:val="single" w:color="auto" w:sz="4" w:space="0"/>
              <w:right w:val="single" w:color="auto" w:sz="4" w:space="0"/>
            </w:tcBorders>
            <w:noWrap w:val="0"/>
            <w:vAlign w:val="center"/>
          </w:tcPr>
          <w:p w14:paraId="7685D2A7">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p w14:paraId="383D1476">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tc>
        <w:tc>
          <w:tcPr>
            <w:tcW w:w="983" w:type="dxa"/>
            <w:vMerge w:val="continue"/>
            <w:tcBorders>
              <w:left w:val="single" w:color="auto" w:sz="4" w:space="0"/>
              <w:right w:val="single" w:color="auto" w:sz="4" w:space="0"/>
            </w:tcBorders>
            <w:noWrap w:val="0"/>
            <w:vAlign w:val="center"/>
          </w:tcPr>
          <w:p w14:paraId="5A3CCBAE">
            <w:pPr>
              <w:widowControl/>
              <w:spacing w:line="400" w:lineRule="exact"/>
              <w:ind w:left="-1" w:leftChars="-12" w:right="-70" w:rightChars="-22" w:hanging="37" w:hangingChars="18"/>
              <w:jc w:val="center"/>
              <w:rPr>
                <w:rFonts w:hint="eastAsia" w:ascii="仿宋_GB2312" w:hAnsi="仿宋_GB2312" w:eastAsia="仿宋_GB2312" w:cs="仿宋_GB2312"/>
                <w:color w:val="auto"/>
                <w:kern w:val="0"/>
                <w:sz w:val="21"/>
                <w:szCs w:val="21"/>
              </w:rPr>
            </w:pPr>
          </w:p>
        </w:tc>
        <w:tc>
          <w:tcPr>
            <w:tcW w:w="1182" w:type="dxa"/>
            <w:vMerge w:val="continue"/>
            <w:tcBorders>
              <w:left w:val="single" w:color="auto" w:sz="4" w:space="0"/>
              <w:right w:val="single" w:color="auto" w:sz="4" w:space="0"/>
            </w:tcBorders>
            <w:noWrap w:val="0"/>
            <w:vAlign w:val="center"/>
          </w:tcPr>
          <w:p w14:paraId="0E567003">
            <w:pPr>
              <w:widowControl/>
              <w:spacing w:line="400" w:lineRule="exact"/>
              <w:ind w:firstLine="420" w:firstLineChars="200"/>
              <w:jc w:val="both"/>
              <w:rPr>
                <w:rFonts w:hint="eastAsia" w:ascii="仿宋_GB2312" w:hAnsi="仿宋_GB2312" w:eastAsia="仿宋_GB2312" w:cs="仿宋_GB2312"/>
                <w:color w:val="auto"/>
                <w:kern w:val="0"/>
                <w:sz w:val="21"/>
                <w:szCs w:val="21"/>
              </w:rPr>
            </w:pPr>
          </w:p>
        </w:tc>
        <w:tc>
          <w:tcPr>
            <w:tcW w:w="3500" w:type="dxa"/>
            <w:vMerge w:val="continue"/>
            <w:tcBorders>
              <w:left w:val="single" w:color="auto" w:sz="4" w:space="0"/>
              <w:right w:val="single" w:color="auto" w:sz="4" w:space="0"/>
            </w:tcBorders>
            <w:noWrap w:val="0"/>
            <w:vAlign w:val="center"/>
          </w:tcPr>
          <w:p w14:paraId="6884029D">
            <w:pPr>
              <w:widowControl/>
              <w:spacing w:line="400" w:lineRule="exact"/>
              <w:ind w:right="-160" w:rightChars="-50" w:firstLine="0" w:firstLineChars="0"/>
              <w:jc w:val="both"/>
              <w:rPr>
                <w:rFonts w:hint="eastAsia" w:ascii="仿宋_GB2312" w:hAnsi="仿宋_GB2312" w:eastAsia="仿宋_GB2312" w:cs="仿宋_GB2312"/>
                <w:color w:val="auto"/>
                <w:kern w:val="0"/>
                <w:sz w:val="21"/>
                <w:szCs w:val="21"/>
                <w:lang w:val="en-US" w:eastAsia="zh-CN" w:bidi="ar-SA"/>
              </w:rPr>
            </w:pPr>
          </w:p>
        </w:tc>
        <w:tc>
          <w:tcPr>
            <w:tcW w:w="2632" w:type="dxa"/>
            <w:tcBorders>
              <w:top w:val="single" w:color="auto" w:sz="4" w:space="0"/>
              <w:left w:val="single" w:color="auto" w:sz="4" w:space="0"/>
              <w:bottom w:val="single" w:color="auto" w:sz="4" w:space="0"/>
              <w:right w:val="single" w:color="auto" w:sz="4" w:space="0"/>
            </w:tcBorders>
            <w:noWrap w:val="0"/>
            <w:vAlign w:val="center"/>
          </w:tcPr>
          <w:p w14:paraId="689FE5CD">
            <w:pPr>
              <w:widowControl/>
              <w:spacing w:line="400" w:lineRule="exact"/>
              <w:ind w:left="0" w:leftChars="0" w:right="-41" w:rightChars="-13" w:firstLine="0" w:firstLineChars="0"/>
              <w:jc w:val="both"/>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土木建筑工程、安装</w:t>
            </w:r>
            <w:r>
              <w:rPr>
                <w:rFonts w:hint="eastAsia" w:ascii="仿宋_GB2312" w:hAnsi="仿宋_GB2312" w:cs="仿宋_GB2312"/>
                <w:color w:val="auto"/>
                <w:kern w:val="0"/>
                <w:sz w:val="21"/>
                <w:szCs w:val="21"/>
                <w:lang w:eastAsia="zh-CN"/>
              </w:rPr>
              <w:t>工程</w:t>
            </w:r>
            <w:r>
              <w:rPr>
                <w:rFonts w:hint="eastAsia" w:ascii="仿宋_GB2312" w:hAnsi="仿宋_GB2312" w:cs="仿宋_GB2312"/>
                <w:color w:val="auto"/>
                <w:kern w:val="0"/>
                <w:sz w:val="21"/>
                <w:szCs w:val="21"/>
                <w:lang w:eastAsia="zh-CN"/>
              </w:rPr>
              <w:br w:type="textWrapping"/>
            </w:r>
            <w:r>
              <w:rPr>
                <w:rFonts w:hint="eastAsia" w:ascii="仿宋_GB2312" w:hAnsi="仿宋_GB2312" w:eastAsia="仿宋_GB2312" w:cs="仿宋_GB2312"/>
                <w:color w:val="auto"/>
                <w:kern w:val="0"/>
                <w:sz w:val="21"/>
                <w:szCs w:val="21"/>
                <w:lang w:eastAsia="zh-CN"/>
              </w:rPr>
              <w:t>各专业不少于</w:t>
            </w:r>
            <w:r>
              <w:rPr>
                <w:rFonts w:hint="eastAsia" w:ascii="仿宋_GB2312" w:hAnsi="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lang w:val="en-US" w:eastAsia="zh-CN"/>
              </w:rPr>
              <w:t>名，记</w:t>
            </w:r>
            <w:r>
              <w:rPr>
                <w:rFonts w:hint="eastAsia" w:ascii="仿宋_GB2312" w:hAnsi="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分</w:t>
            </w:r>
          </w:p>
        </w:tc>
      </w:tr>
      <w:tr w14:paraId="27ED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77" w:type="dxa"/>
            <w:vMerge w:val="continue"/>
            <w:tcBorders>
              <w:left w:val="single" w:color="auto" w:sz="4" w:space="0"/>
              <w:right w:val="single" w:color="auto" w:sz="4" w:space="0"/>
            </w:tcBorders>
            <w:noWrap w:val="0"/>
            <w:vAlign w:val="center"/>
          </w:tcPr>
          <w:p w14:paraId="337E7011">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tc>
        <w:tc>
          <w:tcPr>
            <w:tcW w:w="983" w:type="dxa"/>
            <w:vMerge w:val="restart"/>
            <w:tcBorders>
              <w:top w:val="single" w:color="auto" w:sz="4" w:space="0"/>
              <w:left w:val="single" w:color="auto" w:sz="4" w:space="0"/>
              <w:right w:val="single" w:color="auto" w:sz="4" w:space="0"/>
            </w:tcBorders>
            <w:noWrap w:val="0"/>
            <w:vAlign w:val="center"/>
          </w:tcPr>
          <w:p w14:paraId="683BB580">
            <w:pPr>
              <w:widowControl/>
              <w:spacing w:line="400" w:lineRule="exact"/>
              <w:ind w:left="-1" w:leftChars="-12" w:right="-70" w:rightChars="-22" w:hanging="37" w:hangingChars="18"/>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获奖</w:t>
            </w:r>
          </w:p>
          <w:p w14:paraId="56849E6F">
            <w:pPr>
              <w:widowControl/>
              <w:spacing w:line="400" w:lineRule="exact"/>
              <w:ind w:left="-1" w:leftChars="-12" w:right="-70" w:rightChars="-22" w:hanging="37" w:hangingChars="18"/>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信息</w:t>
            </w:r>
          </w:p>
        </w:tc>
        <w:tc>
          <w:tcPr>
            <w:tcW w:w="1182" w:type="dxa"/>
            <w:vMerge w:val="restart"/>
            <w:tcBorders>
              <w:top w:val="single" w:color="auto" w:sz="4" w:space="0"/>
              <w:left w:val="single" w:color="auto" w:sz="4" w:space="0"/>
              <w:right w:val="single" w:color="auto" w:sz="4" w:space="0"/>
            </w:tcBorders>
            <w:noWrap w:val="0"/>
            <w:vAlign w:val="center"/>
          </w:tcPr>
          <w:p w14:paraId="635D5530">
            <w:pPr>
              <w:widowControl/>
              <w:spacing w:line="400" w:lineRule="exact"/>
              <w:ind w:right="-160" w:rightChars="-50"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国家级</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2625093C">
            <w:pPr>
              <w:widowControl/>
              <w:spacing w:line="400" w:lineRule="exact"/>
              <w:ind w:right="-54" w:rightChars="-17"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lang w:val="en-US" w:eastAsia="zh-CN"/>
              </w:rPr>
              <w:t>国务院及其组成部门</w:t>
            </w:r>
            <w:r>
              <w:rPr>
                <w:rFonts w:hint="eastAsia" w:ascii="仿宋_GB2312" w:hAnsi="仿宋_GB2312" w:eastAsia="仿宋_GB2312" w:cs="仿宋_GB2312"/>
                <w:color w:val="auto"/>
                <w:kern w:val="0"/>
                <w:sz w:val="21"/>
                <w:szCs w:val="21"/>
              </w:rPr>
              <w:t>颁发的与造价咨询活动相关的表彰或奖励</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59E6D308">
            <w:pPr>
              <w:widowControl/>
              <w:spacing w:line="400" w:lineRule="exact"/>
              <w:ind w:left="0" w:leftChars="0" w:right="-160" w:rightChars="-50"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每项</w:t>
            </w: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分，最多</w:t>
            </w: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 xml:space="preserve">分 </w:t>
            </w:r>
          </w:p>
        </w:tc>
      </w:tr>
      <w:tr w14:paraId="0F41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77" w:type="dxa"/>
            <w:vMerge w:val="continue"/>
            <w:tcBorders>
              <w:left w:val="single" w:color="auto" w:sz="4" w:space="0"/>
              <w:right w:val="single" w:color="auto" w:sz="4" w:space="0"/>
            </w:tcBorders>
            <w:noWrap w:val="0"/>
            <w:vAlign w:val="center"/>
          </w:tcPr>
          <w:p w14:paraId="64D7D291">
            <w:pPr>
              <w:widowControl/>
              <w:spacing w:line="400" w:lineRule="exact"/>
              <w:ind w:left="0" w:leftChars="0" w:right="-156" w:rightChars="-49" w:firstLine="0" w:firstLineChars="0"/>
              <w:jc w:val="both"/>
              <w:rPr>
                <w:rFonts w:hint="eastAsia" w:ascii="仿宋_GB2312" w:hAnsi="仿宋_GB2312" w:eastAsia="仿宋_GB2312" w:cs="仿宋_GB2312"/>
                <w:color w:val="auto"/>
                <w:sz w:val="21"/>
              </w:rPr>
            </w:pPr>
          </w:p>
        </w:tc>
        <w:tc>
          <w:tcPr>
            <w:tcW w:w="983" w:type="dxa"/>
            <w:vMerge w:val="continue"/>
            <w:tcBorders>
              <w:left w:val="single" w:color="auto" w:sz="4" w:space="0"/>
              <w:right w:val="single" w:color="auto" w:sz="4" w:space="0"/>
            </w:tcBorders>
            <w:noWrap w:val="0"/>
            <w:vAlign w:val="center"/>
          </w:tcPr>
          <w:p w14:paraId="5C96E29E">
            <w:pPr>
              <w:widowControl/>
              <w:spacing w:line="400" w:lineRule="exact"/>
              <w:ind w:left="-1" w:leftChars="-12" w:right="-70" w:rightChars="-22" w:hanging="37" w:hangingChars="18"/>
              <w:jc w:val="center"/>
              <w:rPr>
                <w:rFonts w:hint="eastAsia" w:ascii="仿宋_GB2312" w:hAnsi="仿宋_GB2312" w:eastAsia="仿宋_GB2312" w:cs="仿宋_GB2312"/>
                <w:color w:val="auto"/>
                <w:sz w:val="21"/>
              </w:rPr>
            </w:pPr>
          </w:p>
        </w:tc>
        <w:tc>
          <w:tcPr>
            <w:tcW w:w="1182" w:type="dxa"/>
            <w:vMerge w:val="continue"/>
            <w:tcBorders>
              <w:left w:val="single" w:color="auto" w:sz="4" w:space="0"/>
              <w:bottom w:val="single" w:color="auto" w:sz="4" w:space="0"/>
              <w:right w:val="single" w:color="auto" w:sz="4" w:space="0"/>
            </w:tcBorders>
            <w:noWrap w:val="0"/>
            <w:vAlign w:val="center"/>
          </w:tcPr>
          <w:p w14:paraId="75AE67A5">
            <w:pPr>
              <w:widowControl/>
              <w:spacing w:line="400" w:lineRule="exact"/>
              <w:ind w:left="0" w:leftChars="0" w:right="-160" w:rightChars="-50" w:firstLine="0" w:firstLineChars="0"/>
              <w:jc w:val="both"/>
              <w:rPr>
                <w:rFonts w:hint="eastAsia" w:ascii="仿宋_GB2312" w:hAnsi="仿宋_GB2312" w:eastAsia="仿宋_GB2312" w:cs="仿宋_GB2312"/>
                <w:color w:val="auto"/>
                <w:kern w:val="0"/>
                <w:sz w:val="21"/>
                <w:szCs w:val="21"/>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14:paraId="504D86D0">
            <w:pPr>
              <w:widowControl/>
              <w:spacing w:line="400" w:lineRule="exact"/>
              <w:ind w:right="-54" w:rightChars="-17"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全国造价行业协会组织的</w:t>
            </w:r>
            <w:r>
              <w:rPr>
                <w:rFonts w:hint="eastAsia" w:ascii="仿宋_GB2312" w:hAnsi="仿宋_GB2312" w:eastAsia="仿宋_GB2312" w:cs="仿宋_GB2312"/>
                <w:color w:val="auto"/>
                <w:kern w:val="0"/>
                <w:sz w:val="21"/>
                <w:szCs w:val="21"/>
              </w:rPr>
              <w:t>与造价咨询活动相关的表彰或奖励</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00ECC81A">
            <w:pPr>
              <w:widowControl/>
              <w:spacing w:line="400" w:lineRule="exact"/>
              <w:ind w:left="0" w:leftChars="0" w:right="-64" w:rightChars="-20"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最高奖</w:t>
            </w:r>
            <w:r>
              <w:rPr>
                <w:rFonts w:hint="eastAsia" w:ascii="仿宋_GB2312" w:hAnsi="仿宋_GB2312" w:eastAsia="仿宋_GB2312" w:cs="仿宋_GB2312"/>
                <w:color w:val="auto"/>
                <w:kern w:val="0"/>
                <w:sz w:val="21"/>
                <w:szCs w:val="21"/>
                <w:lang w:eastAsia="zh-CN"/>
              </w:rPr>
              <w:t>记</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分，最多</w:t>
            </w:r>
            <w:r>
              <w:rPr>
                <w:rFonts w:hint="eastAsia" w:ascii="仿宋_GB2312" w:hAnsi="仿宋_GB2312" w:eastAsia="仿宋_GB2312" w:cs="仿宋_GB2312"/>
                <w:color w:val="auto"/>
                <w:kern w:val="0"/>
                <w:sz w:val="21"/>
                <w:szCs w:val="21"/>
                <w:lang w:eastAsia="zh-CN"/>
              </w:rPr>
              <w:t>记</w:t>
            </w:r>
            <w:r>
              <w:rPr>
                <w:rFonts w:hint="eastAsia" w:ascii="仿宋_GB2312" w:hAnsi="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分</w:t>
            </w:r>
            <w:r>
              <w:rPr>
                <w:rFonts w:hint="eastAsia" w:ascii="仿宋_GB2312" w:hAnsi="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 xml:space="preserve"> </w:t>
            </w:r>
          </w:p>
        </w:tc>
      </w:tr>
      <w:tr w14:paraId="2A61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77" w:type="dxa"/>
            <w:vMerge w:val="continue"/>
            <w:tcBorders>
              <w:left w:val="single" w:color="auto" w:sz="4" w:space="0"/>
              <w:right w:val="single" w:color="auto" w:sz="4" w:space="0"/>
            </w:tcBorders>
            <w:noWrap w:val="0"/>
            <w:vAlign w:val="center"/>
          </w:tcPr>
          <w:p w14:paraId="30BEDF39">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tc>
        <w:tc>
          <w:tcPr>
            <w:tcW w:w="983" w:type="dxa"/>
            <w:vMerge w:val="continue"/>
            <w:tcBorders>
              <w:left w:val="single" w:color="auto" w:sz="4" w:space="0"/>
              <w:right w:val="single" w:color="auto" w:sz="4" w:space="0"/>
            </w:tcBorders>
            <w:noWrap w:val="0"/>
            <w:vAlign w:val="center"/>
          </w:tcPr>
          <w:p w14:paraId="5A709B12">
            <w:pPr>
              <w:widowControl/>
              <w:spacing w:line="400" w:lineRule="exact"/>
              <w:ind w:left="-1" w:leftChars="-12" w:right="-70" w:rightChars="-22" w:hanging="37" w:hangingChars="18"/>
              <w:jc w:val="center"/>
              <w:rPr>
                <w:rFonts w:hint="eastAsia" w:ascii="仿宋_GB2312" w:hAnsi="仿宋_GB2312" w:eastAsia="仿宋_GB2312" w:cs="仿宋_GB2312"/>
                <w:color w:val="auto"/>
                <w:kern w:val="0"/>
                <w:sz w:val="21"/>
                <w:szCs w:val="21"/>
              </w:rPr>
            </w:pPr>
          </w:p>
        </w:tc>
        <w:tc>
          <w:tcPr>
            <w:tcW w:w="1182" w:type="dxa"/>
            <w:vMerge w:val="restart"/>
            <w:tcBorders>
              <w:top w:val="single" w:color="auto" w:sz="4" w:space="0"/>
              <w:left w:val="single" w:color="auto" w:sz="4" w:space="0"/>
              <w:bottom w:val="single" w:color="auto" w:sz="4" w:space="0"/>
              <w:right w:val="single" w:color="auto" w:sz="4" w:space="0"/>
            </w:tcBorders>
            <w:noWrap w:val="0"/>
            <w:vAlign w:val="center"/>
          </w:tcPr>
          <w:p w14:paraId="673E1F7E">
            <w:pPr>
              <w:widowControl/>
              <w:spacing w:line="400" w:lineRule="exact"/>
              <w:ind w:left="0" w:leftChars="0" w:right="-160" w:rightChars="-50"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省</w:t>
            </w:r>
            <w:r>
              <w:rPr>
                <w:rFonts w:hint="eastAsia" w:ascii="仿宋_GB2312" w:hAnsi="仿宋_GB2312" w:eastAsia="仿宋_GB2312" w:cs="仿宋_GB2312"/>
                <w:color w:val="auto"/>
                <w:kern w:val="0"/>
                <w:sz w:val="21"/>
                <w:szCs w:val="21"/>
              </w:rPr>
              <w:t>级</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49C8EBA6">
            <w:pPr>
              <w:widowControl/>
              <w:spacing w:line="400" w:lineRule="exact"/>
              <w:ind w:right="-54" w:rightChars="-17"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省级</w:t>
            </w:r>
            <w:r>
              <w:rPr>
                <w:rFonts w:hint="eastAsia" w:ascii="仿宋_GB2312" w:hAnsi="仿宋_GB2312" w:eastAsia="仿宋_GB2312" w:cs="仿宋_GB2312"/>
                <w:color w:val="auto"/>
                <w:sz w:val="21"/>
                <w:szCs w:val="21"/>
                <w:lang w:val="en-US" w:eastAsia="zh-CN"/>
              </w:rPr>
              <w:t>人民政府及其组成部门</w:t>
            </w:r>
            <w:r>
              <w:rPr>
                <w:rFonts w:hint="eastAsia" w:ascii="仿宋_GB2312" w:hAnsi="仿宋_GB2312" w:eastAsia="仿宋_GB2312" w:cs="仿宋_GB2312"/>
                <w:color w:val="auto"/>
                <w:kern w:val="0"/>
                <w:sz w:val="21"/>
                <w:szCs w:val="21"/>
                <w:lang w:eastAsia="zh-CN"/>
              </w:rPr>
              <w:t>颁</w:t>
            </w:r>
            <w:r>
              <w:rPr>
                <w:rFonts w:hint="eastAsia" w:ascii="仿宋_GB2312" w:hAnsi="仿宋_GB2312" w:eastAsia="仿宋_GB2312" w:cs="仿宋_GB2312"/>
                <w:color w:val="auto"/>
                <w:kern w:val="0"/>
                <w:sz w:val="21"/>
                <w:szCs w:val="21"/>
              </w:rPr>
              <w:t>发的与造价咨询活动相关的表彰或奖励</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64697F9A">
            <w:pPr>
              <w:widowControl/>
              <w:spacing w:line="400" w:lineRule="exact"/>
              <w:ind w:left="0" w:leftChars="0" w:right="-160" w:rightChars="-50"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每项</w:t>
            </w: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分，最多</w:t>
            </w: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 xml:space="preserve">分 </w:t>
            </w:r>
          </w:p>
        </w:tc>
      </w:tr>
      <w:tr w14:paraId="29B4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77" w:type="dxa"/>
            <w:vMerge w:val="continue"/>
            <w:tcBorders>
              <w:left w:val="single" w:color="auto" w:sz="4" w:space="0"/>
              <w:right w:val="single" w:color="auto" w:sz="4" w:space="0"/>
            </w:tcBorders>
            <w:noWrap w:val="0"/>
            <w:vAlign w:val="center"/>
          </w:tcPr>
          <w:p w14:paraId="55B33D04">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tc>
        <w:tc>
          <w:tcPr>
            <w:tcW w:w="983" w:type="dxa"/>
            <w:vMerge w:val="continue"/>
            <w:tcBorders>
              <w:left w:val="single" w:color="auto" w:sz="4" w:space="0"/>
              <w:right w:val="single" w:color="auto" w:sz="4" w:space="0"/>
            </w:tcBorders>
            <w:noWrap w:val="0"/>
            <w:vAlign w:val="center"/>
          </w:tcPr>
          <w:p w14:paraId="166724CC">
            <w:pPr>
              <w:widowControl/>
              <w:spacing w:line="400" w:lineRule="exact"/>
              <w:ind w:left="-1" w:leftChars="-12" w:right="-70" w:rightChars="-22" w:hanging="37" w:hangingChars="18"/>
              <w:jc w:val="center"/>
              <w:rPr>
                <w:rFonts w:hint="eastAsia" w:ascii="仿宋_GB2312" w:hAnsi="仿宋_GB2312" w:eastAsia="仿宋_GB2312" w:cs="仿宋_GB2312"/>
                <w:color w:val="auto"/>
                <w:kern w:val="0"/>
                <w:sz w:val="21"/>
                <w:szCs w:val="21"/>
              </w:rPr>
            </w:pPr>
          </w:p>
        </w:tc>
        <w:tc>
          <w:tcPr>
            <w:tcW w:w="1182" w:type="dxa"/>
            <w:vMerge w:val="continue"/>
            <w:tcBorders>
              <w:top w:val="single" w:color="auto" w:sz="4" w:space="0"/>
              <w:left w:val="single" w:color="auto" w:sz="4" w:space="0"/>
              <w:bottom w:val="single" w:color="auto" w:sz="4" w:space="0"/>
              <w:right w:val="single" w:color="auto" w:sz="4" w:space="0"/>
            </w:tcBorders>
            <w:noWrap w:val="0"/>
            <w:vAlign w:val="center"/>
          </w:tcPr>
          <w:p w14:paraId="2BABB9CE">
            <w:pPr>
              <w:widowControl/>
              <w:spacing w:line="400" w:lineRule="exact"/>
              <w:ind w:firstLine="420" w:firstLineChars="200"/>
              <w:jc w:val="both"/>
              <w:rPr>
                <w:rFonts w:hint="eastAsia" w:ascii="仿宋_GB2312" w:hAnsi="仿宋_GB2312" w:eastAsia="仿宋_GB2312" w:cs="仿宋_GB2312"/>
                <w:color w:val="auto"/>
                <w:kern w:val="0"/>
                <w:sz w:val="21"/>
                <w:szCs w:val="21"/>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14:paraId="4553DFCD">
            <w:pPr>
              <w:widowControl/>
              <w:spacing w:line="400" w:lineRule="exact"/>
              <w:ind w:right="-54" w:rightChars="-17" w:firstLine="0" w:firstLineChars="0"/>
              <w:jc w:val="both"/>
              <w:rPr>
                <w:rFonts w:hint="eastAsia" w:ascii="仿宋_GB2312" w:hAnsi="宋体" w:eastAsia="仿宋_GB2312" w:cs="宋体"/>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省级造价行业协会组织的</w:t>
            </w:r>
            <w:r>
              <w:rPr>
                <w:rFonts w:hint="eastAsia" w:ascii="仿宋_GB2312" w:hAnsi="仿宋_GB2312" w:eastAsia="仿宋_GB2312" w:cs="仿宋_GB2312"/>
                <w:color w:val="auto"/>
                <w:kern w:val="0"/>
                <w:sz w:val="21"/>
                <w:szCs w:val="21"/>
              </w:rPr>
              <w:t>与造价咨询活动相关的表彰或奖励</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6C9E23C1">
            <w:pPr>
              <w:widowControl/>
              <w:spacing w:line="400" w:lineRule="exact"/>
              <w:ind w:left="0" w:leftChars="0" w:right="-160" w:rightChars="-50"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cs="仿宋_GB2312"/>
                <w:color w:val="auto"/>
                <w:kern w:val="0"/>
                <w:sz w:val="21"/>
                <w:szCs w:val="21"/>
                <w:lang w:eastAsia="zh-CN"/>
              </w:rPr>
              <w:t>每项</w:t>
            </w: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rPr>
              <w:t>1分，最多</w:t>
            </w:r>
            <w:r>
              <w:rPr>
                <w:rFonts w:hint="eastAsia" w:ascii="仿宋_GB2312" w:hAnsi="仿宋_GB2312" w:eastAsia="仿宋_GB2312" w:cs="仿宋_GB2312"/>
                <w:color w:val="auto"/>
                <w:kern w:val="0"/>
                <w:sz w:val="21"/>
                <w:szCs w:val="21"/>
                <w:lang w:eastAsia="zh-CN"/>
              </w:rPr>
              <w:t>记</w:t>
            </w:r>
            <w:r>
              <w:rPr>
                <w:rFonts w:hint="eastAsia" w:ascii="仿宋_GB2312" w:hAnsi="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 xml:space="preserve">分 </w:t>
            </w:r>
          </w:p>
        </w:tc>
      </w:tr>
      <w:tr w14:paraId="4A81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77" w:type="dxa"/>
            <w:vMerge w:val="continue"/>
            <w:tcBorders>
              <w:left w:val="single" w:color="auto" w:sz="4" w:space="0"/>
              <w:right w:val="single" w:color="auto" w:sz="4" w:space="0"/>
            </w:tcBorders>
            <w:noWrap w:val="0"/>
            <w:vAlign w:val="center"/>
          </w:tcPr>
          <w:p w14:paraId="4E6EDCC7">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tc>
        <w:tc>
          <w:tcPr>
            <w:tcW w:w="983" w:type="dxa"/>
            <w:vMerge w:val="continue"/>
            <w:tcBorders>
              <w:left w:val="single" w:color="auto" w:sz="4" w:space="0"/>
              <w:bottom w:val="single" w:color="auto" w:sz="4" w:space="0"/>
              <w:right w:val="single" w:color="auto" w:sz="4" w:space="0"/>
            </w:tcBorders>
            <w:noWrap w:val="0"/>
            <w:vAlign w:val="center"/>
          </w:tcPr>
          <w:p w14:paraId="3FABF771">
            <w:pPr>
              <w:widowControl/>
              <w:spacing w:line="400" w:lineRule="exact"/>
              <w:ind w:left="-1" w:leftChars="-12" w:right="-70" w:rightChars="-22" w:hanging="37" w:hangingChars="18"/>
              <w:jc w:val="center"/>
              <w:rPr>
                <w:rFonts w:hint="eastAsia" w:ascii="仿宋_GB2312" w:hAnsi="仿宋_GB2312" w:eastAsia="仿宋_GB2312" w:cs="仿宋_GB2312"/>
                <w:color w:val="auto"/>
                <w:kern w:val="0"/>
                <w:sz w:val="21"/>
                <w:szCs w:val="21"/>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77B7C47">
            <w:pPr>
              <w:widowControl/>
              <w:spacing w:line="400" w:lineRule="exact"/>
              <w:ind w:firstLine="0" w:firstLineChars="0"/>
              <w:jc w:val="both"/>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其它</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2E988CED">
            <w:pPr>
              <w:widowControl/>
              <w:spacing w:line="400" w:lineRule="exact"/>
              <w:ind w:right="-54" w:rightChars="-17" w:firstLine="0" w:firstLineChars="0"/>
              <w:jc w:val="both"/>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在</w:t>
            </w:r>
            <w:r>
              <w:rPr>
                <w:rFonts w:hint="eastAsia" w:ascii="仿宋_GB2312" w:hAnsi="仿宋_GB2312" w:cs="仿宋_GB2312"/>
                <w:color w:val="auto"/>
                <w:kern w:val="0"/>
                <w:sz w:val="21"/>
                <w:szCs w:val="21"/>
                <w:highlight w:val="none"/>
                <w:lang w:eastAsia="zh-CN"/>
              </w:rPr>
              <w:t>造价管理部门组织的</w:t>
            </w:r>
            <w:r>
              <w:rPr>
                <w:rFonts w:hint="eastAsia" w:ascii="仿宋_GB2312" w:hAnsi="仿宋_GB2312" w:eastAsia="仿宋_GB2312" w:cs="仿宋_GB2312"/>
                <w:color w:val="auto"/>
                <w:kern w:val="0"/>
                <w:sz w:val="21"/>
                <w:szCs w:val="21"/>
                <w:highlight w:val="none"/>
                <w:lang w:eastAsia="zh-CN"/>
              </w:rPr>
              <w:t>成果文件</w:t>
            </w:r>
            <w:r>
              <w:rPr>
                <w:rFonts w:hint="eastAsia" w:ascii="仿宋_GB2312" w:hAnsi="仿宋_GB2312" w:cs="仿宋_GB2312"/>
                <w:color w:val="auto"/>
                <w:kern w:val="0"/>
                <w:sz w:val="21"/>
                <w:szCs w:val="21"/>
                <w:highlight w:val="none"/>
                <w:lang w:eastAsia="zh-CN"/>
              </w:rPr>
              <w:t>等</w:t>
            </w:r>
            <w:r>
              <w:rPr>
                <w:rFonts w:hint="eastAsia" w:ascii="仿宋_GB2312" w:hAnsi="仿宋_GB2312" w:eastAsia="仿宋_GB2312" w:cs="仿宋_GB2312"/>
                <w:color w:val="auto"/>
                <w:kern w:val="0"/>
                <w:sz w:val="21"/>
                <w:szCs w:val="21"/>
                <w:highlight w:val="none"/>
                <w:lang w:eastAsia="zh-CN"/>
              </w:rPr>
              <w:t>检查</w:t>
            </w:r>
            <w:r>
              <w:rPr>
                <w:rFonts w:hint="eastAsia" w:ascii="仿宋_GB2312" w:hAnsi="仿宋_GB2312" w:eastAsia="仿宋_GB2312" w:cs="仿宋_GB2312"/>
                <w:color w:val="auto"/>
                <w:kern w:val="0"/>
                <w:sz w:val="21"/>
                <w:szCs w:val="21"/>
                <w:highlight w:val="none"/>
              </w:rPr>
              <w:t>中</w:t>
            </w:r>
            <w:r>
              <w:rPr>
                <w:rFonts w:hint="eastAsia" w:ascii="仿宋_GB2312" w:hAnsi="仿宋_GB2312" w:eastAsia="仿宋_GB2312" w:cs="仿宋_GB2312"/>
                <w:color w:val="auto"/>
                <w:kern w:val="0"/>
                <w:sz w:val="21"/>
                <w:szCs w:val="21"/>
                <w:highlight w:val="none"/>
                <w:lang w:eastAsia="zh-CN"/>
              </w:rPr>
              <w:t>质量较好</w:t>
            </w:r>
            <w:r>
              <w:rPr>
                <w:rFonts w:hint="eastAsia" w:ascii="仿宋_GB2312" w:hAnsi="仿宋_GB2312" w:cs="仿宋_GB2312"/>
                <w:color w:val="auto"/>
                <w:kern w:val="0"/>
                <w:sz w:val="21"/>
                <w:szCs w:val="21"/>
                <w:highlight w:val="none"/>
                <w:lang w:eastAsia="zh-CN"/>
              </w:rPr>
              <w:t>的</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3ECFD829">
            <w:pPr>
              <w:widowControl/>
              <w:spacing w:line="400" w:lineRule="exact"/>
              <w:ind w:left="0" w:leftChars="0" w:right="-160" w:rightChars="-50" w:firstLine="0" w:firstLineChars="0"/>
              <w:jc w:val="both"/>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每</w:t>
            </w:r>
            <w:r>
              <w:rPr>
                <w:rFonts w:hint="eastAsia" w:ascii="仿宋_GB2312" w:hAnsi="仿宋_GB2312" w:eastAsia="仿宋_GB2312" w:cs="仿宋_GB2312"/>
                <w:color w:val="auto"/>
                <w:kern w:val="0"/>
                <w:sz w:val="21"/>
                <w:szCs w:val="21"/>
                <w:highlight w:val="none"/>
                <w:lang w:eastAsia="zh-CN"/>
              </w:rPr>
              <w:t>次记</w:t>
            </w:r>
            <w:r>
              <w:rPr>
                <w:rFonts w:hint="eastAsia" w:ascii="仿宋_GB2312" w:hAnsi="仿宋_GB2312" w:eastAsia="仿宋_GB2312" w:cs="仿宋_GB2312"/>
                <w:color w:val="auto"/>
                <w:kern w:val="0"/>
                <w:sz w:val="21"/>
                <w:szCs w:val="21"/>
                <w:highlight w:val="none"/>
                <w:lang w:val="en-US" w:eastAsia="zh-CN"/>
              </w:rPr>
              <w:t>2</w:t>
            </w:r>
            <w:r>
              <w:rPr>
                <w:rFonts w:hint="eastAsia" w:ascii="仿宋_GB2312" w:hAnsi="仿宋_GB2312" w:eastAsia="仿宋_GB2312" w:cs="仿宋_GB2312"/>
                <w:color w:val="auto"/>
                <w:kern w:val="0"/>
                <w:sz w:val="21"/>
                <w:szCs w:val="21"/>
                <w:highlight w:val="none"/>
              </w:rPr>
              <w:t>分</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最</w:t>
            </w:r>
            <w:r>
              <w:rPr>
                <w:rFonts w:hint="eastAsia" w:ascii="仿宋_GB2312" w:hAnsi="仿宋_GB2312" w:eastAsia="仿宋_GB2312" w:cs="仿宋_GB2312"/>
                <w:color w:val="auto"/>
                <w:kern w:val="0"/>
                <w:sz w:val="21"/>
                <w:szCs w:val="21"/>
                <w:highlight w:val="none"/>
                <w:lang w:eastAsia="zh-CN"/>
              </w:rPr>
              <w:t>多记</w:t>
            </w:r>
            <w:r>
              <w:rPr>
                <w:rFonts w:hint="eastAsia" w:ascii="仿宋_GB2312" w:hAnsi="仿宋_GB2312" w:cs="仿宋_GB2312"/>
                <w:color w:val="auto"/>
                <w:kern w:val="0"/>
                <w:sz w:val="21"/>
                <w:szCs w:val="21"/>
                <w:highlight w:val="none"/>
                <w:lang w:val="en-US" w:eastAsia="zh-CN"/>
              </w:rPr>
              <w:t>4</w:t>
            </w:r>
            <w:r>
              <w:rPr>
                <w:rFonts w:hint="eastAsia" w:ascii="仿宋_GB2312" w:hAnsi="仿宋_GB2312" w:eastAsia="仿宋_GB2312" w:cs="仿宋_GB2312"/>
                <w:color w:val="auto"/>
                <w:kern w:val="0"/>
                <w:sz w:val="21"/>
                <w:szCs w:val="21"/>
                <w:highlight w:val="none"/>
              </w:rPr>
              <w:t>分</w:t>
            </w:r>
          </w:p>
        </w:tc>
      </w:tr>
      <w:tr w14:paraId="2451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77" w:type="dxa"/>
            <w:vMerge w:val="continue"/>
            <w:tcBorders>
              <w:left w:val="single" w:color="auto" w:sz="4" w:space="0"/>
              <w:right w:val="single" w:color="auto" w:sz="4" w:space="0"/>
            </w:tcBorders>
            <w:noWrap w:val="0"/>
            <w:vAlign w:val="center"/>
          </w:tcPr>
          <w:p w14:paraId="1A06C862">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tc>
        <w:tc>
          <w:tcPr>
            <w:tcW w:w="983" w:type="dxa"/>
            <w:vMerge w:val="restart"/>
            <w:tcBorders>
              <w:top w:val="single" w:color="auto" w:sz="4" w:space="0"/>
              <w:left w:val="single" w:color="auto" w:sz="4" w:space="0"/>
              <w:right w:val="single" w:color="auto" w:sz="4" w:space="0"/>
            </w:tcBorders>
            <w:noWrap w:val="0"/>
            <w:vAlign w:val="center"/>
          </w:tcPr>
          <w:p w14:paraId="741D2400">
            <w:pPr>
              <w:widowControl/>
              <w:spacing w:line="400" w:lineRule="exact"/>
              <w:ind w:left="-1" w:leftChars="-12" w:right="-70" w:rightChars="-22" w:hanging="37" w:hangingChars="18"/>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社会</w:t>
            </w:r>
          </w:p>
          <w:p w14:paraId="6A267A1D">
            <w:pPr>
              <w:widowControl/>
              <w:spacing w:line="400" w:lineRule="exact"/>
              <w:ind w:left="-1" w:leftChars="-12" w:right="-70" w:rightChars="-22" w:hanging="37" w:hangingChars="18"/>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责任</w:t>
            </w:r>
          </w:p>
        </w:tc>
        <w:tc>
          <w:tcPr>
            <w:tcW w:w="4682" w:type="dxa"/>
            <w:gridSpan w:val="2"/>
            <w:tcBorders>
              <w:top w:val="single" w:color="auto" w:sz="4" w:space="0"/>
              <w:left w:val="single" w:color="auto" w:sz="4" w:space="0"/>
              <w:right w:val="single" w:color="auto" w:sz="4" w:space="0"/>
            </w:tcBorders>
            <w:noWrap w:val="0"/>
            <w:vAlign w:val="center"/>
          </w:tcPr>
          <w:p w14:paraId="43684F8C">
            <w:pPr>
              <w:widowControl/>
              <w:spacing w:line="400" w:lineRule="exact"/>
              <w:ind w:right="-73" w:rightChars="-23" w:firstLine="0" w:firstLineChars="0"/>
              <w:jc w:val="both"/>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造价服务平台成果文件报送</w:t>
            </w:r>
            <w:r>
              <w:rPr>
                <w:rFonts w:hint="eastAsia" w:ascii="仿宋_GB2312" w:hAnsi="仿宋_GB2312" w:eastAsia="仿宋_GB2312" w:cs="仿宋_GB2312"/>
                <w:color w:val="auto"/>
                <w:kern w:val="0"/>
                <w:sz w:val="21"/>
                <w:szCs w:val="21"/>
                <w:lang w:eastAsia="zh-CN"/>
              </w:rPr>
              <w:t>数量（含合同、成果文件）</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17D8C4A0">
            <w:pPr>
              <w:widowControl/>
              <w:spacing w:line="400" w:lineRule="exact"/>
              <w:ind w:left="0" w:leftChars="0" w:right="-41" w:rightChars="-13"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每报送1项记</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分，最多记1</w:t>
            </w:r>
            <w:r>
              <w:rPr>
                <w:rFonts w:hint="eastAsia" w:ascii="仿宋_GB2312" w:hAnsi="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lang w:val="en-US" w:eastAsia="zh-CN"/>
              </w:rPr>
              <w:t>分</w:t>
            </w:r>
          </w:p>
        </w:tc>
      </w:tr>
      <w:tr w14:paraId="52A7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77" w:type="dxa"/>
            <w:vMerge w:val="continue"/>
            <w:tcBorders>
              <w:left w:val="single" w:color="auto" w:sz="4" w:space="0"/>
              <w:right w:val="single" w:color="auto" w:sz="4" w:space="0"/>
            </w:tcBorders>
            <w:noWrap w:val="0"/>
            <w:vAlign w:val="center"/>
          </w:tcPr>
          <w:p w14:paraId="3BCDB0CE">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tc>
        <w:tc>
          <w:tcPr>
            <w:tcW w:w="983" w:type="dxa"/>
            <w:vMerge w:val="continue"/>
            <w:tcBorders>
              <w:left w:val="single" w:color="auto" w:sz="4" w:space="0"/>
              <w:right w:val="single" w:color="auto" w:sz="4" w:space="0"/>
            </w:tcBorders>
            <w:noWrap w:val="0"/>
            <w:vAlign w:val="center"/>
          </w:tcPr>
          <w:p w14:paraId="2750F446">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rPr>
            </w:pPr>
          </w:p>
        </w:tc>
        <w:tc>
          <w:tcPr>
            <w:tcW w:w="4682" w:type="dxa"/>
            <w:gridSpan w:val="2"/>
            <w:tcBorders>
              <w:top w:val="single" w:color="auto" w:sz="4" w:space="0"/>
              <w:left w:val="single" w:color="auto" w:sz="4" w:space="0"/>
              <w:right w:val="single" w:color="auto" w:sz="4" w:space="0"/>
            </w:tcBorders>
            <w:noWrap w:val="0"/>
            <w:vAlign w:val="center"/>
          </w:tcPr>
          <w:p w14:paraId="3F196399">
            <w:pPr>
              <w:widowControl/>
              <w:spacing w:line="400" w:lineRule="exact"/>
              <w:ind w:right="-73" w:rightChars="-23"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造价服务平台成果文件</w:t>
            </w:r>
            <w:r>
              <w:rPr>
                <w:rFonts w:hint="eastAsia" w:ascii="仿宋_GB2312" w:hAnsi="仿宋_GB2312" w:eastAsia="仿宋_GB2312" w:cs="仿宋_GB2312"/>
                <w:color w:val="auto"/>
                <w:kern w:val="0"/>
                <w:sz w:val="21"/>
                <w:szCs w:val="21"/>
                <w:lang w:eastAsia="zh-CN"/>
              </w:rPr>
              <w:t>数据</w:t>
            </w:r>
            <w:r>
              <w:rPr>
                <w:rFonts w:hint="eastAsia" w:ascii="仿宋_GB2312" w:hAnsi="仿宋_GB2312" w:eastAsia="仿宋_GB2312" w:cs="仿宋_GB2312"/>
                <w:color w:val="auto"/>
                <w:kern w:val="0"/>
                <w:sz w:val="21"/>
                <w:szCs w:val="21"/>
              </w:rPr>
              <w:t>被</w:t>
            </w:r>
            <w:r>
              <w:rPr>
                <w:rFonts w:hint="eastAsia" w:ascii="仿宋_GB2312" w:hAnsi="仿宋_GB2312" w:eastAsia="仿宋_GB2312" w:cs="仿宋_GB2312"/>
                <w:color w:val="auto"/>
                <w:kern w:val="0"/>
                <w:sz w:val="21"/>
                <w:szCs w:val="21"/>
                <w:lang w:eastAsia="zh-CN"/>
              </w:rPr>
              <w:t>造</w:t>
            </w:r>
            <w:r>
              <w:rPr>
                <w:rFonts w:hint="eastAsia" w:ascii="仿宋_GB2312" w:hAnsi="仿宋_GB2312" w:eastAsia="仿宋_GB2312" w:cs="仿宋_GB2312"/>
                <w:color w:val="auto"/>
                <w:kern w:val="0"/>
                <w:sz w:val="21"/>
                <w:szCs w:val="21"/>
              </w:rPr>
              <w:t>价</w:t>
            </w:r>
            <w:r>
              <w:rPr>
                <w:rFonts w:hint="eastAsia" w:ascii="仿宋_GB2312" w:hAnsi="仿宋_GB2312" w:eastAsia="仿宋_GB2312" w:cs="仿宋_GB2312"/>
                <w:color w:val="auto"/>
                <w:kern w:val="0"/>
                <w:sz w:val="21"/>
                <w:szCs w:val="21"/>
                <w:lang w:eastAsia="zh-CN"/>
              </w:rPr>
              <w:t>管理部门</w:t>
            </w:r>
            <w:r>
              <w:rPr>
                <w:rFonts w:hint="eastAsia" w:ascii="仿宋_GB2312" w:hAnsi="仿宋_GB2312" w:eastAsia="仿宋_GB2312" w:cs="仿宋_GB2312"/>
                <w:color w:val="auto"/>
                <w:kern w:val="0"/>
                <w:sz w:val="21"/>
                <w:szCs w:val="21"/>
              </w:rPr>
              <w:t>采用</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2585AEC5">
            <w:pPr>
              <w:widowControl/>
              <w:spacing w:line="400" w:lineRule="exact"/>
              <w:ind w:left="0" w:leftChars="0" w:right="-160" w:rightChars="-50"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每项</w:t>
            </w: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分</w:t>
            </w:r>
          </w:p>
        </w:tc>
      </w:tr>
      <w:tr w14:paraId="5367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77" w:type="dxa"/>
            <w:vMerge w:val="continue"/>
            <w:tcBorders>
              <w:left w:val="single" w:color="auto" w:sz="4" w:space="0"/>
              <w:right w:val="single" w:color="auto" w:sz="4" w:space="0"/>
            </w:tcBorders>
            <w:noWrap w:val="0"/>
            <w:vAlign w:val="center"/>
          </w:tcPr>
          <w:p w14:paraId="68B5A3F6">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tc>
        <w:tc>
          <w:tcPr>
            <w:tcW w:w="983" w:type="dxa"/>
            <w:vMerge w:val="continue"/>
            <w:tcBorders>
              <w:left w:val="single" w:color="auto" w:sz="4" w:space="0"/>
              <w:right w:val="single" w:color="auto" w:sz="4" w:space="0"/>
            </w:tcBorders>
            <w:noWrap w:val="0"/>
            <w:vAlign w:val="center"/>
          </w:tcPr>
          <w:p w14:paraId="4A2C86DE">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rPr>
            </w:pPr>
          </w:p>
        </w:tc>
        <w:tc>
          <w:tcPr>
            <w:tcW w:w="4682" w:type="dxa"/>
            <w:gridSpan w:val="2"/>
            <w:tcBorders>
              <w:top w:val="single" w:color="auto" w:sz="4" w:space="0"/>
              <w:left w:val="single" w:color="auto" w:sz="4" w:space="0"/>
              <w:bottom w:val="single" w:color="auto" w:sz="4" w:space="0"/>
              <w:right w:val="single" w:color="auto" w:sz="4" w:space="0"/>
            </w:tcBorders>
            <w:noWrap w:val="0"/>
            <w:vAlign w:val="center"/>
          </w:tcPr>
          <w:p w14:paraId="7B67BC41">
            <w:pPr>
              <w:widowControl/>
              <w:spacing w:line="400" w:lineRule="exact"/>
              <w:ind w:right="-73" w:rightChars="-23"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参与制定工程造价管理国家标准</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43DC292B">
            <w:pPr>
              <w:widowControl/>
              <w:spacing w:line="400" w:lineRule="exact"/>
              <w:ind w:left="0" w:leftChars="0" w:right="-160" w:rightChars="-50"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每项</w:t>
            </w: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分，最多</w:t>
            </w: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 xml:space="preserve">分 </w:t>
            </w:r>
          </w:p>
        </w:tc>
      </w:tr>
      <w:tr w14:paraId="3E8B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77" w:type="dxa"/>
            <w:vMerge w:val="continue"/>
            <w:tcBorders>
              <w:left w:val="single" w:color="auto" w:sz="4" w:space="0"/>
              <w:right w:val="single" w:color="auto" w:sz="4" w:space="0"/>
            </w:tcBorders>
            <w:noWrap w:val="0"/>
            <w:vAlign w:val="center"/>
          </w:tcPr>
          <w:p w14:paraId="64F1A54E">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tc>
        <w:tc>
          <w:tcPr>
            <w:tcW w:w="983" w:type="dxa"/>
            <w:vMerge w:val="continue"/>
            <w:tcBorders>
              <w:left w:val="single" w:color="auto" w:sz="4" w:space="0"/>
              <w:right w:val="single" w:color="auto" w:sz="4" w:space="0"/>
            </w:tcBorders>
            <w:noWrap w:val="0"/>
            <w:vAlign w:val="center"/>
          </w:tcPr>
          <w:p w14:paraId="2596C935">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rPr>
            </w:pPr>
          </w:p>
        </w:tc>
        <w:tc>
          <w:tcPr>
            <w:tcW w:w="4682" w:type="dxa"/>
            <w:gridSpan w:val="2"/>
            <w:tcBorders>
              <w:top w:val="single" w:color="auto" w:sz="4" w:space="0"/>
              <w:left w:val="single" w:color="auto" w:sz="4" w:space="0"/>
              <w:bottom w:val="single" w:color="auto" w:sz="4" w:space="0"/>
              <w:right w:val="single" w:color="auto" w:sz="4" w:space="0"/>
            </w:tcBorders>
            <w:noWrap w:val="0"/>
            <w:vAlign w:val="center"/>
          </w:tcPr>
          <w:p w14:paraId="726DCCB4">
            <w:pPr>
              <w:widowControl/>
              <w:spacing w:line="400" w:lineRule="exact"/>
              <w:ind w:right="-73" w:rightChars="-23"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参与制定工程造价管理行业标准</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27F76C8E">
            <w:pPr>
              <w:widowControl/>
              <w:spacing w:line="400" w:lineRule="exact"/>
              <w:ind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每项</w:t>
            </w: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rPr>
              <w:t>1分，最多</w:t>
            </w: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 xml:space="preserve">分 </w:t>
            </w:r>
          </w:p>
        </w:tc>
      </w:tr>
      <w:tr w14:paraId="73D9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77" w:type="dxa"/>
            <w:vMerge w:val="continue"/>
            <w:tcBorders>
              <w:left w:val="single" w:color="auto" w:sz="4" w:space="0"/>
              <w:right w:val="single" w:color="auto" w:sz="4" w:space="0"/>
            </w:tcBorders>
            <w:noWrap w:val="0"/>
            <w:vAlign w:val="center"/>
          </w:tcPr>
          <w:p w14:paraId="4B285984">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tc>
        <w:tc>
          <w:tcPr>
            <w:tcW w:w="983" w:type="dxa"/>
            <w:vMerge w:val="continue"/>
            <w:tcBorders>
              <w:left w:val="single" w:color="auto" w:sz="4" w:space="0"/>
              <w:right w:val="single" w:color="auto" w:sz="4" w:space="0"/>
            </w:tcBorders>
            <w:noWrap w:val="0"/>
            <w:vAlign w:val="center"/>
          </w:tcPr>
          <w:p w14:paraId="73DE739D">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rPr>
            </w:pPr>
          </w:p>
        </w:tc>
        <w:tc>
          <w:tcPr>
            <w:tcW w:w="4682" w:type="dxa"/>
            <w:gridSpan w:val="2"/>
            <w:tcBorders>
              <w:top w:val="single" w:color="auto" w:sz="4" w:space="0"/>
              <w:left w:val="single" w:color="auto" w:sz="4" w:space="0"/>
              <w:bottom w:val="single" w:color="auto" w:sz="4" w:space="0"/>
              <w:right w:val="single" w:color="auto" w:sz="4" w:space="0"/>
            </w:tcBorders>
            <w:noWrap w:val="0"/>
            <w:vAlign w:val="center"/>
          </w:tcPr>
          <w:p w14:paraId="03A44926">
            <w:pPr>
              <w:widowControl/>
              <w:spacing w:line="400" w:lineRule="exact"/>
              <w:ind w:right="-73" w:rightChars="-23"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参与制定北京市工程造价管理</w:t>
            </w:r>
            <w:r>
              <w:rPr>
                <w:rFonts w:hint="eastAsia" w:ascii="仿宋_GB2312" w:hAnsi="仿宋_GB2312" w:eastAsia="仿宋_GB2312" w:cs="仿宋_GB2312"/>
                <w:color w:val="auto"/>
                <w:kern w:val="0"/>
                <w:sz w:val="21"/>
                <w:szCs w:val="21"/>
                <w:lang w:eastAsia="zh-CN"/>
              </w:rPr>
              <w:t>相关</w:t>
            </w:r>
            <w:r>
              <w:rPr>
                <w:rFonts w:hint="eastAsia" w:ascii="仿宋_GB2312" w:hAnsi="仿宋_GB2312" w:eastAsia="仿宋_GB2312" w:cs="仿宋_GB2312"/>
                <w:color w:val="auto"/>
                <w:kern w:val="0"/>
                <w:sz w:val="21"/>
                <w:szCs w:val="21"/>
              </w:rPr>
              <w:t>地方标准、</w:t>
            </w:r>
            <w:r>
              <w:rPr>
                <w:rFonts w:hint="eastAsia" w:ascii="仿宋_GB2312" w:hAnsi="仿宋_GB2312" w:eastAsia="仿宋_GB2312" w:cs="仿宋_GB2312"/>
                <w:color w:val="auto"/>
                <w:kern w:val="0"/>
                <w:sz w:val="21"/>
                <w:szCs w:val="21"/>
                <w:lang w:eastAsia="zh-CN"/>
              </w:rPr>
              <w:t>计价依据</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12EA1CF1">
            <w:pPr>
              <w:widowControl/>
              <w:spacing w:line="400" w:lineRule="exact"/>
              <w:ind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每项</w:t>
            </w: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rPr>
              <w:t>1分，最多</w:t>
            </w: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 xml:space="preserve">分 </w:t>
            </w:r>
          </w:p>
        </w:tc>
      </w:tr>
      <w:tr w14:paraId="3158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vMerge w:val="continue"/>
            <w:tcBorders>
              <w:left w:val="single" w:color="auto" w:sz="4" w:space="0"/>
              <w:right w:val="single" w:color="auto" w:sz="4" w:space="0"/>
            </w:tcBorders>
            <w:noWrap w:val="0"/>
            <w:vAlign w:val="center"/>
          </w:tcPr>
          <w:p w14:paraId="32E078CD">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tc>
        <w:tc>
          <w:tcPr>
            <w:tcW w:w="983" w:type="dxa"/>
            <w:vMerge w:val="continue"/>
            <w:tcBorders>
              <w:left w:val="single" w:color="auto" w:sz="4" w:space="0"/>
              <w:right w:val="single" w:color="auto" w:sz="4" w:space="0"/>
            </w:tcBorders>
            <w:noWrap w:val="0"/>
            <w:vAlign w:val="center"/>
          </w:tcPr>
          <w:p w14:paraId="7244ACF4">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rPr>
            </w:pPr>
          </w:p>
        </w:tc>
        <w:tc>
          <w:tcPr>
            <w:tcW w:w="4682" w:type="dxa"/>
            <w:gridSpan w:val="2"/>
            <w:tcBorders>
              <w:top w:val="single" w:color="auto" w:sz="4" w:space="0"/>
              <w:left w:val="single" w:color="auto" w:sz="4" w:space="0"/>
              <w:bottom w:val="single" w:color="auto" w:sz="4" w:space="0"/>
              <w:right w:val="single" w:color="auto" w:sz="4" w:space="0"/>
            </w:tcBorders>
            <w:noWrap w:val="0"/>
            <w:vAlign w:val="center"/>
          </w:tcPr>
          <w:p w14:paraId="0C256CF4">
            <w:pPr>
              <w:widowControl/>
              <w:spacing w:line="400" w:lineRule="exact"/>
              <w:ind w:right="-51" w:rightChars="-16"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参与</w:t>
            </w:r>
            <w:r>
              <w:rPr>
                <w:rFonts w:hint="eastAsia" w:ascii="仿宋_GB2312" w:hAnsi="仿宋_GB2312" w:eastAsia="仿宋_GB2312" w:cs="仿宋_GB2312"/>
                <w:color w:val="auto"/>
                <w:kern w:val="0"/>
                <w:sz w:val="21"/>
                <w:szCs w:val="21"/>
                <w:lang w:eastAsia="zh-CN"/>
              </w:rPr>
              <w:t>北京市</w:t>
            </w:r>
            <w:r>
              <w:rPr>
                <w:rFonts w:hint="eastAsia" w:ascii="仿宋_GB2312" w:hAnsi="仿宋_GB2312" w:eastAsia="仿宋_GB2312" w:cs="仿宋_GB2312"/>
                <w:color w:val="auto"/>
                <w:kern w:val="0"/>
                <w:sz w:val="21"/>
                <w:szCs w:val="21"/>
              </w:rPr>
              <w:t>造价管理改革</w:t>
            </w:r>
            <w:r>
              <w:rPr>
                <w:rFonts w:hint="eastAsia" w:ascii="仿宋_GB2312" w:hAnsi="仿宋_GB2312" w:eastAsia="仿宋_GB2312" w:cs="仿宋_GB2312"/>
                <w:color w:val="auto"/>
                <w:kern w:val="0"/>
                <w:sz w:val="21"/>
                <w:szCs w:val="21"/>
                <w:lang w:eastAsia="zh-CN"/>
              </w:rPr>
              <w:t>、试点</w:t>
            </w:r>
            <w:r>
              <w:rPr>
                <w:rFonts w:hint="eastAsia" w:ascii="仿宋_GB2312" w:hAnsi="仿宋_GB2312" w:eastAsia="仿宋_GB2312" w:cs="仿宋_GB2312"/>
                <w:color w:val="auto"/>
                <w:kern w:val="0"/>
                <w:sz w:val="21"/>
                <w:szCs w:val="21"/>
              </w:rPr>
              <w:t>等相关工作</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24857770">
            <w:pPr>
              <w:widowControl/>
              <w:spacing w:line="400" w:lineRule="exact"/>
              <w:ind w:right="-41" w:rightChars="-13"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每项</w:t>
            </w: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rPr>
              <w:t>1分，最多</w:t>
            </w: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 xml:space="preserve">分 </w:t>
            </w:r>
          </w:p>
        </w:tc>
      </w:tr>
      <w:tr w14:paraId="3512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77" w:type="dxa"/>
            <w:vMerge w:val="continue"/>
            <w:tcBorders>
              <w:left w:val="single" w:color="auto" w:sz="4" w:space="0"/>
              <w:right w:val="single" w:color="auto" w:sz="4" w:space="0"/>
            </w:tcBorders>
            <w:noWrap w:val="0"/>
            <w:vAlign w:val="center"/>
          </w:tcPr>
          <w:p w14:paraId="6EE2F25D">
            <w:pPr>
              <w:widowControl/>
              <w:spacing w:line="400" w:lineRule="exact"/>
              <w:ind w:right="-156" w:rightChars="-49" w:firstLine="480" w:firstLineChars="200"/>
              <w:jc w:val="both"/>
              <w:rPr>
                <w:rFonts w:hint="eastAsia" w:ascii="仿宋_GB2312" w:hAnsi="仿宋_GB2312" w:eastAsia="仿宋_GB2312" w:cs="仿宋_GB2312"/>
                <w:color w:val="auto"/>
                <w:kern w:val="0"/>
                <w:sz w:val="24"/>
              </w:rPr>
            </w:pPr>
          </w:p>
        </w:tc>
        <w:tc>
          <w:tcPr>
            <w:tcW w:w="983" w:type="dxa"/>
            <w:vMerge w:val="continue"/>
            <w:tcBorders>
              <w:left w:val="single" w:color="auto" w:sz="4" w:space="0"/>
              <w:right w:val="single" w:color="auto" w:sz="4" w:space="0"/>
            </w:tcBorders>
            <w:noWrap w:val="0"/>
            <w:vAlign w:val="center"/>
          </w:tcPr>
          <w:p w14:paraId="4692F65B">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rPr>
            </w:pPr>
          </w:p>
        </w:tc>
        <w:tc>
          <w:tcPr>
            <w:tcW w:w="4682" w:type="dxa"/>
            <w:gridSpan w:val="2"/>
            <w:tcBorders>
              <w:top w:val="single" w:color="auto" w:sz="4" w:space="0"/>
              <w:left w:val="single" w:color="auto" w:sz="4" w:space="0"/>
              <w:bottom w:val="single" w:color="auto" w:sz="4" w:space="0"/>
              <w:right w:val="single" w:color="auto" w:sz="4" w:space="0"/>
            </w:tcBorders>
            <w:noWrap w:val="0"/>
            <w:vAlign w:val="center"/>
          </w:tcPr>
          <w:p w14:paraId="1DCEC317">
            <w:pPr>
              <w:widowControl/>
              <w:spacing w:line="400" w:lineRule="exact"/>
              <w:ind w:right="-160" w:rightChars="-50"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为北京市造价行业发展做出贡献</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4A60DF76">
            <w:pPr>
              <w:widowControl/>
              <w:spacing w:line="400" w:lineRule="exact"/>
              <w:ind w:right="-41" w:rightChars="-13" w:firstLine="0" w:firstLineChars="0"/>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每项</w:t>
            </w: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rPr>
              <w:t>1分，最多</w:t>
            </w: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分</w:t>
            </w:r>
          </w:p>
        </w:tc>
      </w:tr>
      <w:tr w14:paraId="04DA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vMerge w:val="restart"/>
            <w:tcBorders>
              <w:top w:val="single" w:color="auto" w:sz="4" w:space="0"/>
              <w:left w:val="single" w:color="auto" w:sz="4" w:space="0"/>
              <w:right w:val="single" w:color="auto" w:sz="4" w:space="0"/>
            </w:tcBorders>
            <w:noWrap w:val="0"/>
            <w:vAlign w:val="center"/>
          </w:tcPr>
          <w:p w14:paraId="0CB4D7D1">
            <w:pPr>
              <w:widowControl/>
              <w:spacing w:line="400" w:lineRule="exact"/>
              <w:ind w:left="0" w:right="-156" w:rightChars="-49" w:firstLine="0" w:firstLineChars="0"/>
              <w:jc w:val="both"/>
              <w:rPr>
                <w:rFonts w:hint="eastAsia" w:ascii="仿宋_GB2312" w:hAnsi="仿宋_GB2312" w:eastAsia="仿宋_GB2312" w:cs="仿宋_GB2312"/>
                <w:b/>
                <w:color w:val="auto"/>
                <w:kern w:val="0"/>
                <w:sz w:val="21"/>
                <w:szCs w:val="21"/>
                <w:lang w:eastAsia="zh-CN"/>
              </w:rPr>
            </w:pPr>
            <w:r>
              <w:rPr>
                <w:rFonts w:hint="eastAsia" w:ascii="仿宋_GB2312" w:hAnsi="仿宋_GB2312" w:cs="仿宋_GB2312"/>
                <w:b/>
                <w:color w:val="auto"/>
                <w:kern w:val="0"/>
                <w:sz w:val="21"/>
                <w:szCs w:val="21"/>
                <w:lang w:eastAsia="zh-CN"/>
              </w:rPr>
              <w:t>不良</w:t>
            </w:r>
          </w:p>
          <w:p w14:paraId="03023AE7">
            <w:pPr>
              <w:widowControl/>
              <w:spacing w:line="400" w:lineRule="exact"/>
              <w:ind w:left="0" w:right="-156" w:rightChars="-49" w:firstLine="0" w:firstLineChars="0"/>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b/>
                <w:color w:val="auto"/>
                <w:kern w:val="0"/>
                <w:sz w:val="21"/>
                <w:szCs w:val="21"/>
                <w:lang w:eastAsia="zh-CN"/>
              </w:rPr>
              <w:t>信息</w:t>
            </w:r>
          </w:p>
        </w:tc>
        <w:tc>
          <w:tcPr>
            <w:tcW w:w="5665" w:type="dxa"/>
            <w:gridSpan w:val="3"/>
            <w:tcBorders>
              <w:top w:val="single" w:color="auto" w:sz="4" w:space="0"/>
              <w:left w:val="single" w:color="auto" w:sz="4" w:space="0"/>
              <w:right w:val="single" w:color="auto" w:sz="4" w:space="0"/>
            </w:tcBorders>
            <w:noWrap w:val="0"/>
            <w:vAlign w:val="center"/>
          </w:tcPr>
          <w:p w14:paraId="35A8992A">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被</w:t>
            </w:r>
            <w:r>
              <w:rPr>
                <w:rFonts w:hint="eastAsia" w:ascii="仿宋_GB2312" w:hAnsi="仿宋_GB2312" w:eastAsia="仿宋_GB2312" w:cs="仿宋_GB2312"/>
                <w:color w:val="auto"/>
                <w:kern w:val="0"/>
                <w:sz w:val="21"/>
                <w:szCs w:val="21"/>
                <w:highlight w:val="none"/>
                <w:lang w:eastAsia="zh-CN"/>
              </w:rPr>
              <w:t>投诉举报</w:t>
            </w:r>
            <w:r>
              <w:rPr>
                <w:rFonts w:hint="eastAsia" w:ascii="仿宋_GB2312" w:hAnsi="仿宋_GB2312" w:eastAsia="仿宋_GB2312" w:cs="仿宋_GB2312"/>
                <w:color w:val="auto"/>
                <w:kern w:val="0"/>
                <w:sz w:val="21"/>
                <w:szCs w:val="21"/>
                <w:lang w:eastAsia="zh-CN"/>
              </w:rPr>
              <w:t>经</w:t>
            </w:r>
            <w:r>
              <w:rPr>
                <w:rFonts w:hint="eastAsia" w:ascii="仿宋_GB2312" w:hAnsi="仿宋_GB2312" w:eastAsia="仿宋_GB2312" w:cs="仿宋_GB2312"/>
                <w:color w:val="auto"/>
                <w:kern w:val="0"/>
                <w:sz w:val="21"/>
                <w:szCs w:val="21"/>
                <w:highlight w:val="none"/>
                <w:lang w:eastAsia="zh-CN"/>
              </w:rPr>
              <w:t>查属实，存在计价</w:t>
            </w:r>
            <w:r>
              <w:rPr>
                <w:rFonts w:hint="eastAsia" w:ascii="仿宋_GB2312" w:hAnsi="仿宋_GB2312" w:cs="仿宋_GB2312"/>
                <w:color w:val="auto"/>
                <w:kern w:val="0"/>
                <w:sz w:val="21"/>
                <w:szCs w:val="21"/>
                <w:highlight w:val="none"/>
                <w:lang w:eastAsia="zh-CN"/>
              </w:rPr>
              <w:t>等</w:t>
            </w:r>
            <w:r>
              <w:rPr>
                <w:rFonts w:hint="eastAsia" w:ascii="仿宋_GB2312" w:hAnsi="仿宋_GB2312" w:eastAsia="仿宋_GB2312" w:cs="仿宋_GB2312"/>
                <w:color w:val="auto"/>
                <w:kern w:val="0"/>
                <w:sz w:val="21"/>
                <w:szCs w:val="21"/>
                <w:highlight w:val="none"/>
                <w:lang w:eastAsia="zh-CN"/>
              </w:rPr>
              <w:t>相关问题</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66594BF1">
            <w:pPr>
              <w:widowControl/>
              <w:spacing w:line="400" w:lineRule="exact"/>
              <w:ind w:left="-160" w:leftChars="-50" w:right="-41" w:rightChars="-13" w:firstLine="420" w:firstLineChars="200"/>
              <w:jc w:val="both"/>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分</w:t>
            </w:r>
          </w:p>
        </w:tc>
      </w:tr>
      <w:tr w14:paraId="52EA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77" w:type="dxa"/>
            <w:vMerge w:val="continue"/>
            <w:tcBorders>
              <w:left w:val="single" w:color="auto" w:sz="4" w:space="0"/>
              <w:right w:val="single" w:color="auto" w:sz="4" w:space="0"/>
            </w:tcBorders>
            <w:noWrap w:val="0"/>
            <w:vAlign w:val="center"/>
          </w:tcPr>
          <w:p w14:paraId="39255AAC">
            <w:pPr>
              <w:widowControl/>
              <w:spacing w:line="400" w:lineRule="exact"/>
              <w:ind w:right="-156" w:rightChars="-49" w:firstLine="0" w:firstLineChars="0"/>
              <w:jc w:val="both"/>
              <w:rPr>
                <w:rFonts w:hint="eastAsia" w:ascii="仿宋_GB2312" w:hAnsi="仿宋_GB2312" w:eastAsia="仿宋_GB2312" w:cs="仿宋_GB2312"/>
                <w:b/>
                <w:color w:val="auto"/>
                <w:kern w:val="0"/>
                <w:sz w:val="21"/>
                <w:szCs w:val="21"/>
              </w:rPr>
            </w:pPr>
          </w:p>
        </w:tc>
        <w:tc>
          <w:tcPr>
            <w:tcW w:w="5665" w:type="dxa"/>
            <w:gridSpan w:val="3"/>
            <w:tcBorders>
              <w:top w:val="single" w:color="auto" w:sz="4" w:space="0"/>
              <w:left w:val="single" w:color="auto" w:sz="4" w:space="0"/>
              <w:bottom w:val="single" w:color="auto" w:sz="4" w:space="0"/>
              <w:right w:val="single" w:color="auto" w:sz="4" w:space="0"/>
            </w:tcBorders>
            <w:noWrap w:val="0"/>
            <w:vAlign w:val="center"/>
          </w:tcPr>
          <w:p w14:paraId="3804E1AF">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在从事工程造价鉴定过程中被人民法院认定存在重大工作过失</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60F91B79">
            <w:pPr>
              <w:widowControl/>
              <w:spacing w:line="400" w:lineRule="exact"/>
              <w:ind w:left="-160" w:leftChars="-50" w:right="-41" w:rightChars="-13" w:firstLine="420" w:firstLineChars="200"/>
              <w:jc w:val="both"/>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分</w:t>
            </w:r>
          </w:p>
        </w:tc>
      </w:tr>
      <w:tr w14:paraId="3E2B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77" w:type="dxa"/>
            <w:vMerge w:val="continue"/>
            <w:tcBorders>
              <w:left w:val="single" w:color="auto" w:sz="4" w:space="0"/>
              <w:right w:val="single" w:color="auto" w:sz="4" w:space="0"/>
            </w:tcBorders>
            <w:noWrap w:val="0"/>
            <w:vAlign w:val="center"/>
          </w:tcPr>
          <w:p w14:paraId="65DD96E8">
            <w:pPr>
              <w:widowControl/>
              <w:spacing w:line="400" w:lineRule="exact"/>
              <w:ind w:right="-156" w:rightChars="-49" w:firstLine="0" w:firstLineChars="0"/>
              <w:jc w:val="both"/>
              <w:rPr>
                <w:rFonts w:hint="eastAsia" w:ascii="仿宋_GB2312" w:hAnsi="仿宋_GB2312" w:eastAsia="仿宋_GB2312" w:cs="仿宋_GB2312"/>
                <w:b/>
                <w:color w:val="auto"/>
                <w:kern w:val="0"/>
                <w:sz w:val="21"/>
                <w:szCs w:val="21"/>
              </w:rPr>
            </w:pPr>
          </w:p>
        </w:tc>
        <w:tc>
          <w:tcPr>
            <w:tcW w:w="5665" w:type="dxa"/>
            <w:gridSpan w:val="3"/>
            <w:tcBorders>
              <w:top w:val="single" w:color="auto" w:sz="4" w:space="0"/>
              <w:left w:val="single" w:color="auto" w:sz="4" w:space="0"/>
              <w:bottom w:val="single" w:color="auto" w:sz="4" w:space="0"/>
              <w:right w:val="single" w:color="auto" w:sz="4" w:space="0"/>
            </w:tcBorders>
            <w:noWrap w:val="0"/>
            <w:vAlign w:val="center"/>
          </w:tcPr>
          <w:p w14:paraId="61C529EE">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在造价管理部门组织的成果文件</w:t>
            </w:r>
            <w:r>
              <w:rPr>
                <w:rFonts w:hint="eastAsia" w:ascii="仿宋_GB2312" w:hAnsi="仿宋_GB2312" w:cs="仿宋_GB2312"/>
                <w:color w:val="auto"/>
                <w:kern w:val="0"/>
                <w:sz w:val="21"/>
                <w:szCs w:val="21"/>
                <w:highlight w:val="none"/>
                <w:lang w:eastAsia="zh-CN"/>
              </w:rPr>
              <w:t>等</w:t>
            </w:r>
            <w:r>
              <w:rPr>
                <w:rFonts w:hint="eastAsia" w:ascii="仿宋_GB2312" w:hAnsi="仿宋_GB2312" w:eastAsia="仿宋_GB2312" w:cs="仿宋_GB2312"/>
                <w:color w:val="auto"/>
                <w:kern w:val="0"/>
                <w:sz w:val="21"/>
                <w:szCs w:val="21"/>
                <w:highlight w:val="none"/>
              </w:rPr>
              <w:t>检查</w:t>
            </w:r>
            <w:r>
              <w:rPr>
                <w:rFonts w:hint="eastAsia" w:ascii="仿宋_GB2312" w:hAnsi="仿宋_GB2312" w:cs="仿宋_GB2312"/>
                <w:color w:val="auto"/>
                <w:kern w:val="0"/>
                <w:sz w:val="21"/>
                <w:szCs w:val="21"/>
                <w:highlight w:val="none"/>
                <w:lang w:eastAsia="zh-CN"/>
              </w:rPr>
              <w:t>中</w:t>
            </w:r>
            <w:r>
              <w:rPr>
                <w:rFonts w:hint="eastAsia" w:ascii="仿宋_GB2312" w:hAnsi="仿宋_GB2312" w:eastAsia="仿宋_GB2312" w:cs="仿宋_GB2312"/>
                <w:color w:val="auto"/>
                <w:kern w:val="0"/>
                <w:sz w:val="21"/>
                <w:szCs w:val="21"/>
                <w:lang w:eastAsia="zh-CN"/>
              </w:rPr>
              <w:t>质量较差</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49D7D7C5">
            <w:pPr>
              <w:widowControl/>
              <w:spacing w:line="400" w:lineRule="exact"/>
              <w:ind w:left="-160" w:leftChars="-50" w:right="-41" w:rightChars="-13" w:firstLine="420" w:firstLineChars="200"/>
              <w:jc w:val="both"/>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记</w:t>
            </w:r>
            <w:r>
              <w:rPr>
                <w:rFonts w:hint="eastAsia" w:ascii="仿宋_GB2312" w:hAnsi="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分</w:t>
            </w:r>
          </w:p>
        </w:tc>
      </w:tr>
      <w:tr w14:paraId="2F90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77" w:type="dxa"/>
            <w:vMerge w:val="continue"/>
            <w:tcBorders>
              <w:left w:val="single" w:color="auto" w:sz="4" w:space="0"/>
              <w:right w:val="single" w:color="auto" w:sz="4" w:space="0"/>
            </w:tcBorders>
            <w:noWrap w:val="0"/>
            <w:vAlign w:val="center"/>
          </w:tcPr>
          <w:p w14:paraId="12FCD8BB">
            <w:pPr>
              <w:widowControl/>
              <w:spacing w:line="400" w:lineRule="exact"/>
              <w:ind w:right="-156" w:rightChars="-49" w:firstLine="0" w:firstLineChars="0"/>
              <w:jc w:val="both"/>
              <w:rPr>
                <w:rFonts w:hint="eastAsia" w:ascii="仿宋_GB2312" w:hAnsi="仿宋_GB2312" w:eastAsia="仿宋_GB2312" w:cs="仿宋_GB2312"/>
                <w:b/>
                <w:color w:val="auto"/>
                <w:kern w:val="0"/>
                <w:sz w:val="21"/>
                <w:szCs w:val="21"/>
              </w:rPr>
            </w:pPr>
          </w:p>
        </w:tc>
        <w:tc>
          <w:tcPr>
            <w:tcW w:w="5665" w:type="dxa"/>
            <w:gridSpan w:val="3"/>
            <w:tcBorders>
              <w:top w:val="single" w:color="auto" w:sz="4" w:space="0"/>
              <w:left w:val="single" w:color="auto" w:sz="4" w:space="0"/>
              <w:right w:val="single" w:color="auto" w:sz="4" w:space="0"/>
            </w:tcBorders>
            <w:noWrap w:val="0"/>
            <w:vAlign w:val="center"/>
          </w:tcPr>
          <w:p w14:paraId="5F6DAA1A">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信用信息填报不属实</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590DB926">
            <w:pPr>
              <w:widowControl/>
              <w:spacing w:line="400" w:lineRule="exact"/>
              <w:ind w:left="-160" w:leftChars="-50" w:right="-41" w:rightChars="-13" w:firstLine="420" w:firstLineChars="200"/>
              <w:jc w:val="both"/>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记3</w:t>
            </w:r>
            <w:r>
              <w:rPr>
                <w:rFonts w:hint="eastAsia" w:ascii="仿宋_GB2312" w:hAnsi="仿宋_GB2312" w:eastAsia="仿宋_GB2312" w:cs="仿宋_GB2312"/>
                <w:color w:val="auto"/>
                <w:kern w:val="0"/>
                <w:sz w:val="21"/>
                <w:szCs w:val="21"/>
              </w:rPr>
              <w:t>分</w:t>
            </w:r>
          </w:p>
        </w:tc>
      </w:tr>
      <w:tr w14:paraId="54C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77" w:type="dxa"/>
            <w:vMerge w:val="continue"/>
            <w:tcBorders>
              <w:left w:val="single" w:color="auto" w:sz="4" w:space="0"/>
              <w:right w:val="single" w:color="auto" w:sz="4" w:space="0"/>
            </w:tcBorders>
            <w:noWrap w:val="0"/>
            <w:vAlign w:val="center"/>
          </w:tcPr>
          <w:p w14:paraId="2F60C28B">
            <w:pPr>
              <w:widowControl/>
              <w:spacing w:line="400" w:lineRule="exact"/>
              <w:ind w:right="-156" w:rightChars="-49" w:firstLine="0" w:firstLineChars="0"/>
              <w:jc w:val="both"/>
              <w:rPr>
                <w:rFonts w:hint="eastAsia" w:ascii="仿宋_GB2312" w:hAnsi="仿宋_GB2312" w:eastAsia="仿宋_GB2312" w:cs="仿宋_GB2312"/>
                <w:b/>
                <w:color w:val="auto"/>
                <w:kern w:val="0"/>
                <w:sz w:val="21"/>
                <w:szCs w:val="21"/>
              </w:rPr>
            </w:pPr>
          </w:p>
        </w:tc>
        <w:tc>
          <w:tcPr>
            <w:tcW w:w="5665" w:type="dxa"/>
            <w:gridSpan w:val="3"/>
            <w:tcBorders>
              <w:top w:val="single" w:color="auto" w:sz="4" w:space="0"/>
              <w:left w:val="single" w:color="auto" w:sz="4" w:space="0"/>
              <w:bottom w:val="single" w:color="auto" w:sz="4" w:space="0"/>
              <w:right w:val="single" w:color="auto" w:sz="4" w:space="0"/>
            </w:tcBorders>
            <w:noWrap w:val="0"/>
            <w:vAlign w:val="center"/>
          </w:tcPr>
          <w:p w14:paraId="0CBC4B76">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val="en-US" w:eastAsia="zh-CN"/>
              </w:rPr>
              <w:t>延误、逃避</w:t>
            </w:r>
            <w:r>
              <w:rPr>
                <w:rFonts w:hint="default" w:ascii="仿宋_GB2312" w:hAnsi="仿宋_GB2312" w:cs="仿宋_GB2312"/>
                <w:color w:val="auto"/>
                <w:kern w:val="0"/>
                <w:sz w:val="21"/>
                <w:szCs w:val="21"/>
                <w:highlight w:val="none"/>
                <w:lang w:val="en" w:eastAsia="zh-CN"/>
              </w:rPr>
              <w:t>建设行政主管部门</w:t>
            </w:r>
            <w:r>
              <w:rPr>
                <w:rFonts w:hint="eastAsia" w:ascii="仿宋_GB2312" w:hAnsi="仿宋_GB2312" w:eastAsia="仿宋_GB2312" w:cs="仿宋_GB2312"/>
                <w:color w:val="auto"/>
                <w:kern w:val="0"/>
                <w:sz w:val="21"/>
                <w:szCs w:val="21"/>
                <w:highlight w:val="none"/>
                <w:lang w:val="en-US" w:eastAsia="zh-CN"/>
              </w:rPr>
              <w:t>依法实施的监督检查</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32C6B8F1">
            <w:pPr>
              <w:widowControl/>
              <w:spacing w:line="400" w:lineRule="exact"/>
              <w:ind w:left="-160" w:leftChars="-50" w:right="-41" w:rightChars="-13" w:firstLine="420" w:firstLineChars="200"/>
              <w:jc w:val="both"/>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记3</w:t>
            </w:r>
            <w:r>
              <w:rPr>
                <w:rFonts w:hint="eastAsia" w:ascii="仿宋_GB2312" w:hAnsi="仿宋_GB2312" w:eastAsia="仿宋_GB2312" w:cs="仿宋_GB2312"/>
                <w:color w:val="auto"/>
                <w:kern w:val="0"/>
                <w:sz w:val="21"/>
                <w:szCs w:val="21"/>
              </w:rPr>
              <w:t>分</w:t>
            </w:r>
          </w:p>
        </w:tc>
      </w:tr>
      <w:tr w14:paraId="4299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77" w:type="dxa"/>
            <w:vMerge w:val="continue"/>
            <w:tcBorders>
              <w:left w:val="single" w:color="auto" w:sz="4" w:space="0"/>
              <w:right w:val="single" w:color="auto" w:sz="4" w:space="0"/>
            </w:tcBorders>
            <w:noWrap w:val="0"/>
            <w:vAlign w:val="center"/>
          </w:tcPr>
          <w:p w14:paraId="40D6B620">
            <w:pPr>
              <w:widowControl/>
              <w:spacing w:line="400" w:lineRule="exact"/>
              <w:ind w:right="-156" w:rightChars="-49" w:firstLine="0" w:firstLineChars="0"/>
              <w:jc w:val="both"/>
              <w:rPr>
                <w:rFonts w:hint="eastAsia" w:ascii="仿宋_GB2312" w:hAnsi="仿宋_GB2312" w:eastAsia="仿宋_GB2312" w:cs="仿宋_GB2312"/>
                <w:b/>
                <w:color w:val="auto"/>
                <w:kern w:val="0"/>
                <w:sz w:val="21"/>
                <w:szCs w:val="21"/>
              </w:rPr>
            </w:pPr>
          </w:p>
        </w:tc>
        <w:tc>
          <w:tcPr>
            <w:tcW w:w="5665" w:type="dxa"/>
            <w:gridSpan w:val="3"/>
            <w:tcBorders>
              <w:top w:val="single" w:color="auto" w:sz="4" w:space="0"/>
              <w:left w:val="single" w:color="auto" w:sz="4" w:space="0"/>
              <w:bottom w:val="single" w:color="auto" w:sz="4" w:space="0"/>
              <w:right w:val="single" w:color="auto" w:sz="4" w:space="0"/>
            </w:tcBorders>
            <w:noWrap w:val="0"/>
            <w:vAlign w:val="center"/>
          </w:tcPr>
          <w:p w14:paraId="4BD5A174">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cs="仿宋_GB2312"/>
                <w:color w:val="auto"/>
                <w:kern w:val="0"/>
                <w:sz w:val="21"/>
                <w:szCs w:val="21"/>
                <w:highlight w:val="none"/>
                <w:lang w:val="en-US" w:eastAsia="zh-CN"/>
              </w:rPr>
              <w:t>被本</w:t>
            </w:r>
            <w:r>
              <w:rPr>
                <w:rFonts w:hint="eastAsia" w:ascii="仿宋_GB2312" w:hAnsi="仿宋_GB2312" w:eastAsia="仿宋_GB2312" w:cs="仿宋_GB2312"/>
                <w:color w:val="auto"/>
                <w:kern w:val="0"/>
                <w:sz w:val="21"/>
                <w:szCs w:val="21"/>
                <w:highlight w:val="none"/>
                <w:lang w:val="en-US" w:eastAsia="zh-CN"/>
              </w:rPr>
              <w:t>市</w:t>
            </w:r>
            <w:r>
              <w:rPr>
                <w:rFonts w:hint="eastAsia" w:ascii="仿宋_GB2312" w:hAnsi="仿宋_GB2312" w:cs="仿宋_GB2312"/>
                <w:color w:val="auto"/>
                <w:kern w:val="0"/>
                <w:sz w:val="21"/>
                <w:szCs w:val="21"/>
                <w:highlight w:val="none"/>
                <w:lang w:val="en-US" w:eastAsia="zh-CN"/>
              </w:rPr>
              <w:t>之外其他县级以上</w:t>
            </w:r>
            <w:r>
              <w:rPr>
                <w:rFonts w:hint="default" w:ascii="仿宋_GB2312" w:hAnsi="仿宋_GB2312" w:cs="仿宋_GB2312"/>
                <w:color w:val="auto"/>
                <w:kern w:val="0"/>
                <w:sz w:val="21"/>
                <w:szCs w:val="21"/>
                <w:highlight w:val="none"/>
                <w:lang w:val="en" w:eastAsia="zh-CN"/>
              </w:rPr>
              <w:t>建设行政主管部门</w:t>
            </w:r>
            <w:r>
              <w:rPr>
                <w:rFonts w:hint="eastAsia" w:ascii="仿宋_GB2312" w:hAnsi="仿宋_GB2312" w:eastAsia="仿宋_GB2312" w:cs="仿宋_GB2312"/>
                <w:color w:val="auto"/>
                <w:kern w:val="0"/>
                <w:sz w:val="21"/>
                <w:szCs w:val="21"/>
                <w:highlight w:val="none"/>
                <w:lang w:val="en-US" w:eastAsia="zh-CN"/>
              </w:rPr>
              <w:t>给予处罚处理</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76B3673C">
            <w:pPr>
              <w:widowControl/>
              <w:spacing w:line="400" w:lineRule="exact"/>
              <w:ind w:left="-160" w:leftChars="-50" w:right="-41" w:rightChars="-13" w:firstLine="420" w:firstLineChars="200"/>
              <w:jc w:val="both"/>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记</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分</w:t>
            </w:r>
          </w:p>
        </w:tc>
      </w:tr>
      <w:tr w14:paraId="7CBB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77" w:type="dxa"/>
            <w:vMerge w:val="continue"/>
            <w:tcBorders>
              <w:left w:val="single" w:color="auto" w:sz="4" w:space="0"/>
              <w:bottom w:val="single" w:color="auto" w:sz="4" w:space="0"/>
              <w:right w:val="single" w:color="auto" w:sz="4" w:space="0"/>
            </w:tcBorders>
            <w:noWrap w:val="0"/>
            <w:vAlign w:val="center"/>
          </w:tcPr>
          <w:p w14:paraId="0BE194DB">
            <w:pPr>
              <w:widowControl/>
              <w:spacing w:line="400" w:lineRule="exact"/>
              <w:ind w:right="-156" w:rightChars="-49" w:firstLine="0" w:firstLineChars="0"/>
              <w:jc w:val="both"/>
              <w:rPr>
                <w:rFonts w:hint="eastAsia" w:ascii="仿宋_GB2312" w:hAnsi="仿宋_GB2312" w:eastAsia="仿宋_GB2312" w:cs="仿宋_GB2312"/>
                <w:b/>
                <w:color w:val="auto"/>
                <w:kern w:val="0"/>
                <w:sz w:val="21"/>
                <w:szCs w:val="21"/>
              </w:rPr>
            </w:pPr>
          </w:p>
        </w:tc>
        <w:tc>
          <w:tcPr>
            <w:tcW w:w="5665" w:type="dxa"/>
            <w:gridSpan w:val="3"/>
            <w:tcBorders>
              <w:top w:val="single" w:color="auto" w:sz="4" w:space="0"/>
              <w:left w:val="single" w:color="auto" w:sz="4" w:space="0"/>
              <w:bottom w:val="single" w:color="auto" w:sz="4" w:space="0"/>
              <w:right w:val="single" w:color="auto" w:sz="4" w:space="0"/>
            </w:tcBorders>
            <w:noWrap w:val="0"/>
            <w:vAlign w:val="center"/>
          </w:tcPr>
          <w:p w14:paraId="1B29FACA">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lang w:eastAsia="zh-CN"/>
              </w:rPr>
              <w:t>上述情况外的其他</w:t>
            </w:r>
            <w:r>
              <w:rPr>
                <w:rFonts w:hint="eastAsia" w:ascii="仿宋_GB2312" w:hAnsi="仿宋_GB2312" w:eastAsia="仿宋_GB2312" w:cs="仿宋_GB2312"/>
                <w:color w:val="auto"/>
                <w:kern w:val="0"/>
                <w:sz w:val="21"/>
                <w:szCs w:val="21"/>
              </w:rPr>
              <w:t>工程造价咨询企业违法违规行为</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5FFCACE9">
            <w:pPr>
              <w:widowControl/>
              <w:spacing w:line="400" w:lineRule="exact"/>
              <w:ind w:left="0" w:leftChars="0" w:right="-41" w:rightChars="-13" w:firstLine="0" w:firstLineChars="0"/>
              <w:jc w:val="both"/>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按</w:t>
            </w:r>
            <w:r>
              <w:rPr>
                <w:rFonts w:hint="eastAsia" w:ascii="仿宋_GB2312" w:hAnsi="仿宋_GB2312" w:eastAsia="仿宋_GB2312" w:cs="仿宋_GB2312"/>
                <w:color w:val="auto"/>
                <w:kern w:val="0"/>
                <w:sz w:val="21"/>
                <w:szCs w:val="21"/>
              </w:rPr>
              <w:t>《北京市工程造价咨询企业及从业人员违法违规行为记分标准》</w:t>
            </w:r>
            <w:r>
              <w:rPr>
                <w:rFonts w:hint="eastAsia" w:ascii="仿宋_GB2312" w:hAnsi="仿宋_GB2312" w:eastAsia="仿宋_GB2312" w:cs="仿宋_GB2312"/>
                <w:color w:val="auto"/>
                <w:kern w:val="0"/>
                <w:sz w:val="21"/>
                <w:szCs w:val="21"/>
                <w:lang w:eastAsia="zh-CN"/>
              </w:rPr>
              <w:t>执行</w:t>
            </w:r>
          </w:p>
        </w:tc>
      </w:tr>
      <w:tr w14:paraId="31DD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tcBorders>
              <w:top w:val="single" w:color="auto" w:sz="4" w:space="0"/>
              <w:left w:val="single" w:color="auto" w:sz="4" w:space="0"/>
              <w:bottom w:val="single" w:color="auto" w:sz="4" w:space="0"/>
              <w:right w:val="single" w:color="auto" w:sz="4" w:space="0"/>
            </w:tcBorders>
            <w:noWrap w:val="0"/>
            <w:vAlign w:val="center"/>
          </w:tcPr>
          <w:p w14:paraId="1C2C4740">
            <w:pPr>
              <w:widowControl/>
              <w:spacing w:line="400" w:lineRule="exact"/>
              <w:ind w:left="-160" w:leftChars="-50" w:right="-156" w:rightChars="-49"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b/>
                <w:color w:val="auto"/>
                <w:kern w:val="0"/>
                <w:sz w:val="21"/>
                <w:szCs w:val="21"/>
              </w:rPr>
              <w:t>说明</w:t>
            </w:r>
          </w:p>
        </w:tc>
        <w:tc>
          <w:tcPr>
            <w:tcW w:w="8297" w:type="dxa"/>
            <w:gridSpan w:val="4"/>
            <w:tcBorders>
              <w:top w:val="single" w:color="auto" w:sz="4" w:space="0"/>
              <w:left w:val="single" w:color="auto" w:sz="4" w:space="0"/>
              <w:bottom w:val="single" w:color="auto" w:sz="4" w:space="0"/>
              <w:right w:val="single" w:color="auto" w:sz="4" w:space="0"/>
            </w:tcBorders>
            <w:noWrap w:val="0"/>
            <w:vAlign w:val="center"/>
          </w:tcPr>
          <w:p w14:paraId="6CA75159">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eastAsia="zh-CN"/>
              </w:rPr>
              <w:t>初始分值为</w:t>
            </w:r>
            <w:r>
              <w:rPr>
                <w:rFonts w:hint="eastAsia" w:ascii="仿宋_GB2312" w:hAnsi="仿宋_GB2312" w:eastAsia="仿宋_GB2312" w:cs="仿宋_GB2312"/>
                <w:color w:val="auto"/>
                <w:kern w:val="0"/>
                <w:sz w:val="21"/>
                <w:szCs w:val="21"/>
                <w:lang w:val="en-US" w:eastAsia="zh-CN"/>
              </w:rPr>
              <w:t>60分，</w:t>
            </w:r>
            <w:r>
              <w:rPr>
                <w:rFonts w:hint="eastAsia" w:ascii="仿宋_GB2312" w:hAnsi="仿宋_GB2312" w:eastAsia="仿宋_GB2312" w:cs="仿宋_GB2312"/>
                <w:color w:val="auto"/>
                <w:kern w:val="0"/>
                <w:sz w:val="21"/>
                <w:szCs w:val="21"/>
                <w:lang w:eastAsia="zh-CN"/>
              </w:rPr>
              <w:t>良好信息为加分项，不良信息为减分项；</w:t>
            </w:r>
          </w:p>
          <w:p w14:paraId="447672C4">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造价咨询收入以企业</w:t>
            </w:r>
            <w:r>
              <w:rPr>
                <w:rFonts w:hint="eastAsia" w:ascii="仿宋_GB2312" w:hAnsi="仿宋_GB2312" w:cs="仿宋_GB2312"/>
                <w:color w:val="auto"/>
                <w:kern w:val="0"/>
                <w:sz w:val="21"/>
                <w:szCs w:val="21"/>
                <w:lang w:eastAsia="zh-CN"/>
              </w:rPr>
              <w:t>上一年度</w:t>
            </w:r>
            <w:r>
              <w:rPr>
                <w:rFonts w:hint="eastAsia" w:ascii="仿宋_GB2312" w:hAnsi="仿宋_GB2312" w:eastAsia="仿宋_GB2312" w:cs="仿宋_GB2312"/>
                <w:color w:val="auto"/>
                <w:kern w:val="0"/>
                <w:sz w:val="21"/>
                <w:szCs w:val="21"/>
              </w:rPr>
              <w:t>报送的工程造价咨询</w:t>
            </w:r>
            <w:r>
              <w:rPr>
                <w:rFonts w:hint="eastAsia" w:ascii="仿宋_GB2312" w:hAnsi="仿宋_GB2312" w:eastAsia="仿宋_GB2312" w:cs="仿宋_GB2312"/>
                <w:color w:val="auto"/>
                <w:kern w:val="0"/>
                <w:sz w:val="21"/>
                <w:szCs w:val="21"/>
                <w:lang w:eastAsia="zh-CN"/>
              </w:rPr>
              <w:t>调查</w:t>
            </w:r>
            <w:r>
              <w:rPr>
                <w:rFonts w:hint="eastAsia" w:ascii="仿宋_GB2312" w:hAnsi="仿宋_GB2312" w:eastAsia="仿宋_GB2312" w:cs="仿宋_GB2312"/>
                <w:color w:val="auto"/>
                <w:kern w:val="0"/>
                <w:sz w:val="21"/>
                <w:szCs w:val="21"/>
              </w:rPr>
              <w:t>统计</w:t>
            </w:r>
            <w:r>
              <w:rPr>
                <w:rFonts w:hint="eastAsia" w:ascii="仿宋_GB2312" w:hAnsi="仿宋_GB2312" w:cs="仿宋_GB2312"/>
                <w:color w:val="auto"/>
                <w:kern w:val="0"/>
                <w:sz w:val="21"/>
                <w:szCs w:val="21"/>
                <w:lang w:eastAsia="zh-CN"/>
              </w:rPr>
              <w:t>数据</w:t>
            </w:r>
            <w:r>
              <w:rPr>
                <w:rFonts w:hint="eastAsia" w:ascii="仿宋_GB2312" w:hAnsi="仿宋_GB2312" w:eastAsia="仿宋_GB2312" w:cs="仿宋_GB2312"/>
                <w:color w:val="auto"/>
                <w:kern w:val="0"/>
                <w:sz w:val="21"/>
                <w:szCs w:val="21"/>
              </w:rPr>
              <w:t>中的造价咨询营业收入为依据</w:t>
            </w:r>
            <w:r>
              <w:rPr>
                <w:rFonts w:hint="eastAsia" w:ascii="仿宋_GB2312" w:hAnsi="仿宋_GB2312" w:cs="仿宋_GB2312"/>
                <w:color w:val="auto"/>
                <w:kern w:val="0"/>
                <w:sz w:val="21"/>
                <w:szCs w:val="21"/>
                <w:lang w:eastAsia="zh-CN"/>
              </w:rPr>
              <w:t>，未报送不得分</w:t>
            </w:r>
            <w:r>
              <w:rPr>
                <w:rFonts w:hint="eastAsia" w:ascii="仿宋_GB2312" w:hAnsi="仿宋_GB2312" w:eastAsia="仿宋_GB2312" w:cs="仿宋_GB2312"/>
                <w:color w:val="auto"/>
                <w:kern w:val="0"/>
                <w:sz w:val="21"/>
                <w:szCs w:val="21"/>
              </w:rPr>
              <w:t>；</w:t>
            </w:r>
          </w:p>
          <w:p w14:paraId="45B0D51D">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.获得的表彰或奖励必须与工程造价咨询活动有关，否则不作为获奖加分项；</w:t>
            </w:r>
          </w:p>
          <w:p w14:paraId="381B392A">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.参与国家、行业、本市有关工程造价标准、</w:t>
            </w:r>
            <w:r>
              <w:rPr>
                <w:rFonts w:hint="eastAsia" w:ascii="仿宋_GB2312" w:hAnsi="仿宋_GB2312" w:eastAsia="仿宋_GB2312" w:cs="仿宋_GB2312"/>
                <w:color w:val="auto"/>
                <w:kern w:val="0"/>
                <w:sz w:val="21"/>
                <w:szCs w:val="21"/>
                <w:lang w:eastAsia="zh-CN"/>
              </w:rPr>
              <w:t>计价依据</w:t>
            </w:r>
            <w:r>
              <w:rPr>
                <w:rFonts w:hint="eastAsia" w:ascii="仿宋_GB2312" w:hAnsi="仿宋_GB2312" w:eastAsia="仿宋_GB2312" w:cs="仿宋_GB2312"/>
                <w:color w:val="auto"/>
                <w:kern w:val="0"/>
                <w:sz w:val="21"/>
                <w:szCs w:val="21"/>
              </w:rPr>
              <w:t>编制</w:t>
            </w:r>
            <w:r>
              <w:rPr>
                <w:rFonts w:hint="eastAsia" w:ascii="仿宋_GB2312" w:hAnsi="仿宋_GB2312" w:eastAsia="仿宋_GB2312" w:cs="仿宋_GB2312"/>
                <w:color w:val="auto"/>
                <w:kern w:val="0"/>
                <w:sz w:val="21"/>
                <w:szCs w:val="21"/>
                <w:lang w:eastAsia="zh-CN"/>
              </w:rPr>
              <w:t>，受托承担命题、课题研究等为行业发展作出贡献的</w:t>
            </w:r>
            <w:r>
              <w:rPr>
                <w:rFonts w:hint="eastAsia" w:ascii="仿宋_GB2312" w:hAnsi="仿宋_GB2312" w:eastAsia="仿宋_GB2312" w:cs="仿宋_GB2312"/>
                <w:color w:val="auto"/>
                <w:kern w:val="0"/>
                <w:sz w:val="21"/>
                <w:szCs w:val="21"/>
              </w:rPr>
              <w:t>，必须提供委托部门出具的证明材料；</w:t>
            </w:r>
          </w:p>
          <w:p w14:paraId="21ECEE8A">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为北京市造价行业发展做出贡献</w:t>
            </w:r>
            <w:r>
              <w:rPr>
                <w:rFonts w:hint="eastAsia" w:ascii="仿宋_GB2312" w:hAnsi="仿宋_GB2312" w:eastAsia="仿宋_GB2312" w:cs="仿宋_GB2312"/>
                <w:color w:val="auto"/>
                <w:kern w:val="0"/>
                <w:sz w:val="21"/>
                <w:szCs w:val="21"/>
                <w:lang w:eastAsia="zh-CN"/>
              </w:rPr>
              <w:t>的，包括：</w:t>
            </w:r>
            <w:r>
              <w:rPr>
                <w:rFonts w:hint="eastAsia" w:ascii="仿宋_GB2312" w:hAnsi="仿宋_GB2312" w:eastAsia="仿宋_GB2312" w:cs="仿宋_GB2312"/>
                <w:color w:val="auto"/>
                <w:kern w:val="0"/>
                <w:sz w:val="21"/>
                <w:szCs w:val="21"/>
              </w:rPr>
              <w:t>造价</w:t>
            </w:r>
            <w:r>
              <w:rPr>
                <w:rFonts w:hint="eastAsia" w:ascii="仿宋_GB2312" w:hAnsi="仿宋_GB2312" w:eastAsia="仿宋_GB2312" w:cs="仿宋_GB2312"/>
                <w:color w:val="auto"/>
                <w:kern w:val="0"/>
                <w:sz w:val="21"/>
                <w:szCs w:val="21"/>
                <w:lang w:eastAsia="zh-CN"/>
              </w:rPr>
              <w:t>师职业资格考试命题、为行业免费提供造价专业培训、在国家、省级期刊发表</w:t>
            </w:r>
            <w:r>
              <w:rPr>
                <w:rFonts w:hint="eastAsia" w:ascii="仿宋_GB2312" w:hAnsi="仿宋_GB2312" w:eastAsia="仿宋_GB2312" w:cs="仿宋_GB2312"/>
                <w:color w:val="auto"/>
                <w:kern w:val="0"/>
                <w:sz w:val="21"/>
                <w:szCs w:val="21"/>
              </w:rPr>
              <w:t>造价</w:t>
            </w:r>
            <w:r>
              <w:rPr>
                <w:rFonts w:hint="eastAsia" w:ascii="仿宋_GB2312" w:hAnsi="仿宋_GB2312" w:eastAsia="仿宋_GB2312" w:cs="仿宋_GB2312"/>
                <w:color w:val="auto"/>
                <w:kern w:val="0"/>
                <w:sz w:val="21"/>
                <w:szCs w:val="21"/>
                <w:lang w:eastAsia="zh-CN"/>
              </w:rPr>
              <w:t>相关文章、著书、进行课题研究并形成成果的等；</w:t>
            </w:r>
          </w:p>
          <w:p w14:paraId="7C6AFAF4">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6</w:t>
            </w:r>
            <w:r>
              <w:rPr>
                <w:rFonts w:hint="eastAsia" w:ascii="仿宋_GB2312" w:hAnsi="仿宋_GB2312" w:eastAsia="仿宋_GB2312" w:cs="仿宋_GB2312"/>
                <w:color w:val="auto"/>
                <w:kern w:val="0"/>
                <w:sz w:val="21"/>
                <w:szCs w:val="21"/>
                <w:highlight w:val="none"/>
              </w:rPr>
              <w:t>.除</w:t>
            </w:r>
            <w:r>
              <w:rPr>
                <w:rFonts w:hint="eastAsia" w:ascii="仿宋_GB2312" w:hAnsi="仿宋_GB2312" w:cs="仿宋_GB2312"/>
                <w:color w:val="auto"/>
                <w:kern w:val="0"/>
                <w:sz w:val="21"/>
                <w:szCs w:val="21"/>
                <w:highlight w:val="none"/>
                <w:lang w:eastAsia="zh-CN"/>
              </w:rPr>
              <w:t>经营情况</w:t>
            </w:r>
            <w:r>
              <w:rPr>
                <w:rFonts w:hint="eastAsia" w:ascii="仿宋_GB2312" w:hAnsi="仿宋_GB2312" w:eastAsia="仿宋_GB2312" w:cs="仿宋_GB2312"/>
                <w:color w:val="auto"/>
                <w:kern w:val="0"/>
                <w:sz w:val="21"/>
                <w:szCs w:val="21"/>
                <w:highlight w:val="none"/>
              </w:rPr>
              <w:t>外的</w:t>
            </w:r>
            <w:r>
              <w:rPr>
                <w:rFonts w:hint="eastAsia" w:ascii="仿宋_GB2312" w:hAnsi="仿宋_GB2312" w:eastAsia="仿宋_GB2312" w:cs="仿宋_GB2312"/>
                <w:color w:val="auto"/>
                <w:kern w:val="0"/>
                <w:sz w:val="21"/>
                <w:szCs w:val="21"/>
                <w:highlight w:val="none"/>
                <w:lang w:eastAsia="zh-CN"/>
              </w:rPr>
              <w:t>良好信息</w:t>
            </w:r>
            <w:r>
              <w:rPr>
                <w:rFonts w:hint="eastAsia" w:ascii="仿宋_GB2312" w:hAnsi="仿宋_GB2312" w:eastAsia="仿宋_GB2312" w:cs="仿宋_GB2312"/>
                <w:color w:val="auto"/>
                <w:kern w:val="0"/>
                <w:sz w:val="21"/>
                <w:szCs w:val="21"/>
                <w:highlight w:val="none"/>
              </w:rPr>
              <w:t>均以获得奖项或取得相应证明的时间作为加分的时间</w:t>
            </w:r>
            <w:r>
              <w:rPr>
                <w:rFonts w:hint="eastAsia" w:ascii="仿宋_GB2312" w:hAnsi="仿宋_GB2312" w:eastAsia="仿宋_GB2312" w:cs="仿宋_GB2312"/>
                <w:color w:val="auto"/>
                <w:kern w:val="0"/>
                <w:sz w:val="21"/>
                <w:szCs w:val="21"/>
                <w:highlight w:val="none"/>
                <w:lang w:eastAsia="zh-CN"/>
              </w:rPr>
              <w:t>起</w:t>
            </w:r>
            <w:r>
              <w:rPr>
                <w:rFonts w:hint="eastAsia" w:ascii="仿宋_GB2312" w:hAnsi="仿宋_GB2312" w:eastAsia="仿宋_GB2312" w:cs="仿宋_GB2312"/>
                <w:color w:val="auto"/>
                <w:kern w:val="0"/>
                <w:sz w:val="21"/>
                <w:szCs w:val="21"/>
                <w:highlight w:val="none"/>
              </w:rPr>
              <w:t>点</w:t>
            </w:r>
            <w:r>
              <w:rPr>
                <w:rFonts w:hint="eastAsia" w:ascii="仿宋_GB2312" w:hAnsi="仿宋_GB2312" w:eastAsia="仿宋_GB2312" w:cs="仿宋_GB2312"/>
                <w:color w:val="auto"/>
                <w:kern w:val="0"/>
                <w:sz w:val="21"/>
                <w:szCs w:val="21"/>
                <w:highlight w:val="none"/>
                <w:lang w:eastAsia="zh-CN"/>
              </w:rPr>
              <w:t>，不良信息以受到处罚</w:t>
            </w:r>
            <w:r>
              <w:rPr>
                <w:rFonts w:hint="eastAsia" w:ascii="仿宋_GB2312" w:hAnsi="仿宋_GB2312" w:cs="仿宋_GB2312"/>
                <w:color w:val="auto"/>
                <w:kern w:val="0"/>
                <w:sz w:val="21"/>
                <w:szCs w:val="21"/>
                <w:highlight w:val="none"/>
                <w:lang w:val="en-US" w:eastAsia="zh-CN"/>
              </w:rPr>
              <w:t>/处理</w:t>
            </w:r>
            <w:r>
              <w:rPr>
                <w:rFonts w:hint="eastAsia" w:ascii="仿宋_GB2312" w:hAnsi="仿宋_GB2312" w:eastAsia="仿宋_GB2312" w:cs="仿宋_GB2312"/>
                <w:color w:val="auto"/>
                <w:kern w:val="0"/>
                <w:sz w:val="21"/>
                <w:szCs w:val="21"/>
                <w:highlight w:val="none"/>
                <w:lang w:eastAsia="zh-CN"/>
              </w:rPr>
              <w:t>的时间为起点，超过</w:t>
            </w:r>
            <w:r>
              <w:rPr>
                <w:rFonts w:hint="eastAsia" w:ascii="仿宋_GB2312" w:hAnsi="仿宋_GB2312" w:eastAsia="仿宋_GB2312" w:cs="仿宋_GB2312"/>
                <w:color w:val="auto"/>
                <w:kern w:val="0"/>
                <w:sz w:val="21"/>
                <w:szCs w:val="21"/>
                <w:highlight w:val="none"/>
                <w:lang w:val="en-US" w:eastAsia="zh-CN"/>
              </w:rPr>
              <w:t>1年均不再加分或减分</w:t>
            </w:r>
            <w:r>
              <w:rPr>
                <w:rFonts w:hint="eastAsia" w:ascii="仿宋_GB2312" w:hAnsi="仿宋_GB2312" w:eastAsia="仿宋_GB2312" w:cs="仿宋_GB2312"/>
                <w:color w:val="auto"/>
                <w:kern w:val="0"/>
                <w:sz w:val="21"/>
                <w:szCs w:val="21"/>
                <w:highlight w:val="none"/>
              </w:rPr>
              <w:t>；</w:t>
            </w:r>
          </w:p>
          <w:p w14:paraId="25AEF3E7">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7</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eastAsia="zh-CN"/>
              </w:rPr>
              <w:t>一年内因同一造价咨询活动获得多个表彰或奖励的，仅作为一条良好信息记录记入，不重复累加；</w:t>
            </w:r>
          </w:p>
          <w:p w14:paraId="67F1ECBE">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8.一年内因同一</w:t>
            </w:r>
            <w:r>
              <w:rPr>
                <w:rFonts w:hint="eastAsia" w:ascii="仿宋_GB2312" w:hAnsi="仿宋_GB2312" w:eastAsia="仿宋_GB2312" w:cs="仿宋_GB2312"/>
                <w:color w:val="auto"/>
                <w:kern w:val="0"/>
                <w:sz w:val="21"/>
                <w:szCs w:val="21"/>
                <w:lang w:eastAsia="zh-CN"/>
              </w:rPr>
              <w:t>造价咨询活动</w:t>
            </w:r>
            <w:r>
              <w:rPr>
                <w:rFonts w:hint="eastAsia" w:ascii="仿宋_GB2312" w:hAnsi="仿宋_GB2312" w:eastAsia="仿宋_GB2312" w:cs="仿宋_GB2312"/>
                <w:color w:val="auto"/>
                <w:kern w:val="0"/>
                <w:sz w:val="21"/>
                <w:szCs w:val="21"/>
                <w:lang w:val="en-US" w:eastAsia="zh-CN"/>
              </w:rPr>
              <w:t>导致的多项违规行为，仅作为一条不良信息记入，不重复累加；</w:t>
            </w:r>
          </w:p>
          <w:p w14:paraId="5D766C47">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9.</w:t>
            </w:r>
            <w:r>
              <w:rPr>
                <w:rFonts w:hint="eastAsia" w:ascii="仿宋_GB2312" w:hAnsi="仿宋_GB2312" w:eastAsia="仿宋_GB2312" w:cs="仿宋_GB2312"/>
                <w:color w:val="auto"/>
                <w:kern w:val="0"/>
                <w:sz w:val="21"/>
                <w:szCs w:val="21"/>
              </w:rPr>
              <w:t>造价服务平台成果文件报送</w:t>
            </w:r>
            <w:r>
              <w:rPr>
                <w:rFonts w:hint="eastAsia" w:ascii="仿宋_GB2312" w:hAnsi="仿宋_GB2312" w:eastAsia="仿宋_GB2312" w:cs="仿宋_GB2312"/>
                <w:color w:val="auto"/>
                <w:kern w:val="0"/>
                <w:sz w:val="21"/>
                <w:szCs w:val="21"/>
                <w:lang w:eastAsia="zh-CN"/>
              </w:rPr>
              <w:t>数量按照一份委托合同对应一份成果文件计算，框架协议可按一份委托合同对应多个成果文件数量计算</w:t>
            </w:r>
            <w:r>
              <w:rPr>
                <w:rFonts w:hint="eastAsia" w:ascii="仿宋_GB2312" w:hAnsi="仿宋_GB2312" w:cs="仿宋_GB2312"/>
                <w:color w:val="auto"/>
                <w:kern w:val="0"/>
                <w:sz w:val="21"/>
                <w:szCs w:val="21"/>
                <w:lang w:eastAsia="zh-CN"/>
              </w:rPr>
              <w:t>，过程性成果文件不单独计算</w:t>
            </w:r>
            <w:r>
              <w:rPr>
                <w:rFonts w:hint="eastAsia" w:ascii="仿宋_GB2312" w:hAnsi="仿宋_GB2312" w:eastAsia="仿宋_GB2312" w:cs="仿宋_GB2312"/>
                <w:color w:val="auto"/>
                <w:kern w:val="0"/>
                <w:sz w:val="21"/>
                <w:szCs w:val="21"/>
                <w:lang w:eastAsia="zh-CN"/>
              </w:rPr>
              <w:t>；</w:t>
            </w:r>
          </w:p>
          <w:p w14:paraId="154A6736">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lang w:val="en-US" w:eastAsia="zh-CN"/>
              </w:rPr>
            </w:pPr>
            <w:r>
              <w:rPr>
                <w:rFonts w:hint="eastAsia" w:ascii="仿宋_GB2312" w:hAnsi="仿宋_GB2312" w:cs="仿宋_GB2312"/>
                <w:color w:val="auto"/>
                <w:kern w:val="0"/>
                <w:sz w:val="21"/>
                <w:szCs w:val="21"/>
                <w:lang w:val="en-US" w:eastAsia="zh-CN"/>
              </w:rPr>
              <w:t>10.</w:t>
            </w:r>
            <w:r>
              <w:rPr>
                <w:rFonts w:hint="eastAsia" w:ascii="仿宋_GB2312" w:hAnsi="仿宋_GB2312" w:eastAsia="仿宋_GB2312" w:cs="仿宋_GB2312"/>
                <w:color w:val="auto"/>
                <w:kern w:val="0"/>
                <w:sz w:val="21"/>
                <w:szCs w:val="21"/>
              </w:rPr>
              <w:t>造价服务平台成果文件</w:t>
            </w:r>
            <w:r>
              <w:rPr>
                <w:rFonts w:hint="eastAsia" w:ascii="仿宋_GB2312" w:hAnsi="仿宋_GB2312" w:eastAsia="仿宋_GB2312" w:cs="仿宋_GB2312"/>
                <w:color w:val="auto"/>
                <w:kern w:val="0"/>
                <w:sz w:val="21"/>
                <w:szCs w:val="21"/>
                <w:lang w:eastAsia="zh-CN"/>
              </w:rPr>
              <w:t>数据</w:t>
            </w:r>
            <w:r>
              <w:rPr>
                <w:rFonts w:hint="eastAsia" w:ascii="仿宋_GB2312" w:hAnsi="仿宋_GB2312" w:eastAsia="仿宋_GB2312" w:cs="仿宋_GB2312"/>
                <w:color w:val="auto"/>
                <w:kern w:val="0"/>
                <w:sz w:val="21"/>
                <w:szCs w:val="21"/>
              </w:rPr>
              <w:t>被</w:t>
            </w:r>
            <w:r>
              <w:rPr>
                <w:rFonts w:hint="eastAsia" w:ascii="仿宋_GB2312" w:hAnsi="仿宋_GB2312" w:eastAsia="仿宋_GB2312" w:cs="仿宋_GB2312"/>
                <w:color w:val="auto"/>
                <w:kern w:val="0"/>
                <w:sz w:val="21"/>
                <w:szCs w:val="21"/>
                <w:lang w:eastAsia="zh-CN"/>
              </w:rPr>
              <w:t>造</w:t>
            </w:r>
            <w:r>
              <w:rPr>
                <w:rFonts w:hint="eastAsia" w:ascii="仿宋_GB2312" w:hAnsi="仿宋_GB2312" w:eastAsia="仿宋_GB2312" w:cs="仿宋_GB2312"/>
                <w:color w:val="auto"/>
                <w:kern w:val="0"/>
                <w:sz w:val="21"/>
                <w:szCs w:val="21"/>
              </w:rPr>
              <w:t>价</w:t>
            </w:r>
            <w:r>
              <w:rPr>
                <w:rFonts w:hint="eastAsia" w:ascii="仿宋_GB2312" w:hAnsi="仿宋_GB2312" w:eastAsia="仿宋_GB2312" w:cs="仿宋_GB2312"/>
                <w:color w:val="auto"/>
                <w:kern w:val="0"/>
                <w:sz w:val="21"/>
                <w:szCs w:val="21"/>
                <w:lang w:eastAsia="zh-CN"/>
              </w:rPr>
              <w:t>管理部门</w:t>
            </w:r>
            <w:r>
              <w:rPr>
                <w:rFonts w:hint="eastAsia" w:ascii="仿宋_GB2312" w:hAnsi="仿宋_GB2312" w:eastAsia="仿宋_GB2312" w:cs="仿宋_GB2312"/>
                <w:color w:val="auto"/>
                <w:kern w:val="0"/>
                <w:sz w:val="21"/>
                <w:szCs w:val="21"/>
              </w:rPr>
              <w:t>采用</w:t>
            </w:r>
            <w:r>
              <w:rPr>
                <w:rFonts w:hint="eastAsia" w:ascii="仿宋_GB2312" w:hAnsi="仿宋_GB2312" w:cs="仿宋_GB2312"/>
                <w:color w:val="auto"/>
                <w:kern w:val="0"/>
                <w:sz w:val="21"/>
                <w:szCs w:val="21"/>
                <w:lang w:eastAsia="zh-CN"/>
              </w:rPr>
              <w:t>的，需提供相关部门出具的采用证明；</w:t>
            </w:r>
          </w:p>
          <w:p w14:paraId="4E8C0119">
            <w:pPr>
              <w:widowControl/>
              <w:spacing w:line="400" w:lineRule="exact"/>
              <w:ind w:left="-1" w:leftChars="-12" w:right="-70" w:rightChars="-22" w:hanging="37" w:hangingChars="18"/>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lang w:eastAsia="zh-CN"/>
              </w:rPr>
              <w:t>信用</w:t>
            </w:r>
            <w:r>
              <w:rPr>
                <w:rFonts w:hint="eastAsia" w:ascii="仿宋_GB2312" w:hAnsi="仿宋_GB2312" w:eastAsia="仿宋_GB2312" w:cs="仿宋_GB2312"/>
                <w:color w:val="auto"/>
                <w:kern w:val="0"/>
                <w:sz w:val="21"/>
                <w:szCs w:val="21"/>
              </w:rPr>
              <w:t>信息系统每日更新，企业可通过住建委官网查询。</w:t>
            </w:r>
          </w:p>
        </w:tc>
      </w:tr>
      <w:bookmarkEnd w:id="0"/>
    </w:tbl>
    <w:p w14:paraId="2082729A">
      <w:pPr>
        <w:widowControl/>
        <w:spacing w:before="0" w:beforeAutospacing="0" w:after="0" w:afterAutospacing="0" w:line="240" w:lineRule="auto"/>
        <w:ind w:firstLine="0" w:firstLineChars="0"/>
        <w:jc w:val="left"/>
        <w:rPr>
          <w:rFonts w:hint="eastAsia" w:ascii="方正黑体_GBK" w:hAnsi="方正黑体_GBK" w:eastAsia="方正黑体_GBK" w:cs="方正黑体_GBK"/>
          <w:color w:val="auto"/>
          <w:kern w:val="0"/>
          <w:sz w:val="24"/>
        </w:rPr>
      </w:pPr>
      <w:r>
        <w:rPr>
          <w:rFonts w:hint="eastAsia" w:ascii="方正黑体_GBK" w:hAnsi="方正黑体_GBK" w:eastAsia="方正黑体_GBK" w:cs="方正黑体_GBK"/>
          <w:color w:val="auto"/>
          <w:kern w:val="0"/>
          <w:sz w:val="24"/>
        </w:rPr>
        <w:br w:type="page"/>
      </w:r>
    </w:p>
    <w:p w14:paraId="22347653">
      <w:pPr>
        <w:widowControl/>
        <w:spacing w:before="100" w:beforeAutospacing="1" w:after="100" w:afterAutospacing="1" w:line="400" w:lineRule="exact"/>
        <w:ind w:firstLine="0" w:firstLineChars="0"/>
        <w:jc w:val="left"/>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附件2</w:t>
      </w:r>
    </w:p>
    <w:p w14:paraId="2BED65CD">
      <w:pPr>
        <w:widowControl/>
        <w:spacing w:before="100" w:beforeAutospacing="1" w:after="100" w:afterAutospacing="1" w:line="400" w:lineRule="exact"/>
        <w:ind w:firstLine="0" w:firstLineChars="0"/>
        <w:jc w:val="center"/>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rPr>
        <w:t>北京市工程造价咨询企业中注册造价工程师</w:t>
      </w:r>
      <w:r>
        <w:rPr>
          <w:rFonts w:hint="eastAsia" w:ascii="黑体" w:hAnsi="黑体" w:eastAsia="黑体" w:cs="黑体"/>
          <w:b w:val="0"/>
          <w:bCs w:val="0"/>
          <w:color w:val="auto"/>
          <w:kern w:val="0"/>
          <w:sz w:val="32"/>
          <w:szCs w:val="32"/>
          <w:lang w:eastAsia="zh-CN"/>
        </w:rPr>
        <w:t>信用信息评价</w:t>
      </w:r>
      <w:r>
        <w:rPr>
          <w:rFonts w:hint="eastAsia" w:ascii="黑体" w:hAnsi="黑体" w:eastAsia="黑体" w:cs="黑体"/>
          <w:b w:val="0"/>
          <w:bCs w:val="0"/>
          <w:color w:val="auto"/>
          <w:kern w:val="0"/>
          <w:sz w:val="32"/>
          <w:szCs w:val="32"/>
        </w:rPr>
        <w:t>标准</w:t>
      </w:r>
      <w:r>
        <w:rPr>
          <w:rFonts w:hint="eastAsia" w:ascii="黑体" w:hAnsi="黑体" w:eastAsia="黑体" w:cs="黑体"/>
          <w:b w:val="0"/>
          <w:bCs w:val="0"/>
          <w:color w:val="auto"/>
          <w:kern w:val="0"/>
          <w:sz w:val="32"/>
          <w:szCs w:val="32"/>
          <w:lang w:eastAsia="zh-CN"/>
        </w:rPr>
        <w:t>（</w:t>
      </w:r>
      <w:r>
        <w:rPr>
          <w:rFonts w:hint="eastAsia" w:ascii="黑体" w:hAnsi="黑体" w:eastAsia="黑体" w:cs="黑体"/>
          <w:b w:val="0"/>
          <w:bCs w:val="0"/>
          <w:color w:val="auto"/>
          <w:kern w:val="0"/>
          <w:sz w:val="32"/>
          <w:szCs w:val="32"/>
          <w:lang w:val="en-US" w:eastAsia="zh-CN"/>
        </w:rPr>
        <w:t>2025版</w:t>
      </w:r>
      <w:r>
        <w:rPr>
          <w:rFonts w:hint="eastAsia" w:ascii="黑体" w:hAnsi="黑体" w:eastAsia="黑体" w:cs="黑体"/>
          <w:b w:val="0"/>
          <w:bCs w:val="0"/>
          <w:color w:val="auto"/>
          <w:kern w:val="0"/>
          <w:sz w:val="32"/>
          <w:szCs w:val="32"/>
          <w:lang w:eastAsia="zh-CN"/>
        </w:rPr>
        <w:t>）</w:t>
      </w:r>
    </w:p>
    <w:tbl>
      <w:tblPr>
        <w:tblStyle w:val="11"/>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08"/>
        <w:gridCol w:w="1066"/>
        <w:gridCol w:w="3781"/>
        <w:gridCol w:w="1382"/>
      </w:tblGrid>
      <w:tr w14:paraId="1522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0" w:type="pct"/>
            <w:noWrap w:val="0"/>
            <w:vAlign w:val="center"/>
          </w:tcPr>
          <w:p w14:paraId="77649B13">
            <w:pPr>
              <w:widowControl/>
              <w:spacing w:line="400" w:lineRule="exact"/>
              <w:ind w:left="-160" w:leftChars="-50" w:right="-60" w:rightChars="-19" w:firstLine="0" w:firstLineChars="0"/>
              <w:rPr>
                <w:rFonts w:ascii="宋体" w:hAnsi="宋体" w:eastAsia="宋体" w:cs="宋体"/>
                <w:b/>
                <w:bCs/>
                <w:color w:val="auto"/>
                <w:kern w:val="0"/>
                <w:sz w:val="24"/>
              </w:rPr>
            </w:pPr>
          </w:p>
        </w:tc>
        <w:tc>
          <w:tcPr>
            <w:tcW w:w="1023" w:type="pct"/>
            <w:noWrap w:val="0"/>
            <w:vAlign w:val="center"/>
          </w:tcPr>
          <w:p w14:paraId="64047A8D">
            <w:pPr>
              <w:widowControl/>
              <w:spacing w:line="400" w:lineRule="exact"/>
              <w:ind w:right="-160" w:rightChars="-50" w:firstLine="0" w:firstLineChars="0"/>
              <w:jc w:val="center"/>
              <w:rPr>
                <w:rFonts w:ascii="仿宋_GB2312" w:hAnsi="宋体" w:eastAsia="仿宋_GB2312" w:cs="宋体"/>
                <w:b/>
                <w:bCs/>
                <w:color w:val="auto"/>
                <w:kern w:val="0"/>
                <w:sz w:val="21"/>
                <w:szCs w:val="21"/>
              </w:rPr>
            </w:pPr>
            <w:r>
              <w:rPr>
                <w:rFonts w:hint="eastAsia" w:ascii="仿宋_GB2312" w:hAnsi="微软雅黑" w:eastAsia="仿宋_GB2312" w:cs="宋体"/>
                <w:b/>
                <w:bCs/>
                <w:color w:val="auto"/>
                <w:kern w:val="0"/>
                <w:sz w:val="21"/>
                <w:szCs w:val="21"/>
              </w:rPr>
              <w:t>信息类别</w:t>
            </w:r>
          </w:p>
        </w:tc>
        <w:tc>
          <w:tcPr>
            <w:tcW w:w="2743" w:type="pct"/>
            <w:gridSpan w:val="2"/>
            <w:noWrap w:val="0"/>
            <w:vAlign w:val="center"/>
          </w:tcPr>
          <w:p w14:paraId="35C3B1CA">
            <w:pPr>
              <w:widowControl/>
              <w:spacing w:line="400" w:lineRule="exact"/>
              <w:ind w:left="-160" w:leftChars="-50" w:right="-160" w:rightChars="-50" w:firstLine="420" w:firstLineChars="200"/>
              <w:jc w:val="center"/>
              <w:rPr>
                <w:rFonts w:ascii="仿宋_GB2312" w:hAnsi="宋体" w:eastAsia="仿宋_GB2312" w:cs="宋体"/>
                <w:b/>
                <w:bCs/>
                <w:color w:val="auto"/>
                <w:kern w:val="0"/>
                <w:sz w:val="21"/>
                <w:szCs w:val="21"/>
              </w:rPr>
            </w:pPr>
            <w:r>
              <w:rPr>
                <w:rFonts w:hint="eastAsia" w:ascii="仿宋_GB2312" w:hAnsi="微软雅黑" w:eastAsia="仿宋_GB2312" w:cs="宋体"/>
                <w:b/>
                <w:bCs/>
                <w:color w:val="auto"/>
                <w:kern w:val="0"/>
                <w:sz w:val="21"/>
                <w:szCs w:val="21"/>
              </w:rPr>
              <w:t>评价项目</w:t>
            </w:r>
          </w:p>
        </w:tc>
        <w:tc>
          <w:tcPr>
            <w:tcW w:w="782" w:type="pct"/>
            <w:noWrap w:val="0"/>
            <w:vAlign w:val="center"/>
          </w:tcPr>
          <w:p w14:paraId="10464016">
            <w:pPr>
              <w:widowControl/>
              <w:spacing w:line="400" w:lineRule="exact"/>
              <w:ind w:left="0" w:leftChars="0" w:right="-160" w:rightChars="-50" w:firstLine="0" w:firstLineChars="0"/>
              <w:jc w:val="center"/>
              <w:rPr>
                <w:rFonts w:ascii="仿宋_GB2312" w:hAnsi="宋体" w:eastAsia="仿宋_GB2312" w:cs="宋体"/>
                <w:b/>
                <w:bCs/>
                <w:color w:val="auto"/>
                <w:kern w:val="0"/>
                <w:sz w:val="21"/>
                <w:szCs w:val="21"/>
              </w:rPr>
            </w:pPr>
            <w:r>
              <w:rPr>
                <w:rFonts w:hint="eastAsia" w:ascii="仿宋_GB2312" w:hAnsi="微软雅黑" w:eastAsia="仿宋_GB2312" w:cs="宋体"/>
                <w:b/>
                <w:bCs/>
                <w:color w:val="auto"/>
                <w:kern w:val="0"/>
                <w:sz w:val="21"/>
                <w:szCs w:val="21"/>
              </w:rPr>
              <w:t>分</w:t>
            </w:r>
            <w:r>
              <w:rPr>
                <w:rFonts w:hint="eastAsia" w:ascii="仿宋_GB2312" w:hAnsi="微软雅黑" w:eastAsia="仿宋_GB2312" w:cs="宋体"/>
                <w:b/>
                <w:bCs/>
                <w:color w:val="auto"/>
                <w:kern w:val="0"/>
                <w:sz w:val="21"/>
                <w:szCs w:val="21"/>
                <w:lang w:val="en-US" w:eastAsia="zh-CN"/>
              </w:rPr>
              <w:t xml:space="preserve"> </w:t>
            </w:r>
            <w:r>
              <w:rPr>
                <w:rFonts w:hint="eastAsia" w:ascii="仿宋_GB2312" w:hAnsi="微软雅黑" w:eastAsia="仿宋_GB2312" w:cs="宋体"/>
                <w:b/>
                <w:bCs/>
                <w:color w:val="auto"/>
                <w:kern w:val="0"/>
                <w:sz w:val="21"/>
                <w:szCs w:val="21"/>
              </w:rPr>
              <w:t>值</w:t>
            </w:r>
          </w:p>
        </w:tc>
      </w:tr>
      <w:tr w14:paraId="0813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50" w:type="pct"/>
            <w:vMerge w:val="restart"/>
            <w:tcBorders>
              <w:bottom w:val="single" w:color="auto" w:sz="4" w:space="0"/>
            </w:tcBorders>
            <w:noWrap w:val="0"/>
            <w:vAlign w:val="center"/>
          </w:tcPr>
          <w:p w14:paraId="62D879DA">
            <w:pPr>
              <w:widowControl/>
              <w:spacing w:line="400" w:lineRule="exact"/>
              <w:ind w:right="-60" w:rightChars="-19" w:firstLine="0" w:firstLineChars="0"/>
              <w:jc w:val="center"/>
              <w:rPr>
                <w:rFonts w:hint="eastAsia" w:ascii="仿宋_GB2312" w:hAnsi="仿宋_GB2312" w:eastAsia="仿宋_GB2312" w:cs="仿宋_GB2312"/>
                <w:b/>
                <w:color w:val="auto"/>
                <w:kern w:val="0"/>
                <w:sz w:val="21"/>
                <w:szCs w:val="21"/>
              </w:rPr>
            </w:pPr>
            <w:r>
              <w:rPr>
                <w:rFonts w:hint="eastAsia" w:ascii="仿宋_GB2312" w:hAnsi="仿宋_GB2312" w:cs="仿宋_GB2312"/>
                <w:b/>
                <w:color w:val="auto"/>
                <w:kern w:val="0"/>
                <w:sz w:val="21"/>
                <w:szCs w:val="21"/>
                <w:lang w:eastAsia="zh-CN"/>
              </w:rPr>
              <w:t>良好</w:t>
            </w:r>
          </w:p>
          <w:p w14:paraId="69A33B04">
            <w:pPr>
              <w:widowControl/>
              <w:spacing w:line="400" w:lineRule="exact"/>
              <w:ind w:right="-60" w:rightChars="-19" w:firstLine="0" w:firstLineChars="0"/>
              <w:jc w:val="center"/>
              <w:rPr>
                <w:rFonts w:ascii="宋体" w:hAnsi="宋体" w:eastAsia="宋体" w:cs="宋体"/>
                <w:color w:val="auto"/>
                <w:kern w:val="0"/>
                <w:sz w:val="24"/>
              </w:rPr>
            </w:pPr>
            <w:r>
              <w:rPr>
                <w:rFonts w:hint="eastAsia" w:ascii="仿宋_GB2312" w:hAnsi="仿宋_GB2312" w:eastAsia="仿宋_GB2312" w:cs="仿宋_GB2312"/>
                <w:b/>
                <w:color w:val="auto"/>
                <w:kern w:val="0"/>
                <w:sz w:val="21"/>
                <w:szCs w:val="21"/>
              </w:rPr>
              <w:t>信息</w:t>
            </w:r>
          </w:p>
        </w:tc>
        <w:tc>
          <w:tcPr>
            <w:tcW w:w="1023" w:type="pct"/>
            <w:vMerge w:val="restart"/>
            <w:noWrap w:val="0"/>
            <w:vAlign w:val="center"/>
          </w:tcPr>
          <w:p w14:paraId="41E2B322">
            <w:pPr>
              <w:widowControl/>
              <w:spacing w:line="400" w:lineRule="exact"/>
              <w:ind w:right="-160" w:rightChars="-50" w:firstLine="0" w:firstLineChars="0"/>
              <w:jc w:val="center"/>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参与业绩</w:t>
            </w:r>
          </w:p>
        </w:tc>
        <w:tc>
          <w:tcPr>
            <w:tcW w:w="2743" w:type="pct"/>
            <w:gridSpan w:val="2"/>
            <w:noWrap w:val="0"/>
            <w:vAlign w:val="center"/>
          </w:tcPr>
          <w:p w14:paraId="73558BCA">
            <w:pPr>
              <w:widowControl/>
              <w:spacing w:line="400" w:lineRule="exact"/>
              <w:ind w:left="0" w:leftChars="0" w:right="-86" w:rightChars="-27" w:firstLine="0" w:firstLineChars="0"/>
              <w:jc w:val="left"/>
              <w:rPr>
                <w:rFonts w:hint="default"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最近</w:t>
            </w:r>
            <w:r>
              <w:rPr>
                <w:rFonts w:hint="eastAsia" w:ascii="仿宋_GB2312" w:hAnsi="宋体" w:eastAsia="仿宋_GB2312" w:cs="宋体"/>
                <w:color w:val="auto"/>
                <w:kern w:val="0"/>
                <w:sz w:val="21"/>
                <w:szCs w:val="21"/>
                <w:lang w:eastAsia="zh-CN"/>
              </w:rPr>
              <w:t>1年</w:t>
            </w:r>
            <w:r>
              <w:rPr>
                <w:rFonts w:hint="eastAsia" w:ascii="仿宋_GB2312" w:hAnsi="宋体" w:eastAsia="仿宋_GB2312" w:cs="宋体"/>
                <w:color w:val="auto"/>
                <w:kern w:val="0"/>
                <w:sz w:val="21"/>
                <w:szCs w:val="21"/>
              </w:rPr>
              <w:t>参与项目</w:t>
            </w:r>
            <w:r>
              <w:rPr>
                <w:rFonts w:hint="eastAsia" w:ascii="仿宋_GB2312" w:hAnsi="宋体" w:eastAsia="仿宋_GB2312" w:cs="宋体"/>
                <w:color w:val="auto"/>
                <w:kern w:val="0"/>
                <w:sz w:val="21"/>
                <w:szCs w:val="21"/>
                <w:lang w:eastAsia="zh-CN"/>
              </w:rPr>
              <w:t>工程</w:t>
            </w:r>
            <w:r>
              <w:rPr>
                <w:rFonts w:hint="eastAsia" w:ascii="仿宋_GB2312" w:hAnsi="宋体" w:eastAsia="仿宋_GB2312" w:cs="宋体"/>
                <w:color w:val="auto"/>
                <w:kern w:val="0"/>
                <w:sz w:val="21"/>
                <w:szCs w:val="21"/>
              </w:rPr>
              <w:t>造价额累计超过</w:t>
            </w:r>
            <w:r>
              <w:rPr>
                <w:rFonts w:hint="eastAsia" w:ascii="仿宋_GB2312" w:hAnsi="宋体" w:cs="宋体"/>
                <w:color w:val="auto"/>
                <w:kern w:val="0"/>
                <w:sz w:val="21"/>
                <w:szCs w:val="21"/>
                <w:lang w:val="en-US" w:eastAsia="zh-CN"/>
              </w:rPr>
              <w:t>5</w:t>
            </w:r>
            <w:r>
              <w:rPr>
                <w:rFonts w:hint="eastAsia" w:ascii="仿宋_GB2312" w:hAnsi="宋体" w:eastAsia="仿宋_GB2312" w:cs="宋体"/>
                <w:color w:val="auto"/>
                <w:kern w:val="0"/>
                <w:sz w:val="21"/>
                <w:szCs w:val="21"/>
              </w:rPr>
              <w:t>亿元</w:t>
            </w:r>
            <w:r>
              <w:rPr>
                <w:rFonts w:hint="eastAsia" w:ascii="仿宋_GB2312" w:hAnsi="宋体" w:eastAsia="仿宋_GB2312" w:cs="宋体"/>
                <w:color w:val="auto"/>
                <w:kern w:val="0"/>
                <w:sz w:val="21"/>
                <w:szCs w:val="21"/>
                <w:lang w:eastAsia="zh-CN"/>
              </w:rPr>
              <w:t>或项目数量超过</w:t>
            </w:r>
            <w:r>
              <w:rPr>
                <w:rFonts w:hint="eastAsia" w:ascii="仿宋_GB2312" w:hAnsi="宋体" w:cs="宋体"/>
                <w:color w:val="auto"/>
                <w:kern w:val="0"/>
                <w:sz w:val="21"/>
                <w:szCs w:val="21"/>
                <w:lang w:val="en-US" w:eastAsia="zh-CN"/>
              </w:rPr>
              <w:t>5</w:t>
            </w:r>
            <w:r>
              <w:rPr>
                <w:rFonts w:hint="eastAsia" w:ascii="仿宋_GB2312" w:hAnsi="宋体" w:eastAsia="仿宋_GB2312" w:cs="宋体"/>
                <w:color w:val="auto"/>
                <w:kern w:val="0"/>
                <w:sz w:val="21"/>
                <w:szCs w:val="21"/>
                <w:lang w:val="en-US" w:eastAsia="zh-CN"/>
              </w:rPr>
              <w:t>个</w:t>
            </w:r>
          </w:p>
        </w:tc>
        <w:tc>
          <w:tcPr>
            <w:tcW w:w="782" w:type="pct"/>
            <w:noWrap w:val="0"/>
            <w:vAlign w:val="top"/>
          </w:tcPr>
          <w:p w14:paraId="36157AF2">
            <w:pPr>
              <w:widowControl/>
              <w:spacing w:line="400" w:lineRule="exact"/>
              <w:ind w:left="-160" w:leftChars="-50" w:right="-160" w:rightChars="-50" w:firstLine="420" w:firstLineChars="200"/>
              <w:jc w:val="left"/>
              <w:rPr>
                <w:rFonts w:ascii="仿宋_GB2312" w:hAnsi="宋体" w:eastAsia="仿宋_GB2312" w:cs="宋体"/>
                <w:color w:val="auto"/>
                <w:kern w:val="0"/>
                <w:sz w:val="21"/>
                <w:szCs w:val="21"/>
                <w:highlight w:val="none"/>
              </w:rPr>
            </w:pPr>
            <w:r>
              <w:rPr>
                <w:rFonts w:hint="eastAsia" w:ascii="仿宋_GB2312" w:hAnsi="微软雅黑" w:eastAsia="仿宋_GB2312" w:cs="宋体"/>
                <w:color w:val="auto"/>
                <w:kern w:val="0"/>
                <w:sz w:val="21"/>
                <w:szCs w:val="21"/>
                <w:highlight w:val="none"/>
                <w:lang w:eastAsia="zh-CN"/>
              </w:rPr>
              <w:t>记</w:t>
            </w:r>
            <w:r>
              <w:rPr>
                <w:rFonts w:hint="eastAsia" w:ascii="仿宋_GB2312" w:hAnsi="微软雅黑" w:cs="宋体"/>
                <w:color w:val="auto"/>
                <w:kern w:val="0"/>
                <w:sz w:val="21"/>
                <w:szCs w:val="21"/>
                <w:highlight w:val="none"/>
                <w:lang w:val="en-US" w:eastAsia="zh-CN"/>
              </w:rPr>
              <w:t>15</w:t>
            </w:r>
            <w:r>
              <w:rPr>
                <w:rFonts w:hint="eastAsia" w:ascii="仿宋_GB2312" w:hAnsi="微软雅黑" w:eastAsia="仿宋_GB2312" w:cs="宋体"/>
                <w:color w:val="auto"/>
                <w:kern w:val="0"/>
                <w:sz w:val="21"/>
                <w:szCs w:val="21"/>
                <w:highlight w:val="none"/>
              </w:rPr>
              <w:t>分</w:t>
            </w:r>
          </w:p>
        </w:tc>
      </w:tr>
      <w:tr w14:paraId="2B9B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450" w:type="pct"/>
            <w:vMerge w:val="continue"/>
            <w:tcBorders>
              <w:top w:val="single" w:color="auto" w:sz="4" w:space="0"/>
              <w:bottom w:val="single" w:color="auto" w:sz="4" w:space="0"/>
            </w:tcBorders>
            <w:noWrap w:val="0"/>
            <w:vAlign w:val="center"/>
          </w:tcPr>
          <w:p w14:paraId="4BF430C8">
            <w:pPr>
              <w:widowControl/>
              <w:spacing w:line="400" w:lineRule="exact"/>
              <w:ind w:right="-60" w:rightChars="-19" w:firstLine="0" w:firstLineChars="0"/>
              <w:jc w:val="center"/>
              <w:rPr>
                <w:rFonts w:ascii="微软雅黑" w:hAnsi="微软雅黑" w:eastAsia="微软雅黑" w:cs="宋体"/>
                <w:b/>
                <w:color w:val="auto"/>
                <w:kern w:val="0"/>
                <w:sz w:val="21"/>
                <w:szCs w:val="21"/>
              </w:rPr>
            </w:pPr>
          </w:p>
        </w:tc>
        <w:tc>
          <w:tcPr>
            <w:tcW w:w="1023" w:type="pct"/>
            <w:vMerge w:val="continue"/>
            <w:noWrap w:val="0"/>
            <w:vAlign w:val="center"/>
          </w:tcPr>
          <w:p w14:paraId="6C6802A6">
            <w:pPr>
              <w:widowControl/>
              <w:spacing w:line="400" w:lineRule="exact"/>
              <w:ind w:right="-160" w:rightChars="-50" w:firstLine="0" w:firstLineChars="0"/>
              <w:jc w:val="left"/>
              <w:rPr>
                <w:rFonts w:ascii="仿宋_GB2312" w:hAnsi="宋体" w:eastAsia="仿宋_GB2312" w:cs="宋体"/>
                <w:color w:val="auto"/>
                <w:kern w:val="0"/>
                <w:sz w:val="21"/>
                <w:szCs w:val="21"/>
              </w:rPr>
            </w:pPr>
          </w:p>
        </w:tc>
        <w:tc>
          <w:tcPr>
            <w:tcW w:w="2743" w:type="pct"/>
            <w:gridSpan w:val="2"/>
            <w:noWrap w:val="0"/>
            <w:vAlign w:val="center"/>
          </w:tcPr>
          <w:p w14:paraId="352E0374">
            <w:pPr>
              <w:widowControl/>
              <w:spacing w:line="400" w:lineRule="exact"/>
              <w:ind w:left="0" w:leftChars="0" w:right="-86" w:rightChars="-27" w:firstLine="0" w:firstLineChars="0"/>
              <w:jc w:val="left"/>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最近1</w:t>
            </w:r>
            <w:r>
              <w:rPr>
                <w:rFonts w:hint="eastAsia" w:ascii="仿宋_GB2312" w:hAnsi="宋体" w:eastAsia="仿宋_GB2312" w:cs="宋体"/>
                <w:color w:val="auto"/>
                <w:kern w:val="0"/>
                <w:sz w:val="21"/>
                <w:szCs w:val="21"/>
                <w:lang w:eastAsia="zh-CN"/>
              </w:rPr>
              <w:t>年</w:t>
            </w:r>
            <w:r>
              <w:rPr>
                <w:rFonts w:hint="eastAsia" w:ascii="仿宋_GB2312" w:hAnsi="宋体" w:eastAsia="仿宋_GB2312" w:cs="宋体"/>
                <w:color w:val="auto"/>
                <w:kern w:val="0"/>
                <w:sz w:val="21"/>
                <w:szCs w:val="21"/>
              </w:rPr>
              <w:t>参与项目</w:t>
            </w:r>
            <w:r>
              <w:rPr>
                <w:rFonts w:hint="eastAsia" w:ascii="仿宋_GB2312" w:hAnsi="宋体" w:eastAsia="仿宋_GB2312" w:cs="宋体"/>
                <w:color w:val="auto"/>
                <w:kern w:val="0"/>
                <w:sz w:val="21"/>
                <w:szCs w:val="21"/>
                <w:lang w:eastAsia="zh-CN"/>
              </w:rPr>
              <w:t>工程</w:t>
            </w:r>
            <w:r>
              <w:rPr>
                <w:rFonts w:hint="eastAsia" w:ascii="仿宋_GB2312" w:hAnsi="宋体" w:eastAsia="仿宋_GB2312" w:cs="宋体"/>
                <w:color w:val="auto"/>
                <w:kern w:val="0"/>
                <w:sz w:val="21"/>
                <w:szCs w:val="21"/>
              </w:rPr>
              <w:t>造价额累计超过</w:t>
            </w:r>
            <w:r>
              <w:rPr>
                <w:rFonts w:hint="eastAsia" w:ascii="仿宋_GB2312" w:hAnsi="宋体" w:cs="宋体"/>
                <w:color w:val="auto"/>
                <w:kern w:val="0"/>
                <w:sz w:val="21"/>
                <w:szCs w:val="21"/>
                <w:lang w:val="en-US" w:eastAsia="zh-CN"/>
              </w:rPr>
              <w:t>3</w:t>
            </w:r>
            <w:r>
              <w:rPr>
                <w:rFonts w:hint="eastAsia" w:ascii="仿宋_GB2312" w:hAnsi="宋体" w:eastAsia="仿宋_GB2312" w:cs="宋体"/>
                <w:color w:val="auto"/>
                <w:kern w:val="0"/>
                <w:sz w:val="21"/>
                <w:szCs w:val="21"/>
              </w:rPr>
              <w:t>亿元</w:t>
            </w:r>
            <w:r>
              <w:rPr>
                <w:rFonts w:hint="eastAsia" w:ascii="仿宋_GB2312" w:hAnsi="宋体" w:eastAsia="仿宋_GB2312" w:cs="宋体"/>
                <w:color w:val="auto"/>
                <w:kern w:val="0"/>
                <w:sz w:val="21"/>
                <w:szCs w:val="21"/>
                <w:lang w:eastAsia="zh-CN"/>
              </w:rPr>
              <w:t>或项目数量超过</w:t>
            </w:r>
            <w:r>
              <w:rPr>
                <w:rFonts w:hint="eastAsia" w:ascii="仿宋_GB2312" w:hAnsi="宋体" w:cs="宋体"/>
                <w:color w:val="auto"/>
                <w:kern w:val="0"/>
                <w:sz w:val="21"/>
                <w:szCs w:val="21"/>
                <w:lang w:val="en-US" w:eastAsia="zh-CN"/>
              </w:rPr>
              <w:t>4</w:t>
            </w:r>
            <w:r>
              <w:rPr>
                <w:rFonts w:hint="eastAsia" w:ascii="仿宋_GB2312" w:hAnsi="宋体" w:eastAsia="仿宋_GB2312" w:cs="宋体"/>
                <w:color w:val="auto"/>
                <w:kern w:val="0"/>
                <w:sz w:val="21"/>
                <w:szCs w:val="21"/>
                <w:lang w:val="en-US" w:eastAsia="zh-CN"/>
              </w:rPr>
              <w:t>个</w:t>
            </w:r>
          </w:p>
        </w:tc>
        <w:tc>
          <w:tcPr>
            <w:tcW w:w="782" w:type="pct"/>
            <w:noWrap w:val="0"/>
            <w:vAlign w:val="top"/>
          </w:tcPr>
          <w:p w14:paraId="55275D45">
            <w:pPr>
              <w:widowControl/>
              <w:spacing w:line="400" w:lineRule="exact"/>
              <w:ind w:left="-160" w:leftChars="-50" w:right="-160" w:rightChars="-50" w:firstLine="420" w:firstLineChars="200"/>
              <w:jc w:val="left"/>
              <w:rPr>
                <w:rFonts w:hint="eastAsia" w:ascii="仿宋_GB2312" w:hAnsi="宋体" w:eastAsia="仿宋_GB2312" w:cs="宋体"/>
                <w:color w:val="auto"/>
                <w:kern w:val="0"/>
                <w:sz w:val="21"/>
                <w:szCs w:val="21"/>
                <w:highlight w:val="none"/>
              </w:rPr>
            </w:pPr>
            <w:r>
              <w:rPr>
                <w:rFonts w:hint="eastAsia" w:ascii="仿宋_GB2312" w:hAnsi="微软雅黑" w:eastAsia="仿宋_GB2312" w:cs="宋体"/>
                <w:color w:val="auto"/>
                <w:kern w:val="0"/>
                <w:sz w:val="21"/>
                <w:szCs w:val="21"/>
                <w:highlight w:val="none"/>
                <w:lang w:eastAsia="zh-CN"/>
              </w:rPr>
              <w:t>记</w:t>
            </w:r>
            <w:r>
              <w:rPr>
                <w:rFonts w:hint="eastAsia" w:ascii="仿宋_GB2312" w:hAnsi="微软雅黑" w:cs="宋体"/>
                <w:color w:val="auto"/>
                <w:kern w:val="0"/>
                <w:sz w:val="21"/>
                <w:szCs w:val="21"/>
                <w:highlight w:val="none"/>
                <w:lang w:val="en-US" w:eastAsia="zh-CN"/>
              </w:rPr>
              <w:t>12</w:t>
            </w:r>
            <w:r>
              <w:rPr>
                <w:rFonts w:hint="eastAsia" w:ascii="仿宋_GB2312" w:hAnsi="微软雅黑" w:eastAsia="仿宋_GB2312" w:cs="宋体"/>
                <w:color w:val="auto"/>
                <w:kern w:val="0"/>
                <w:sz w:val="21"/>
                <w:szCs w:val="21"/>
                <w:highlight w:val="none"/>
                <w:lang w:eastAsia="zh-CN"/>
              </w:rPr>
              <w:t>分</w:t>
            </w:r>
          </w:p>
        </w:tc>
      </w:tr>
      <w:tr w14:paraId="7424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450" w:type="pct"/>
            <w:vMerge w:val="continue"/>
            <w:tcBorders>
              <w:top w:val="single" w:color="auto" w:sz="4" w:space="0"/>
              <w:bottom w:val="single" w:color="auto" w:sz="4" w:space="0"/>
            </w:tcBorders>
            <w:noWrap w:val="0"/>
            <w:vAlign w:val="center"/>
          </w:tcPr>
          <w:p w14:paraId="09789364">
            <w:pPr>
              <w:widowControl/>
              <w:spacing w:line="400" w:lineRule="exact"/>
              <w:ind w:right="-60" w:rightChars="-19" w:firstLine="0" w:firstLineChars="0"/>
              <w:jc w:val="center"/>
              <w:rPr>
                <w:rFonts w:ascii="微软雅黑" w:hAnsi="微软雅黑" w:eastAsia="微软雅黑" w:cs="宋体"/>
                <w:b/>
                <w:color w:val="auto"/>
                <w:kern w:val="0"/>
                <w:sz w:val="21"/>
                <w:szCs w:val="21"/>
              </w:rPr>
            </w:pPr>
          </w:p>
        </w:tc>
        <w:tc>
          <w:tcPr>
            <w:tcW w:w="1023" w:type="pct"/>
            <w:vMerge w:val="continue"/>
            <w:noWrap w:val="0"/>
            <w:vAlign w:val="center"/>
          </w:tcPr>
          <w:p w14:paraId="2201FE25">
            <w:pPr>
              <w:widowControl/>
              <w:spacing w:line="400" w:lineRule="exact"/>
              <w:ind w:right="-160" w:rightChars="-50" w:firstLine="0" w:firstLineChars="0"/>
              <w:jc w:val="left"/>
              <w:rPr>
                <w:rFonts w:ascii="仿宋_GB2312" w:hAnsi="宋体" w:eastAsia="仿宋_GB2312" w:cs="宋体"/>
                <w:color w:val="auto"/>
                <w:kern w:val="0"/>
                <w:sz w:val="21"/>
                <w:szCs w:val="21"/>
              </w:rPr>
            </w:pPr>
          </w:p>
        </w:tc>
        <w:tc>
          <w:tcPr>
            <w:tcW w:w="2743" w:type="pct"/>
            <w:gridSpan w:val="2"/>
            <w:noWrap w:val="0"/>
            <w:vAlign w:val="center"/>
          </w:tcPr>
          <w:p w14:paraId="527B0AF8">
            <w:pPr>
              <w:widowControl/>
              <w:spacing w:line="400" w:lineRule="exact"/>
              <w:ind w:left="0" w:leftChars="0" w:right="-86" w:rightChars="-27" w:firstLine="0" w:firstLineChars="0"/>
              <w:jc w:val="left"/>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最近1</w:t>
            </w:r>
            <w:r>
              <w:rPr>
                <w:rFonts w:hint="eastAsia" w:ascii="仿宋_GB2312" w:hAnsi="宋体" w:eastAsia="仿宋_GB2312" w:cs="宋体"/>
                <w:color w:val="auto"/>
                <w:kern w:val="0"/>
                <w:sz w:val="21"/>
                <w:szCs w:val="21"/>
                <w:lang w:eastAsia="zh-CN"/>
              </w:rPr>
              <w:t>年</w:t>
            </w:r>
            <w:r>
              <w:rPr>
                <w:rFonts w:hint="eastAsia" w:ascii="仿宋_GB2312" w:hAnsi="宋体" w:eastAsia="仿宋_GB2312" w:cs="宋体"/>
                <w:color w:val="auto"/>
                <w:kern w:val="0"/>
                <w:sz w:val="21"/>
                <w:szCs w:val="21"/>
              </w:rPr>
              <w:t>参与项目</w:t>
            </w:r>
            <w:r>
              <w:rPr>
                <w:rFonts w:hint="eastAsia" w:ascii="仿宋_GB2312" w:hAnsi="宋体" w:eastAsia="仿宋_GB2312" w:cs="宋体"/>
                <w:color w:val="auto"/>
                <w:kern w:val="0"/>
                <w:sz w:val="21"/>
                <w:szCs w:val="21"/>
                <w:lang w:eastAsia="zh-CN"/>
              </w:rPr>
              <w:t>工程</w:t>
            </w:r>
            <w:r>
              <w:rPr>
                <w:rFonts w:hint="eastAsia" w:ascii="仿宋_GB2312" w:hAnsi="宋体" w:eastAsia="仿宋_GB2312" w:cs="宋体"/>
                <w:color w:val="auto"/>
                <w:kern w:val="0"/>
                <w:sz w:val="21"/>
                <w:szCs w:val="21"/>
              </w:rPr>
              <w:t>造价额累计超过</w:t>
            </w:r>
            <w:r>
              <w:rPr>
                <w:rFonts w:hint="eastAsia" w:ascii="仿宋_GB2312" w:hAnsi="宋体" w:cs="宋体"/>
                <w:color w:val="auto"/>
                <w:kern w:val="0"/>
                <w:sz w:val="21"/>
                <w:szCs w:val="21"/>
                <w:lang w:val="en-US" w:eastAsia="zh-CN"/>
              </w:rPr>
              <w:t>2</w:t>
            </w:r>
            <w:r>
              <w:rPr>
                <w:rFonts w:hint="eastAsia" w:ascii="仿宋_GB2312" w:hAnsi="宋体" w:eastAsia="仿宋_GB2312" w:cs="宋体"/>
                <w:color w:val="auto"/>
                <w:kern w:val="0"/>
                <w:sz w:val="21"/>
                <w:szCs w:val="21"/>
              </w:rPr>
              <w:t>亿元</w:t>
            </w:r>
            <w:r>
              <w:rPr>
                <w:rFonts w:hint="eastAsia" w:ascii="仿宋_GB2312" w:hAnsi="宋体" w:eastAsia="仿宋_GB2312" w:cs="宋体"/>
                <w:color w:val="auto"/>
                <w:kern w:val="0"/>
                <w:sz w:val="21"/>
                <w:szCs w:val="21"/>
                <w:lang w:eastAsia="zh-CN"/>
              </w:rPr>
              <w:t>或项目数量超过</w:t>
            </w:r>
            <w:r>
              <w:rPr>
                <w:rFonts w:hint="eastAsia" w:ascii="仿宋_GB2312" w:hAnsi="宋体" w:cs="宋体"/>
                <w:color w:val="auto"/>
                <w:kern w:val="0"/>
                <w:sz w:val="21"/>
                <w:szCs w:val="21"/>
                <w:lang w:val="en-US" w:eastAsia="zh-CN"/>
              </w:rPr>
              <w:t>3</w:t>
            </w:r>
            <w:r>
              <w:rPr>
                <w:rFonts w:hint="eastAsia" w:ascii="仿宋_GB2312" w:hAnsi="宋体" w:eastAsia="仿宋_GB2312" w:cs="宋体"/>
                <w:color w:val="auto"/>
                <w:kern w:val="0"/>
                <w:sz w:val="21"/>
                <w:szCs w:val="21"/>
                <w:lang w:val="en-US" w:eastAsia="zh-CN"/>
              </w:rPr>
              <w:t>个</w:t>
            </w:r>
          </w:p>
        </w:tc>
        <w:tc>
          <w:tcPr>
            <w:tcW w:w="782" w:type="pct"/>
            <w:noWrap w:val="0"/>
            <w:vAlign w:val="top"/>
          </w:tcPr>
          <w:p w14:paraId="6B5B470B">
            <w:pPr>
              <w:widowControl/>
              <w:spacing w:line="400" w:lineRule="exact"/>
              <w:ind w:left="-160" w:leftChars="-50" w:right="-160" w:rightChars="-50" w:firstLine="420" w:firstLineChars="200"/>
              <w:jc w:val="left"/>
              <w:rPr>
                <w:rFonts w:hint="eastAsia" w:ascii="仿宋_GB2312" w:hAnsi="微软雅黑" w:eastAsia="仿宋_GB2312" w:cs="宋体"/>
                <w:color w:val="auto"/>
                <w:kern w:val="0"/>
                <w:sz w:val="21"/>
                <w:szCs w:val="21"/>
                <w:highlight w:val="none"/>
                <w:lang w:eastAsia="zh-CN"/>
              </w:rPr>
            </w:pPr>
            <w:r>
              <w:rPr>
                <w:rFonts w:hint="eastAsia" w:ascii="仿宋_GB2312" w:hAnsi="微软雅黑" w:eastAsia="仿宋_GB2312" w:cs="宋体"/>
                <w:color w:val="auto"/>
                <w:kern w:val="0"/>
                <w:sz w:val="21"/>
                <w:szCs w:val="21"/>
                <w:highlight w:val="none"/>
                <w:lang w:eastAsia="zh-CN"/>
              </w:rPr>
              <w:t>记</w:t>
            </w:r>
            <w:r>
              <w:rPr>
                <w:rFonts w:hint="eastAsia" w:ascii="仿宋_GB2312" w:hAnsi="微软雅黑" w:cs="宋体"/>
                <w:color w:val="auto"/>
                <w:kern w:val="0"/>
                <w:sz w:val="21"/>
                <w:szCs w:val="21"/>
                <w:highlight w:val="none"/>
                <w:lang w:val="en-US" w:eastAsia="zh-CN"/>
              </w:rPr>
              <w:t>10</w:t>
            </w:r>
            <w:r>
              <w:rPr>
                <w:rFonts w:hint="eastAsia" w:ascii="仿宋_GB2312" w:hAnsi="微软雅黑" w:eastAsia="仿宋_GB2312" w:cs="宋体"/>
                <w:color w:val="auto"/>
                <w:kern w:val="0"/>
                <w:sz w:val="21"/>
                <w:szCs w:val="21"/>
                <w:highlight w:val="none"/>
                <w:lang w:eastAsia="zh-CN"/>
              </w:rPr>
              <w:t>分</w:t>
            </w:r>
          </w:p>
        </w:tc>
      </w:tr>
      <w:tr w14:paraId="2AB9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450" w:type="pct"/>
            <w:vMerge w:val="continue"/>
            <w:tcBorders>
              <w:top w:val="single" w:color="auto" w:sz="4" w:space="0"/>
              <w:bottom w:val="single" w:color="auto" w:sz="4" w:space="0"/>
            </w:tcBorders>
            <w:noWrap w:val="0"/>
            <w:vAlign w:val="center"/>
          </w:tcPr>
          <w:p w14:paraId="176B9605">
            <w:pPr>
              <w:widowControl/>
              <w:spacing w:line="400" w:lineRule="exact"/>
              <w:ind w:right="-60" w:rightChars="-19" w:firstLine="0" w:firstLineChars="0"/>
              <w:jc w:val="center"/>
              <w:rPr>
                <w:rFonts w:ascii="微软雅黑" w:hAnsi="微软雅黑" w:eastAsia="微软雅黑" w:cs="宋体"/>
                <w:b/>
                <w:color w:val="auto"/>
                <w:kern w:val="0"/>
                <w:sz w:val="21"/>
                <w:szCs w:val="21"/>
              </w:rPr>
            </w:pPr>
          </w:p>
        </w:tc>
        <w:tc>
          <w:tcPr>
            <w:tcW w:w="1023" w:type="pct"/>
            <w:vMerge w:val="continue"/>
            <w:noWrap w:val="0"/>
            <w:vAlign w:val="center"/>
          </w:tcPr>
          <w:p w14:paraId="3F1322E1">
            <w:pPr>
              <w:widowControl/>
              <w:spacing w:line="400" w:lineRule="exact"/>
              <w:ind w:right="-160" w:rightChars="-50" w:firstLine="0" w:firstLineChars="0"/>
              <w:jc w:val="left"/>
              <w:rPr>
                <w:rFonts w:ascii="仿宋_GB2312" w:hAnsi="宋体" w:eastAsia="仿宋_GB2312" w:cs="宋体"/>
                <w:color w:val="auto"/>
                <w:kern w:val="0"/>
                <w:sz w:val="21"/>
                <w:szCs w:val="21"/>
              </w:rPr>
            </w:pPr>
          </w:p>
        </w:tc>
        <w:tc>
          <w:tcPr>
            <w:tcW w:w="2743" w:type="pct"/>
            <w:gridSpan w:val="2"/>
            <w:noWrap w:val="0"/>
            <w:vAlign w:val="center"/>
          </w:tcPr>
          <w:p w14:paraId="19F54BD8">
            <w:pPr>
              <w:widowControl/>
              <w:spacing w:line="400" w:lineRule="exact"/>
              <w:ind w:left="0" w:leftChars="0" w:right="-86" w:rightChars="-27" w:firstLine="0" w:firstLineChars="0"/>
              <w:jc w:val="left"/>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最近1</w:t>
            </w:r>
            <w:r>
              <w:rPr>
                <w:rFonts w:hint="eastAsia" w:ascii="仿宋_GB2312" w:hAnsi="宋体" w:eastAsia="仿宋_GB2312" w:cs="宋体"/>
                <w:color w:val="auto"/>
                <w:kern w:val="0"/>
                <w:sz w:val="21"/>
                <w:szCs w:val="21"/>
                <w:lang w:eastAsia="zh-CN"/>
              </w:rPr>
              <w:t>年</w:t>
            </w:r>
            <w:r>
              <w:rPr>
                <w:rFonts w:hint="eastAsia" w:ascii="仿宋_GB2312" w:hAnsi="宋体" w:eastAsia="仿宋_GB2312" w:cs="宋体"/>
                <w:color w:val="auto"/>
                <w:kern w:val="0"/>
                <w:sz w:val="21"/>
                <w:szCs w:val="21"/>
              </w:rPr>
              <w:t>参与项目</w:t>
            </w:r>
            <w:r>
              <w:rPr>
                <w:rFonts w:hint="eastAsia" w:ascii="仿宋_GB2312" w:hAnsi="宋体" w:eastAsia="仿宋_GB2312" w:cs="宋体"/>
                <w:color w:val="auto"/>
                <w:kern w:val="0"/>
                <w:sz w:val="21"/>
                <w:szCs w:val="21"/>
                <w:lang w:eastAsia="zh-CN"/>
              </w:rPr>
              <w:t>工程</w:t>
            </w:r>
            <w:r>
              <w:rPr>
                <w:rFonts w:hint="eastAsia" w:ascii="仿宋_GB2312" w:hAnsi="宋体" w:eastAsia="仿宋_GB2312" w:cs="宋体"/>
                <w:color w:val="auto"/>
                <w:kern w:val="0"/>
                <w:sz w:val="21"/>
                <w:szCs w:val="21"/>
              </w:rPr>
              <w:t>造价额累计超过</w:t>
            </w:r>
            <w:r>
              <w:rPr>
                <w:rFonts w:hint="eastAsia" w:ascii="仿宋_GB2312" w:hAnsi="宋体" w:cs="宋体"/>
                <w:color w:val="auto"/>
                <w:kern w:val="0"/>
                <w:sz w:val="21"/>
                <w:szCs w:val="21"/>
                <w:lang w:val="en-US" w:eastAsia="zh-CN"/>
              </w:rPr>
              <w:t>1</w:t>
            </w:r>
            <w:r>
              <w:rPr>
                <w:rFonts w:hint="eastAsia" w:ascii="仿宋_GB2312" w:hAnsi="宋体" w:eastAsia="仿宋_GB2312" w:cs="宋体"/>
                <w:color w:val="auto"/>
                <w:kern w:val="0"/>
                <w:sz w:val="21"/>
                <w:szCs w:val="21"/>
              </w:rPr>
              <w:t>亿元</w:t>
            </w:r>
            <w:r>
              <w:rPr>
                <w:rFonts w:hint="eastAsia" w:ascii="仿宋_GB2312" w:hAnsi="宋体" w:eastAsia="仿宋_GB2312" w:cs="宋体"/>
                <w:color w:val="auto"/>
                <w:kern w:val="0"/>
                <w:sz w:val="21"/>
                <w:szCs w:val="21"/>
                <w:lang w:eastAsia="zh-CN"/>
              </w:rPr>
              <w:t>或项目数量超过</w:t>
            </w:r>
            <w:r>
              <w:rPr>
                <w:rFonts w:hint="eastAsia" w:ascii="仿宋_GB2312" w:hAnsi="宋体" w:cs="宋体"/>
                <w:color w:val="auto"/>
                <w:kern w:val="0"/>
                <w:sz w:val="21"/>
                <w:szCs w:val="21"/>
                <w:lang w:val="en-US" w:eastAsia="zh-CN"/>
              </w:rPr>
              <w:t>2</w:t>
            </w:r>
            <w:r>
              <w:rPr>
                <w:rFonts w:hint="eastAsia" w:ascii="仿宋_GB2312" w:hAnsi="宋体" w:eastAsia="仿宋_GB2312" w:cs="宋体"/>
                <w:color w:val="auto"/>
                <w:kern w:val="0"/>
                <w:sz w:val="21"/>
                <w:szCs w:val="21"/>
                <w:lang w:val="en-US" w:eastAsia="zh-CN"/>
              </w:rPr>
              <w:t>个</w:t>
            </w:r>
          </w:p>
        </w:tc>
        <w:tc>
          <w:tcPr>
            <w:tcW w:w="782" w:type="pct"/>
            <w:noWrap w:val="0"/>
            <w:vAlign w:val="top"/>
          </w:tcPr>
          <w:p w14:paraId="1E0EC04F">
            <w:pPr>
              <w:widowControl/>
              <w:spacing w:line="400" w:lineRule="exact"/>
              <w:ind w:left="-160" w:leftChars="-50" w:right="-160" w:rightChars="-50" w:firstLine="420" w:firstLineChars="200"/>
              <w:jc w:val="left"/>
              <w:rPr>
                <w:rFonts w:hint="eastAsia" w:ascii="仿宋_GB2312" w:hAnsi="微软雅黑" w:eastAsia="仿宋_GB2312" w:cs="宋体"/>
                <w:color w:val="auto"/>
                <w:kern w:val="0"/>
                <w:sz w:val="21"/>
                <w:szCs w:val="21"/>
                <w:highlight w:val="none"/>
                <w:lang w:eastAsia="zh-CN"/>
              </w:rPr>
            </w:pPr>
            <w:r>
              <w:rPr>
                <w:rFonts w:hint="eastAsia" w:ascii="仿宋_GB2312" w:hAnsi="微软雅黑" w:eastAsia="仿宋_GB2312" w:cs="宋体"/>
                <w:color w:val="auto"/>
                <w:kern w:val="0"/>
                <w:sz w:val="21"/>
                <w:szCs w:val="21"/>
                <w:highlight w:val="none"/>
                <w:lang w:eastAsia="zh-CN"/>
              </w:rPr>
              <w:t>记</w:t>
            </w:r>
            <w:r>
              <w:rPr>
                <w:rFonts w:hint="eastAsia" w:ascii="仿宋_GB2312" w:hAnsi="微软雅黑" w:cs="宋体"/>
                <w:color w:val="auto"/>
                <w:kern w:val="0"/>
                <w:sz w:val="21"/>
                <w:szCs w:val="21"/>
                <w:highlight w:val="none"/>
                <w:lang w:val="en-US" w:eastAsia="zh-CN"/>
              </w:rPr>
              <w:t>6</w:t>
            </w:r>
            <w:r>
              <w:rPr>
                <w:rFonts w:hint="eastAsia" w:ascii="仿宋_GB2312" w:hAnsi="微软雅黑" w:eastAsia="仿宋_GB2312" w:cs="宋体"/>
                <w:color w:val="auto"/>
                <w:kern w:val="0"/>
                <w:sz w:val="21"/>
                <w:szCs w:val="21"/>
                <w:highlight w:val="none"/>
                <w:lang w:eastAsia="zh-CN"/>
              </w:rPr>
              <w:t>分</w:t>
            </w:r>
          </w:p>
        </w:tc>
      </w:tr>
      <w:tr w14:paraId="63B0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50" w:type="pct"/>
            <w:vMerge w:val="continue"/>
            <w:tcBorders>
              <w:top w:val="single" w:color="auto" w:sz="4" w:space="0"/>
              <w:bottom w:val="single" w:color="auto" w:sz="4" w:space="0"/>
            </w:tcBorders>
            <w:noWrap w:val="0"/>
            <w:vAlign w:val="center"/>
          </w:tcPr>
          <w:p w14:paraId="4BC07ECC">
            <w:pPr>
              <w:widowControl/>
              <w:spacing w:line="400" w:lineRule="exact"/>
              <w:ind w:right="-60" w:rightChars="-19" w:firstLine="0" w:firstLineChars="0"/>
              <w:jc w:val="center"/>
              <w:rPr>
                <w:rFonts w:ascii="微软雅黑" w:hAnsi="微软雅黑" w:eastAsia="微软雅黑" w:cs="宋体"/>
                <w:b/>
                <w:color w:val="auto"/>
                <w:kern w:val="0"/>
                <w:sz w:val="21"/>
                <w:szCs w:val="21"/>
              </w:rPr>
            </w:pPr>
          </w:p>
        </w:tc>
        <w:tc>
          <w:tcPr>
            <w:tcW w:w="1023" w:type="pct"/>
            <w:vMerge w:val="continue"/>
            <w:noWrap w:val="0"/>
            <w:vAlign w:val="center"/>
          </w:tcPr>
          <w:p w14:paraId="5A2706E3">
            <w:pPr>
              <w:widowControl/>
              <w:spacing w:line="400" w:lineRule="exact"/>
              <w:ind w:right="-160" w:rightChars="-50" w:firstLine="0" w:firstLineChars="0"/>
              <w:jc w:val="left"/>
              <w:rPr>
                <w:rFonts w:ascii="仿宋_GB2312" w:hAnsi="宋体" w:eastAsia="仿宋_GB2312" w:cs="宋体"/>
                <w:color w:val="auto"/>
                <w:kern w:val="0"/>
                <w:sz w:val="21"/>
                <w:szCs w:val="21"/>
              </w:rPr>
            </w:pPr>
          </w:p>
        </w:tc>
        <w:tc>
          <w:tcPr>
            <w:tcW w:w="2743" w:type="pct"/>
            <w:gridSpan w:val="2"/>
            <w:noWrap w:val="0"/>
            <w:vAlign w:val="center"/>
          </w:tcPr>
          <w:p w14:paraId="20FDB520">
            <w:pPr>
              <w:widowControl/>
              <w:spacing w:line="400" w:lineRule="exact"/>
              <w:ind w:left="0" w:leftChars="0" w:right="-86" w:rightChars="-27" w:firstLine="0" w:firstLineChars="0"/>
              <w:jc w:val="left"/>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最近1</w:t>
            </w:r>
            <w:r>
              <w:rPr>
                <w:rFonts w:hint="eastAsia" w:ascii="仿宋_GB2312" w:hAnsi="宋体" w:eastAsia="仿宋_GB2312" w:cs="宋体"/>
                <w:color w:val="auto"/>
                <w:kern w:val="0"/>
                <w:sz w:val="21"/>
                <w:szCs w:val="21"/>
                <w:lang w:eastAsia="zh-CN"/>
              </w:rPr>
              <w:t>年</w:t>
            </w:r>
            <w:r>
              <w:rPr>
                <w:rFonts w:hint="eastAsia" w:ascii="仿宋_GB2312" w:hAnsi="宋体" w:eastAsia="仿宋_GB2312" w:cs="宋体"/>
                <w:color w:val="auto"/>
                <w:kern w:val="0"/>
                <w:sz w:val="21"/>
                <w:szCs w:val="21"/>
              </w:rPr>
              <w:t>参与项目</w:t>
            </w:r>
            <w:r>
              <w:rPr>
                <w:rFonts w:hint="eastAsia" w:ascii="仿宋_GB2312" w:hAnsi="宋体" w:eastAsia="仿宋_GB2312" w:cs="宋体"/>
                <w:color w:val="auto"/>
                <w:kern w:val="0"/>
                <w:sz w:val="21"/>
                <w:szCs w:val="21"/>
                <w:lang w:eastAsia="zh-CN"/>
              </w:rPr>
              <w:t>工程</w:t>
            </w:r>
            <w:r>
              <w:rPr>
                <w:rFonts w:hint="eastAsia" w:ascii="仿宋_GB2312" w:hAnsi="宋体" w:eastAsia="仿宋_GB2312" w:cs="宋体"/>
                <w:color w:val="auto"/>
                <w:kern w:val="0"/>
                <w:sz w:val="21"/>
                <w:szCs w:val="21"/>
              </w:rPr>
              <w:t>造价额累计超过</w:t>
            </w:r>
            <w:r>
              <w:rPr>
                <w:rFonts w:hint="eastAsia" w:ascii="仿宋_GB2312" w:hAnsi="宋体" w:cs="宋体"/>
                <w:color w:val="auto"/>
                <w:kern w:val="0"/>
                <w:sz w:val="21"/>
                <w:szCs w:val="21"/>
                <w:lang w:val="en-US" w:eastAsia="zh-CN"/>
              </w:rPr>
              <w:t>5000万</w:t>
            </w:r>
            <w:r>
              <w:rPr>
                <w:rFonts w:hint="eastAsia" w:ascii="仿宋_GB2312" w:hAnsi="宋体" w:eastAsia="仿宋_GB2312" w:cs="宋体"/>
                <w:color w:val="auto"/>
                <w:kern w:val="0"/>
                <w:sz w:val="21"/>
                <w:szCs w:val="21"/>
              </w:rPr>
              <w:t>元</w:t>
            </w:r>
            <w:r>
              <w:rPr>
                <w:rFonts w:hint="eastAsia" w:ascii="仿宋_GB2312" w:hAnsi="宋体" w:eastAsia="仿宋_GB2312" w:cs="宋体"/>
                <w:color w:val="auto"/>
                <w:kern w:val="0"/>
                <w:sz w:val="21"/>
                <w:szCs w:val="21"/>
                <w:lang w:eastAsia="zh-CN"/>
              </w:rPr>
              <w:t>或项目数量超过</w:t>
            </w:r>
            <w:r>
              <w:rPr>
                <w:rFonts w:hint="eastAsia" w:ascii="仿宋_GB2312" w:hAnsi="宋体" w:cs="宋体"/>
                <w:color w:val="auto"/>
                <w:kern w:val="0"/>
                <w:sz w:val="21"/>
                <w:szCs w:val="21"/>
                <w:lang w:val="en-US" w:eastAsia="zh-CN"/>
              </w:rPr>
              <w:t>1</w:t>
            </w:r>
            <w:r>
              <w:rPr>
                <w:rFonts w:hint="eastAsia" w:ascii="仿宋_GB2312" w:hAnsi="宋体" w:eastAsia="仿宋_GB2312" w:cs="宋体"/>
                <w:color w:val="auto"/>
                <w:kern w:val="0"/>
                <w:sz w:val="21"/>
                <w:szCs w:val="21"/>
                <w:lang w:val="en-US" w:eastAsia="zh-CN"/>
              </w:rPr>
              <w:t>个</w:t>
            </w:r>
          </w:p>
        </w:tc>
        <w:tc>
          <w:tcPr>
            <w:tcW w:w="782" w:type="pct"/>
            <w:noWrap w:val="0"/>
            <w:vAlign w:val="top"/>
          </w:tcPr>
          <w:p w14:paraId="22436E82">
            <w:pPr>
              <w:widowControl/>
              <w:spacing w:line="400" w:lineRule="exact"/>
              <w:ind w:left="-160" w:leftChars="-50" w:right="-160" w:rightChars="-50" w:firstLine="420" w:firstLineChars="200"/>
              <w:jc w:val="left"/>
              <w:rPr>
                <w:rFonts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lang w:eastAsia="zh-CN"/>
              </w:rPr>
              <w:t>记</w:t>
            </w:r>
            <w:r>
              <w:rPr>
                <w:rFonts w:hint="eastAsia" w:ascii="仿宋_GB2312" w:hAnsi="宋体" w:cs="宋体"/>
                <w:color w:val="auto"/>
                <w:kern w:val="0"/>
                <w:sz w:val="21"/>
                <w:szCs w:val="21"/>
                <w:highlight w:val="none"/>
                <w:lang w:val="en-US" w:eastAsia="zh-CN"/>
              </w:rPr>
              <w:t>3</w:t>
            </w:r>
            <w:r>
              <w:rPr>
                <w:rFonts w:hint="eastAsia" w:ascii="仿宋_GB2312" w:hAnsi="宋体" w:eastAsia="仿宋_GB2312" w:cs="宋体"/>
                <w:color w:val="auto"/>
                <w:kern w:val="0"/>
                <w:sz w:val="21"/>
                <w:szCs w:val="21"/>
                <w:highlight w:val="none"/>
              </w:rPr>
              <w:t>分</w:t>
            </w:r>
          </w:p>
        </w:tc>
      </w:tr>
      <w:tr w14:paraId="5136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pct"/>
            <w:vMerge w:val="continue"/>
            <w:tcBorders>
              <w:top w:val="single" w:color="auto" w:sz="4" w:space="0"/>
              <w:bottom w:val="single" w:color="auto" w:sz="4" w:space="0"/>
            </w:tcBorders>
            <w:noWrap w:val="0"/>
            <w:vAlign w:val="center"/>
          </w:tcPr>
          <w:p w14:paraId="528551AB">
            <w:pPr>
              <w:widowControl/>
              <w:spacing w:line="400" w:lineRule="exact"/>
              <w:ind w:right="-60" w:rightChars="-19" w:firstLine="480" w:firstLineChars="200"/>
              <w:jc w:val="left"/>
              <w:rPr>
                <w:rFonts w:ascii="宋体" w:hAnsi="宋体" w:eastAsia="宋体" w:cs="宋体"/>
                <w:color w:val="auto"/>
                <w:kern w:val="0"/>
                <w:sz w:val="24"/>
              </w:rPr>
            </w:pPr>
          </w:p>
        </w:tc>
        <w:tc>
          <w:tcPr>
            <w:tcW w:w="1023" w:type="pct"/>
            <w:vMerge w:val="restart"/>
            <w:noWrap w:val="0"/>
            <w:vAlign w:val="center"/>
          </w:tcPr>
          <w:p w14:paraId="1EE38E19">
            <w:pPr>
              <w:widowControl/>
              <w:spacing w:line="400" w:lineRule="exact"/>
              <w:ind w:left="-160" w:leftChars="-50" w:right="-160" w:rightChars="-50" w:firstLine="0" w:firstLineChars="0"/>
              <w:jc w:val="center"/>
              <w:rPr>
                <w:rFonts w:ascii="仿宋_GB2312" w:hAnsi="宋体" w:eastAsia="仿宋_GB2312" w:cs="宋体"/>
                <w:color w:val="auto"/>
                <w:kern w:val="0"/>
                <w:sz w:val="21"/>
                <w:szCs w:val="21"/>
              </w:rPr>
            </w:pPr>
            <w:r>
              <w:rPr>
                <w:rFonts w:hint="eastAsia" w:ascii="仿宋_GB2312" w:hAnsi="微软雅黑" w:eastAsia="仿宋_GB2312" w:cs="宋体"/>
                <w:color w:val="auto"/>
                <w:kern w:val="0"/>
                <w:sz w:val="21"/>
                <w:szCs w:val="21"/>
              </w:rPr>
              <w:t>获奖信息</w:t>
            </w:r>
          </w:p>
        </w:tc>
        <w:tc>
          <w:tcPr>
            <w:tcW w:w="603" w:type="pct"/>
            <w:vMerge w:val="restart"/>
            <w:noWrap w:val="0"/>
            <w:vAlign w:val="center"/>
          </w:tcPr>
          <w:p w14:paraId="47E43602">
            <w:pPr>
              <w:widowControl/>
              <w:spacing w:line="400" w:lineRule="exact"/>
              <w:ind w:right="-160" w:rightChars="-50" w:firstLine="0" w:firstLineChars="0"/>
              <w:jc w:val="both"/>
              <w:rPr>
                <w:rFonts w:ascii="仿宋_GB2312" w:hAnsi="宋体" w:eastAsia="仿宋_GB2312" w:cs="宋体"/>
                <w:color w:val="auto"/>
                <w:kern w:val="0"/>
                <w:sz w:val="21"/>
                <w:szCs w:val="21"/>
              </w:rPr>
            </w:pPr>
            <w:r>
              <w:rPr>
                <w:rFonts w:hint="eastAsia" w:ascii="仿宋_GB2312" w:hAnsi="仿宋_GB2312" w:eastAsia="仿宋_GB2312" w:cs="仿宋_GB2312"/>
                <w:color w:val="auto"/>
                <w:kern w:val="0"/>
                <w:sz w:val="21"/>
                <w:szCs w:val="21"/>
              </w:rPr>
              <w:t>国家级</w:t>
            </w:r>
          </w:p>
        </w:tc>
        <w:tc>
          <w:tcPr>
            <w:tcW w:w="2140" w:type="pct"/>
            <w:noWrap w:val="0"/>
            <w:vAlign w:val="center"/>
          </w:tcPr>
          <w:p w14:paraId="4977AE76">
            <w:pPr>
              <w:widowControl/>
              <w:spacing w:line="400" w:lineRule="exact"/>
              <w:ind w:right="-54" w:rightChars="-17" w:firstLine="0" w:firstLineChars="0"/>
              <w:jc w:val="both"/>
              <w:rPr>
                <w:rFonts w:ascii="仿宋_GB2312" w:hAnsi="宋体" w:eastAsia="仿宋_GB2312" w:cs="宋体"/>
                <w:color w:val="auto"/>
                <w:kern w:val="0"/>
                <w:sz w:val="21"/>
                <w:szCs w:val="21"/>
              </w:rPr>
            </w:pPr>
            <w:r>
              <w:rPr>
                <w:rFonts w:hint="eastAsia" w:ascii="仿宋_GB2312" w:hAnsi="仿宋_GB2312" w:eastAsia="仿宋_GB2312" w:cs="仿宋_GB2312"/>
                <w:color w:val="auto"/>
                <w:sz w:val="21"/>
                <w:szCs w:val="21"/>
                <w:lang w:val="en-US" w:eastAsia="zh-CN"/>
              </w:rPr>
              <w:t>国务院及其组成部门</w:t>
            </w:r>
            <w:r>
              <w:rPr>
                <w:rFonts w:hint="eastAsia" w:ascii="仿宋_GB2312" w:hAnsi="仿宋_GB2312" w:eastAsia="仿宋_GB2312" w:cs="仿宋_GB2312"/>
                <w:color w:val="auto"/>
                <w:kern w:val="0"/>
                <w:sz w:val="21"/>
                <w:szCs w:val="21"/>
              </w:rPr>
              <w:t>颁发的与造价咨询活动相关的表彰或奖励</w:t>
            </w:r>
          </w:p>
        </w:tc>
        <w:tc>
          <w:tcPr>
            <w:tcW w:w="782" w:type="pct"/>
            <w:noWrap w:val="0"/>
            <w:vAlign w:val="center"/>
          </w:tcPr>
          <w:p w14:paraId="620B39CB">
            <w:pPr>
              <w:widowControl/>
              <w:spacing w:line="400" w:lineRule="exact"/>
              <w:ind w:left="0" w:leftChars="0" w:right="-160" w:rightChars="-50" w:firstLine="0" w:firstLineChars="0"/>
              <w:jc w:val="left"/>
              <w:rPr>
                <w:rFonts w:ascii="仿宋_GB2312" w:hAnsi="宋体" w:eastAsia="仿宋_GB2312" w:cs="宋体"/>
                <w:color w:val="auto"/>
                <w:kern w:val="0"/>
                <w:sz w:val="21"/>
                <w:szCs w:val="21"/>
              </w:rPr>
            </w:pPr>
            <w:r>
              <w:rPr>
                <w:rFonts w:hint="eastAsia" w:ascii="仿宋_GB2312" w:hAnsi="微软雅黑" w:eastAsia="仿宋_GB2312" w:cs="宋体"/>
                <w:color w:val="auto"/>
                <w:kern w:val="0"/>
                <w:sz w:val="21"/>
                <w:szCs w:val="21"/>
              </w:rPr>
              <w:t>每项</w:t>
            </w:r>
            <w:r>
              <w:rPr>
                <w:rFonts w:hint="eastAsia" w:ascii="仿宋_GB2312" w:hAnsi="微软雅黑" w:eastAsia="仿宋_GB2312" w:cs="宋体"/>
                <w:color w:val="auto"/>
                <w:kern w:val="0"/>
                <w:sz w:val="21"/>
                <w:szCs w:val="21"/>
                <w:lang w:eastAsia="zh-CN"/>
              </w:rPr>
              <w:t>记</w:t>
            </w:r>
            <w:r>
              <w:rPr>
                <w:rFonts w:hint="eastAsia" w:ascii="仿宋_GB2312" w:hAnsi="微软雅黑" w:cs="宋体"/>
                <w:color w:val="auto"/>
                <w:kern w:val="0"/>
                <w:sz w:val="21"/>
                <w:szCs w:val="21"/>
                <w:lang w:val="en-US" w:eastAsia="zh-CN"/>
              </w:rPr>
              <w:t>2</w:t>
            </w:r>
            <w:r>
              <w:rPr>
                <w:rFonts w:hint="eastAsia" w:ascii="仿宋_GB2312" w:hAnsi="微软雅黑" w:eastAsia="仿宋_GB2312" w:cs="宋体"/>
                <w:color w:val="auto"/>
                <w:kern w:val="0"/>
                <w:sz w:val="21"/>
                <w:szCs w:val="21"/>
              </w:rPr>
              <w:t>分，最多</w:t>
            </w:r>
            <w:r>
              <w:rPr>
                <w:rFonts w:hint="eastAsia" w:ascii="仿宋_GB2312" w:hAnsi="微软雅黑" w:eastAsia="仿宋_GB2312" w:cs="宋体"/>
                <w:color w:val="auto"/>
                <w:kern w:val="0"/>
                <w:sz w:val="21"/>
                <w:szCs w:val="21"/>
                <w:lang w:eastAsia="zh-CN"/>
              </w:rPr>
              <w:t>记</w:t>
            </w:r>
            <w:r>
              <w:rPr>
                <w:rFonts w:hint="eastAsia" w:ascii="仿宋_GB2312" w:hAnsi="微软雅黑" w:cs="宋体"/>
                <w:color w:val="auto"/>
                <w:kern w:val="0"/>
                <w:sz w:val="21"/>
                <w:szCs w:val="21"/>
                <w:lang w:val="en-US" w:eastAsia="zh-CN"/>
              </w:rPr>
              <w:t>4</w:t>
            </w:r>
            <w:r>
              <w:rPr>
                <w:rFonts w:hint="eastAsia" w:ascii="仿宋_GB2312" w:hAnsi="微软雅黑" w:eastAsia="仿宋_GB2312" w:cs="宋体"/>
                <w:color w:val="auto"/>
                <w:kern w:val="0"/>
                <w:sz w:val="21"/>
                <w:szCs w:val="21"/>
              </w:rPr>
              <w:t xml:space="preserve">分 </w:t>
            </w:r>
          </w:p>
        </w:tc>
      </w:tr>
      <w:tr w14:paraId="2D44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50" w:type="pct"/>
            <w:vMerge w:val="continue"/>
            <w:tcBorders>
              <w:top w:val="single" w:color="auto" w:sz="4" w:space="0"/>
              <w:bottom w:val="single" w:color="auto" w:sz="4" w:space="0"/>
            </w:tcBorders>
            <w:noWrap w:val="0"/>
            <w:vAlign w:val="center"/>
          </w:tcPr>
          <w:p w14:paraId="1EBE1278">
            <w:pPr>
              <w:widowControl/>
              <w:spacing w:line="400" w:lineRule="exact"/>
              <w:ind w:right="-60" w:rightChars="-19" w:firstLine="480" w:firstLineChars="200"/>
              <w:jc w:val="left"/>
              <w:rPr>
                <w:rFonts w:ascii="宋体" w:hAnsi="宋体" w:eastAsia="宋体" w:cs="宋体"/>
                <w:color w:val="auto"/>
                <w:kern w:val="0"/>
                <w:sz w:val="24"/>
              </w:rPr>
            </w:pPr>
          </w:p>
        </w:tc>
        <w:tc>
          <w:tcPr>
            <w:tcW w:w="1023" w:type="pct"/>
            <w:vMerge w:val="continue"/>
            <w:noWrap w:val="0"/>
            <w:vAlign w:val="center"/>
          </w:tcPr>
          <w:p w14:paraId="40994687">
            <w:pPr>
              <w:widowControl/>
              <w:spacing w:line="400" w:lineRule="exact"/>
              <w:ind w:firstLine="420" w:firstLineChars="200"/>
              <w:jc w:val="left"/>
              <w:rPr>
                <w:rFonts w:ascii="仿宋_GB2312" w:hAnsi="宋体" w:eastAsia="仿宋_GB2312" w:cs="宋体"/>
                <w:color w:val="auto"/>
                <w:kern w:val="0"/>
                <w:sz w:val="21"/>
                <w:szCs w:val="21"/>
              </w:rPr>
            </w:pPr>
          </w:p>
        </w:tc>
        <w:tc>
          <w:tcPr>
            <w:tcW w:w="603" w:type="pct"/>
            <w:vMerge w:val="continue"/>
            <w:noWrap w:val="0"/>
            <w:vAlign w:val="center"/>
          </w:tcPr>
          <w:p w14:paraId="32A0F92D">
            <w:pPr>
              <w:widowControl/>
              <w:spacing w:line="400" w:lineRule="exact"/>
              <w:ind w:left="0" w:leftChars="0" w:right="-160" w:rightChars="-50" w:firstLine="0" w:firstLineChars="0"/>
              <w:jc w:val="both"/>
              <w:rPr>
                <w:rFonts w:ascii="仿宋_GB2312" w:hAnsi="宋体" w:eastAsia="仿宋_GB2312" w:cs="宋体"/>
                <w:color w:val="auto"/>
                <w:kern w:val="0"/>
                <w:sz w:val="21"/>
                <w:szCs w:val="21"/>
              </w:rPr>
            </w:pPr>
          </w:p>
        </w:tc>
        <w:tc>
          <w:tcPr>
            <w:tcW w:w="2140" w:type="pct"/>
            <w:noWrap w:val="0"/>
            <w:vAlign w:val="center"/>
          </w:tcPr>
          <w:p w14:paraId="4B06BC6F">
            <w:pPr>
              <w:widowControl/>
              <w:spacing w:line="400" w:lineRule="exact"/>
              <w:ind w:right="-54" w:rightChars="-17" w:firstLine="0" w:firstLineChars="0"/>
              <w:jc w:val="both"/>
              <w:rPr>
                <w:rFonts w:ascii="仿宋_GB2312" w:hAnsi="宋体" w:eastAsia="仿宋_GB2312" w:cs="宋体"/>
                <w:color w:val="auto"/>
                <w:kern w:val="0"/>
                <w:sz w:val="21"/>
                <w:szCs w:val="21"/>
              </w:rPr>
            </w:pPr>
            <w:r>
              <w:rPr>
                <w:rFonts w:hint="eastAsia" w:ascii="仿宋_GB2312" w:hAnsi="仿宋_GB2312" w:eastAsia="仿宋_GB2312" w:cs="仿宋_GB2312"/>
                <w:color w:val="auto"/>
                <w:kern w:val="0"/>
                <w:sz w:val="21"/>
                <w:szCs w:val="21"/>
                <w:lang w:eastAsia="zh-CN"/>
              </w:rPr>
              <w:t>全国造价行业协会组织的</w:t>
            </w:r>
            <w:r>
              <w:rPr>
                <w:rFonts w:hint="eastAsia" w:ascii="仿宋_GB2312" w:hAnsi="仿宋_GB2312" w:eastAsia="仿宋_GB2312" w:cs="仿宋_GB2312"/>
                <w:color w:val="auto"/>
                <w:kern w:val="0"/>
                <w:sz w:val="21"/>
                <w:szCs w:val="21"/>
              </w:rPr>
              <w:t>造价业务技能比赛</w:t>
            </w:r>
          </w:p>
        </w:tc>
        <w:tc>
          <w:tcPr>
            <w:tcW w:w="782" w:type="pct"/>
            <w:noWrap w:val="0"/>
            <w:vAlign w:val="center"/>
          </w:tcPr>
          <w:p w14:paraId="165B03C2">
            <w:pPr>
              <w:widowControl/>
              <w:spacing w:line="400" w:lineRule="exact"/>
              <w:ind w:left="0" w:leftChars="0" w:right="-160" w:rightChars="-50" w:firstLine="0" w:firstLineChars="0"/>
              <w:jc w:val="left"/>
              <w:rPr>
                <w:rFonts w:ascii="仿宋_GB2312" w:hAnsi="宋体" w:eastAsia="仿宋_GB2312" w:cs="宋体"/>
                <w:color w:val="auto"/>
                <w:kern w:val="0"/>
                <w:sz w:val="21"/>
                <w:szCs w:val="21"/>
              </w:rPr>
            </w:pPr>
            <w:r>
              <w:rPr>
                <w:rFonts w:hint="eastAsia" w:ascii="仿宋_GB2312" w:hAnsi="微软雅黑" w:eastAsia="仿宋_GB2312" w:cs="宋体"/>
                <w:color w:val="auto"/>
                <w:kern w:val="0"/>
                <w:sz w:val="21"/>
                <w:szCs w:val="21"/>
              </w:rPr>
              <w:t>每项</w:t>
            </w:r>
            <w:r>
              <w:rPr>
                <w:rFonts w:hint="eastAsia" w:ascii="仿宋_GB2312" w:hAnsi="微软雅黑" w:eastAsia="仿宋_GB2312" w:cs="宋体"/>
                <w:color w:val="auto"/>
                <w:kern w:val="0"/>
                <w:sz w:val="21"/>
                <w:szCs w:val="21"/>
                <w:lang w:eastAsia="zh-CN"/>
              </w:rPr>
              <w:t>记</w:t>
            </w:r>
            <w:r>
              <w:rPr>
                <w:rFonts w:hint="eastAsia" w:ascii="仿宋_GB2312" w:hAnsi="微软雅黑" w:cs="宋体"/>
                <w:color w:val="auto"/>
                <w:kern w:val="0"/>
                <w:sz w:val="21"/>
                <w:szCs w:val="21"/>
                <w:lang w:val="en-US" w:eastAsia="zh-CN"/>
              </w:rPr>
              <w:t>2</w:t>
            </w:r>
            <w:r>
              <w:rPr>
                <w:rFonts w:hint="eastAsia" w:ascii="仿宋_GB2312" w:hAnsi="微软雅黑" w:eastAsia="仿宋_GB2312" w:cs="宋体"/>
                <w:color w:val="auto"/>
                <w:kern w:val="0"/>
                <w:sz w:val="21"/>
                <w:szCs w:val="21"/>
              </w:rPr>
              <w:t>分，最多</w:t>
            </w:r>
            <w:r>
              <w:rPr>
                <w:rFonts w:hint="eastAsia" w:ascii="仿宋_GB2312" w:hAnsi="微软雅黑" w:eastAsia="仿宋_GB2312" w:cs="宋体"/>
                <w:color w:val="auto"/>
                <w:kern w:val="0"/>
                <w:sz w:val="21"/>
                <w:szCs w:val="21"/>
                <w:lang w:eastAsia="zh-CN"/>
              </w:rPr>
              <w:t>记</w:t>
            </w:r>
            <w:r>
              <w:rPr>
                <w:rFonts w:hint="eastAsia" w:ascii="仿宋_GB2312" w:hAnsi="微软雅黑" w:cs="宋体"/>
                <w:color w:val="auto"/>
                <w:kern w:val="0"/>
                <w:sz w:val="21"/>
                <w:szCs w:val="21"/>
                <w:lang w:val="en-US" w:eastAsia="zh-CN"/>
              </w:rPr>
              <w:t>4</w:t>
            </w:r>
            <w:r>
              <w:rPr>
                <w:rFonts w:hint="eastAsia" w:ascii="仿宋_GB2312" w:hAnsi="微软雅黑" w:eastAsia="仿宋_GB2312" w:cs="宋体"/>
                <w:color w:val="auto"/>
                <w:kern w:val="0"/>
                <w:sz w:val="21"/>
                <w:szCs w:val="21"/>
              </w:rPr>
              <w:t xml:space="preserve">分 </w:t>
            </w:r>
          </w:p>
        </w:tc>
      </w:tr>
      <w:tr w14:paraId="600D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50" w:type="pct"/>
            <w:vMerge w:val="continue"/>
            <w:tcBorders>
              <w:top w:val="single" w:color="auto" w:sz="4" w:space="0"/>
              <w:bottom w:val="single" w:color="auto" w:sz="4" w:space="0"/>
            </w:tcBorders>
            <w:noWrap w:val="0"/>
            <w:vAlign w:val="center"/>
          </w:tcPr>
          <w:p w14:paraId="628B4815">
            <w:pPr>
              <w:widowControl/>
              <w:spacing w:line="400" w:lineRule="exact"/>
              <w:ind w:right="-60" w:rightChars="-19" w:firstLine="480" w:firstLineChars="200"/>
              <w:jc w:val="left"/>
              <w:rPr>
                <w:rFonts w:ascii="宋体" w:hAnsi="宋体" w:eastAsia="宋体" w:cs="宋体"/>
                <w:color w:val="auto"/>
                <w:kern w:val="0"/>
                <w:sz w:val="24"/>
              </w:rPr>
            </w:pPr>
          </w:p>
        </w:tc>
        <w:tc>
          <w:tcPr>
            <w:tcW w:w="1023" w:type="pct"/>
            <w:vMerge w:val="continue"/>
            <w:noWrap w:val="0"/>
            <w:vAlign w:val="center"/>
          </w:tcPr>
          <w:p w14:paraId="4A89556B">
            <w:pPr>
              <w:widowControl/>
              <w:spacing w:line="400" w:lineRule="exact"/>
              <w:ind w:firstLine="420" w:firstLineChars="200"/>
              <w:jc w:val="left"/>
              <w:rPr>
                <w:rFonts w:ascii="仿宋_GB2312" w:hAnsi="宋体" w:eastAsia="仿宋_GB2312" w:cs="宋体"/>
                <w:color w:val="auto"/>
                <w:kern w:val="0"/>
                <w:sz w:val="21"/>
                <w:szCs w:val="21"/>
              </w:rPr>
            </w:pPr>
          </w:p>
        </w:tc>
        <w:tc>
          <w:tcPr>
            <w:tcW w:w="603" w:type="pct"/>
            <w:vMerge w:val="restart"/>
            <w:noWrap w:val="0"/>
            <w:vAlign w:val="center"/>
          </w:tcPr>
          <w:p w14:paraId="00E66CB1">
            <w:pPr>
              <w:widowControl/>
              <w:spacing w:line="400" w:lineRule="exact"/>
              <w:ind w:left="0" w:leftChars="0" w:right="-160" w:rightChars="-50" w:firstLine="0" w:firstLineChars="0"/>
              <w:jc w:val="both"/>
              <w:rPr>
                <w:rFonts w:hint="eastAsia" w:ascii="仿宋_GB2312" w:hAnsi="微软雅黑" w:eastAsia="仿宋_GB2312" w:cs="宋体"/>
                <w:color w:val="auto"/>
                <w:kern w:val="0"/>
                <w:sz w:val="21"/>
                <w:szCs w:val="21"/>
                <w:lang w:eastAsia="zh-CN"/>
              </w:rPr>
            </w:pPr>
            <w:r>
              <w:rPr>
                <w:rFonts w:hint="eastAsia" w:ascii="仿宋_GB2312" w:hAnsi="仿宋_GB2312" w:eastAsia="仿宋_GB2312" w:cs="仿宋_GB2312"/>
                <w:color w:val="auto"/>
                <w:kern w:val="0"/>
                <w:sz w:val="21"/>
                <w:szCs w:val="21"/>
                <w:lang w:eastAsia="zh-CN"/>
              </w:rPr>
              <w:t>省</w:t>
            </w:r>
            <w:r>
              <w:rPr>
                <w:rFonts w:hint="eastAsia" w:ascii="仿宋_GB2312" w:hAnsi="仿宋_GB2312" w:eastAsia="仿宋_GB2312" w:cs="仿宋_GB2312"/>
                <w:color w:val="auto"/>
                <w:kern w:val="0"/>
                <w:sz w:val="21"/>
                <w:szCs w:val="21"/>
              </w:rPr>
              <w:t>级</w:t>
            </w:r>
          </w:p>
        </w:tc>
        <w:tc>
          <w:tcPr>
            <w:tcW w:w="2140" w:type="pct"/>
            <w:noWrap w:val="0"/>
            <w:vAlign w:val="center"/>
          </w:tcPr>
          <w:p w14:paraId="12FFAC6A">
            <w:pPr>
              <w:widowControl/>
              <w:spacing w:line="400" w:lineRule="exact"/>
              <w:ind w:right="-54" w:rightChars="-17" w:firstLine="0" w:firstLineChars="0"/>
              <w:jc w:val="both"/>
              <w:rPr>
                <w:rFonts w:hint="eastAsia" w:ascii="仿宋_GB2312" w:hAnsi="微软雅黑" w:eastAsia="仿宋_GB2312" w:cs="宋体"/>
                <w:color w:val="auto"/>
                <w:kern w:val="0"/>
                <w:sz w:val="21"/>
                <w:szCs w:val="21"/>
                <w:lang w:eastAsia="zh-CN"/>
              </w:rPr>
            </w:pPr>
            <w:r>
              <w:rPr>
                <w:rFonts w:hint="eastAsia" w:ascii="仿宋_GB2312" w:hAnsi="仿宋_GB2312" w:eastAsia="仿宋_GB2312" w:cs="仿宋_GB2312"/>
                <w:color w:val="auto"/>
                <w:kern w:val="0"/>
                <w:sz w:val="21"/>
                <w:szCs w:val="21"/>
                <w:lang w:eastAsia="zh-CN"/>
              </w:rPr>
              <w:t>省级</w:t>
            </w:r>
            <w:r>
              <w:rPr>
                <w:rFonts w:hint="eastAsia" w:ascii="仿宋_GB2312" w:hAnsi="仿宋_GB2312" w:eastAsia="仿宋_GB2312" w:cs="仿宋_GB2312"/>
                <w:color w:val="auto"/>
                <w:sz w:val="21"/>
                <w:szCs w:val="21"/>
                <w:lang w:val="en-US" w:eastAsia="zh-CN"/>
              </w:rPr>
              <w:t>人民政府及其组成部门</w:t>
            </w:r>
            <w:r>
              <w:rPr>
                <w:rFonts w:hint="eastAsia" w:ascii="仿宋_GB2312" w:hAnsi="仿宋_GB2312" w:eastAsia="仿宋_GB2312" w:cs="仿宋_GB2312"/>
                <w:color w:val="auto"/>
                <w:kern w:val="0"/>
                <w:sz w:val="21"/>
                <w:szCs w:val="21"/>
                <w:lang w:eastAsia="zh-CN"/>
              </w:rPr>
              <w:t>颁</w:t>
            </w:r>
            <w:r>
              <w:rPr>
                <w:rFonts w:hint="eastAsia" w:ascii="仿宋_GB2312" w:hAnsi="仿宋_GB2312" w:eastAsia="仿宋_GB2312" w:cs="仿宋_GB2312"/>
                <w:color w:val="auto"/>
                <w:kern w:val="0"/>
                <w:sz w:val="21"/>
                <w:szCs w:val="21"/>
              </w:rPr>
              <w:t>发的与造价咨询活动相关的表彰或奖励</w:t>
            </w:r>
          </w:p>
        </w:tc>
        <w:tc>
          <w:tcPr>
            <w:tcW w:w="782" w:type="pct"/>
            <w:noWrap w:val="0"/>
            <w:vAlign w:val="center"/>
          </w:tcPr>
          <w:p w14:paraId="2B03FDB1">
            <w:pPr>
              <w:widowControl/>
              <w:spacing w:line="400" w:lineRule="exact"/>
              <w:ind w:left="0" w:leftChars="0" w:right="-160" w:rightChars="-50" w:firstLine="0" w:firstLineChars="0"/>
              <w:jc w:val="left"/>
              <w:rPr>
                <w:rFonts w:hint="eastAsia" w:ascii="仿宋_GB2312" w:hAnsi="微软雅黑" w:eastAsia="仿宋_GB2312" w:cs="宋体"/>
                <w:color w:val="auto"/>
                <w:kern w:val="0"/>
                <w:sz w:val="21"/>
                <w:szCs w:val="21"/>
              </w:rPr>
            </w:pPr>
            <w:r>
              <w:rPr>
                <w:rFonts w:hint="eastAsia" w:ascii="仿宋_GB2312" w:hAnsi="微软雅黑" w:eastAsia="仿宋_GB2312" w:cs="宋体"/>
                <w:color w:val="auto"/>
                <w:kern w:val="0"/>
                <w:sz w:val="21"/>
                <w:szCs w:val="21"/>
              </w:rPr>
              <w:t>每项</w:t>
            </w:r>
            <w:r>
              <w:rPr>
                <w:rFonts w:hint="eastAsia" w:ascii="仿宋_GB2312" w:hAnsi="微软雅黑" w:eastAsia="仿宋_GB2312" w:cs="宋体"/>
                <w:color w:val="auto"/>
                <w:kern w:val="0"/>
                <w:sz w:val="21"/>
                <w:szCs w:val="21"/>
                <w:lang w:eastAsia="zh-CN"/>
              </w:rPr>
              <w:t>记</w:t>
            </w:r>
            <w:r>
              <w:rPr>
                <w:rFonts w:hint="eastAsia" w:ascii="仿宋_GB2312" w:hAnsi="微软雅黑" w:cs="宋体"/>
                <w:color w:val="auto"/>
                <w:kern w:val="0"/>
                <w:sz w:val="21"/>
                <w:szCs w:val="21"/>
                <w:lang w:val="en-US" w:eastAsia="zh-CN"/>
              </w:rPr>
              <w:t>2</w:t>
            </w:r>
            <w:r>
              <w:rPr>
                <w:rFonts w:hint="eastAsia" w:ascii="仿宋_GB2312" w:hAnsi="微软雅黑" w:eastAsia="仿宋_GB2312" w:cs="宋体"/>
                <w:color w:val="auto"/>
                <w:kern w:val="0"/>
                <w:sz w:val="21"/>
                <w:szCs w:val="21"/>
              </w:rPr>
              <w:t>分，最多</w:t>
            </w:r>
            <w:r>
              <w:rPr>
                <w:rFonts w:hint="eastAsia" w:ascii="仿宋_GB2312" w:hAnsi="微软雅黑" w:eastAsia="仿宋_GB2312" w:cs="宋体"/>
                <w:color w:val="auto"/>
                <w:kern w:val="0"/>
                <w:sz w:val="21"/>
                <w:szCs w:val="21"/>
                <w:lang w:eastAsia="zh-CN"/>
              </w:rPr>
              <w:t>记</w:t>
            </w:r>
            <w:r>
              <w:rPr>
                <w:rFonts w:hint="eastAsia" w:ascii="仿宋_GB2312" w:hAnsi="微软雅黑" w:cs="宋体"/>
                <w:color w:val="auto"/>
                <w:kern w:val="0"/>
                <w:sz w:val="21"/>
                <w:szCs w:val="21"/>
                <w:lang w:val="en-US" w:eastAsia="zh-CN"/>
              </w:rPr>
              <w:t>4</w:t>
            </w:r>
            <w:r>
              <w:rPr>
                <w:rFonts w:hint="eastAsia" w:ascii="仿宋_GB2312" w:hAnsi="微软雅黑" w:eastAsia="仿宋_GB2312" w:cs="宋体"/>
                <w:color w:val="auto"/>
                <w:kern w:val="0"/>
                <w:sz w:val="21"/>
                <w:szCs w:val="21"/>
              </w:rPr>
              <w:t>分</w:t>
            </w:r>
          </w:p>
        </w:tc>
      </w:tr>
      <w:tr w14:paraId="3310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vMerge w:val="continue"/>
            <w:tcBorders>
              <w:top w:val="single" w:color="auto" w:sz="4" w:space="0"/>
              <w:bottom w:val="single" w:color="auto" w:sz="4" w:space="0"/>
            </w:tcBorders>
            <w:noWrap w:val="0"/>
            <w:vAlign w:val="center"/>
          </w:tcPr>
          <w:p w14:paraId="12766D02">
            <w:pPr>
              <w:widowControl/>
              <w:spacing w:line="400" w:lineRule="exact"/>
              <w:ind w:right="-60" w:rightChars="-19" w:firstLine="480" w:firstLineChars="200"/>
              <w:jc w:val="left"/>
              <w:rPr>
                <w:rFonts w:ascii="宋体" w:hAnsi="宋体" w:eastAsia="宋体" w:cs="宋体"/>
                <w:color w:val="auto"/>
                <w:kern w:val="0"/>
                <w:sz w:val="24"/>
              </w:rPr>
            </w:pPr>
          </w:p>
        </w:tc>
        <w:tc>
          <w:tcPr>
            <w:tcW w:w="1023" w:type="pct"/>
            <w:vMerge w:val="continue"/>
            <w:noWrap w:val="0"/>
            <w:vAlign w:val="center"/>
          </w:tcPr>
          <w:p w14:paraId="3D6DF742">
            <w:pPr>
              <w:widowControl/>
              <w:spacing w:line="400" w:lineRule="exact"/>
              <w:ind w:firstLine="420" w:firstLineChars="200"/>
              <w:jc w:val="left"/>
              <w:rPr>
                <w:rFonts w:ascii="仿宋_GB2312" w:hAnsi="宋体" w:eastAsia="仿宋_GB2312" w:cs="宋体"/>
                <w:color w:val="auto"/>
                <w:kern w:val="0"/>
                <w:sz w:val="21"/>
                <w:szCs w:val="21"/>
              </w:rPr>
            </w:pPr>
          </w:p>
        </w:tc>
        <w:tc>
          <w:tcPr>
            <w:tcW w:w="603" w:type="pct"/>
            <w:vMerge w:val="continue"/>
            <w:noWrap w:val="0"/>
            <w:vAlign w:val="center"/>
          </w:tcPr>
          <w:p w14:paraId="349DE6EC">
            <w:pPr>
              <w:widowControl/>
              <w:spacing w:line="400" w:lineRule="exact"/>
              <w:ind w:firstLine="420" w:firstLineChars="200"/>
              <w:jc w:val="both"/>
              <w:rPr>
                <w:rFonts w:ascii="仿宋_GB2312" w:hAnsi="宋体" w:eastAsia="仿宋_GB2312" w:cs="宋体"/>
                <w:color w:val="auto"/>
                <w:kern w:val="0"/>
                <w:sz w:val="21"/>
                <w:szCs w:val="21"/>
              </w:rPr>
            </w:pPr>
          </w:p>
        </w:tc>
        <w:tc>
          <w:tcPr>
            <w:tcW w:w="2140" w:type="pct"/>
            <w:noWrap w:val="0"/>
            <w:vAlign w:val="center"/>
          </w:tcPr>
          <w:p w14:paraId="07DE7C90">
            <w:pPr>
              <w:widowControl/>
              <w:spacing w:line="400" w:lineRule="exact"/>
              <w:ind w:right="-54" w:rightChars="-17" w:firstLine="0" w:firstLineChars="0"/>
              <w:jc w:val="both"/>
              <w:rPr>
                <w:rFonts w:ascii="仿宋_GB2312" w:hAnsi="宋体" w:eastAsia="仿宋_GB2312" w:cs="宋体"/>
                <w:color w:val="auto"/>
                <w:kern w:val="0"/>
                <w:sz w:val="21"/>
                <w:szCs w:val="21"/>
              </w:rPr>
            </w:pPr>
            <w:r>
              <w:rPr>
                <w:rFonts w:hint="eastAsia" w:ascii="仿宋_GB2312" w:hAnsi="仿宋_GB2312" w:eastAsia="仿宋_GB2312" w:cs="仿宋_GB2312"/>
                <w:color w:val="auto"/>
                <w:kern w:val="0"/>
                <w:sz w:val="21"/>
                <w:szCs w:val="21"/>
                <w:lang w:eastAsia="zh-CN"/>
              </w:rPr>
              <w:t>省级造价行业协会组织的</w:t>
            </w:r>
            <w:r>
              <w:rPr>
                <w:rFonts w:hint="eastAsia" w:ascii="仿宋_GB2312" w:hAnsi="仿宋_GB2312" w:eastAsia="仿宋_GB2312" w:cs="仿宋_GB2312"/>
                <w:color w:val="auto"/>
                <w:kern w:val="0"/>
                <w:sz w:val="21"/>
                <w:szCs w:val="21"/>
              </w:rPr>
              <w:t>与造价咨询活动相关的表彰或奖励</w:t>
            </w:r>
          </w:p>
        </w:tc>
        <w:tc>
          <w:tcPr>
            <w:tcW w:w="782" w:type="pct"/>
            <w:noWrap w:val="0"/>
            <w:vAlign w:val="center"/>
          </w:tcPr>
          <w:p w14:paraId="5CC1B853">
            <w:pPr>
              <w:widowControl/>
              <w:spacing w:line="400" w:lineRule="exact"/>
              <w:ind w:left="0" w:leftChars="0" w:right="-92" w:rightChars="-29" w:firstLine="0" w:firstLineChars="0"/>
              <w:jc w:val="both"/>
              <w:rPr>
                <w:rFonts w:ascii="仿宋_GB2312" w:hAnsi="宋体" w:eastAsia="仿宋_GB2312" w:cs="宋体"/>
                <w:color w:val="auto"/>
                <w:kern w:val="0"/>
                <w:sz w:val="21"/>
                <w:szCs w:val="21"/>
              </w:rPr>
            </w:pPr>
            <w:r>
              <w:rPr>
                <w:rFonts w:hint="eastAsia" w:ascii="仿宋_GB2312" w:hAnsi="微软雅黑" w:eastAsia="仿宋_GB2312" w:cs="宋体"/>
                <w:color w:val="auto"/>
                <w:kern w:val="0"/>
                <w:sz w:val="21"/>
                <w:szCs w:val="21"/>
              </w:rPr>
              <w:t>每项</w:t>
            </w:r>
            <w:r>
              <w:rPr>
                <w:rFonts w:hint="eastAsia" w:ascii="仿宋_GB2312" w:hAnsi="微软雅黑" w:eastAsia="仿宋_GB2312" w:cs="宋体"/>
                <w:color w:val="auto"/>
                <w:kern w:val="0"/>
                <w:sz w:val="21"/>
                <w:szCs w:val="21"/>
                <w:lang w:eastAsia="zh-CN"/>
              </w:rPr>
              <w:t>记</w:t>
            </w:r>
            <w:r>
              <w:rPr>
                <w:rFonts w:hint="eastAsia" w:ascii="仿宋_GB2312" w:hAnsi="微软雅黑" w:eastAsia="仿宋_GB2312" w:cs="宋体"/>
                <w:color w:val="auto"/>
                <w:kern w:val="0"/>
                <w:sz w:val="21"/>
                <w:szCs w:val="21"/>
              </w:rPr>
              <w:t>1分，最多</w:t>
            </w:r>
            <w:r>
              <w:rPr>
                <w:rFonts w:hint="eastAsia" w:ascii="仿宋_GB2312" w:hAnsi="微软雅黑" w:eastAsia="仿宋_GB2312" w:cs="宋体"/>
                <w:color w:val="auto"/>
                <w:kern w:val="0"/>
                <w:sz w:val="21"/>
                <w:szCs w:val="21"/>
                <w:lang w:eastAsia="zh-CN"/>
              </w:rPr>
              <w:t>记</w:t>
            </w:r>
            <w:r>
              <w:rPr>
                <w:rFonts w:hint="eastAsia" w:ascii="仿宋_GB2312" w:hAnsi="微软雅黑" w:cs="宋体"/>
                <w:color w:val="auto"/>
                <w:kern w:val="0"/>
                <w:sz w:val="21"/>
                <w:szCs w:val="21"/>
                <w:lang w:val="en-US" w:eastAsia="zh-CN"/>
              </w:rPr>
              <w:t>3</w:t>
            </w:r>
            <w:r>
              <w:rPr>
                <w:rFonts w:hint="eastAsia" w:ascii="仿宋_GB2312" w:hAnsi="微软雅黑" w:eastAsia="仿宋_GB2312" w:cs="宋体"/>
                <w:color w:val="auto"/>
                <w:kern w:val="0"/>
                <w:sz w:val="21"/>
                <w:szCs w:val="21"/>
              </w:rPr>
              <w:t xml:space="preserve">分 </w:t>
            </w:r>
          </w:p>
        </w:tc>
      </w:tr>
      <w:tr w14:paraId="7077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vMerge w:val="continue"/>
            <w:tcBorders>
              <w:top w:val="single" w:color="auto" w:sz="4" w:space="0"/>
              <w:bottom w:val="single" w:color="auto" w:sz="4" w:space="0"/>
            </w:tcBorders>
            <w:noWrap w:val="0"/>
            <w:vAlign w:val="center"/>
          </w:tcPr>
          <w:p w14:paraId="15F6C9BF">
            <w:pPr>
              <w:widowControl/>
              <w:spacing w:line="400" w:lineRule="exact"/>
              <w:ind w:right="-60" w:rightChars="-19" w:firstLine="480" w:firstLineChars="200"/>
              <w:jc w:val="left"/>
              <w:rPr>
                <w:rFonts w:ascii="宋体" w:hAnsi="宋体" w:eastAsia="宋体" w:cs="宋体"/>
                <w:color w:val="auto"/>
                <w:kern w:val="0"/>
                <w:sz w:val="24"/>
              </w:rPr>
            </w:pPr>
          </w:p>
        </w:tc>
        <w:tc>
          <w:tcPr>
            <w:tcW w:w="1023" w:type="pct"/>
            <w:vMerge w:val="continue"/>
            <w:noWrap w:val="0"/>
            <w:vAlign w:val="center"/>
          </w:tcPr>
          <w:p w14:paraId="6EFA29F8">
            <w:pPr>
              <w:widowControl/>
              <w:spacing w:line="400" w:lineRule="exact"/>
              <w:ind w:firstLine="420" w:firstLineChars="200"/>
              <w:jc w:val="left"/>
              <w:rPr>
                <w:rFonts w:ascii="仿宋_GB2312" w:hAnsi="宋体" w:eastAsia="仿宋_GB2312" w:cs="宋体"/>
                <w:color w:val="auto"/>
                <w:kern w:val="0"/>
                <w:sz w:val="21"/>
                <w:szCs w:val="21"/>
              </w:rPr>
            </w:pPr>
          </w:p>
        </w:tc>
        <w:tc>
          <w:tcPr>
            <w:tcW w:w="603" w:type="pct"/>
            <w:noWrap w:val="0"/>
            <w:vAlign w:val="center"/>
          </w:tcPr>
          <w:p w14:paraId="0AA6D18E">
            <w:pPr>
              <w:widowControl/>
              <w:spacing w:line="400" w:lineRule="exact"/>
              <w:ind w:firstLine="0" w:firstLineChars="0"/>
              <w:jc w:val="both"/>
              <w:rPr>
                <w:rFonts w:hint="eastAsia" w:ascii="仿宋_GB2312" w:hAnsi="宋体" w:eastAsia="仿宋_GB2312" w:cs="宋体"/>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其它</w:t>
            </w:r>
          </w:p>
        </w:tc>
        <w:tc>
          <w:tcPr>
            <w:tcW w:w="2140" w:type="pct"/>
            <w:noWrap w:val="0"/>
            <w:vAlign w:val="center"/>
          </w:tcPr>
          <w:p w14:paraId="1F5F4650">
            <w:pPr>
              <w:widowControl/>
              <w:spacing w:line="400" w:lineRule="exact"/>
              <w:ind w:right="-54" w:rightChars="-17" w:firstLine="0" w:firstLineChars="0"/>
              <w:jc w:val="both"/>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在</w:t>
            </w:r>
            <w:r>
              <w:rPr>
                <w:rFonts w:hint="eastAsia" w:ascii="仿宋_GB2312" w:hAnsi="仿宋_GB2312" w:cs="仿宋_GB2312"/>
                <w:color w:val="auto"/>
                <w:kern w:val="0"/>
                <w:sz w:val="21"/>
                <w:szCs w:val="21"/>
                <w:highlight w:val="none"/>
                <w:lang w:eastAsia="zh-CN"/>
              </w:rPr>
              <w:t>造价管理部门组织的</w:t>
            </w:r>
            <w:r>
              <w:rPr>
                <w:rFonts w:hint="eastAsia" w:ascii="仿宋_GB2312" w:hAnsi="仿宋_GB2312" w:eastAsia="仿宋_GB2312" w:cs="仿宋_GB2312"/>
                <w:color w:val="auto"/>
                <w:kern w:val="0"/>
                <w:sz w:val="21"/>
                <w:szCs w:val="21"/>
                <w:highlight w:val="none"/>
                <w:lang w:eastAsia="zh-CN"/>
              </w:rPr>
              <w:t>成果文件</w:t>
            </w:r>
            <w:r>
              <w:rPr>
                <w:rFonts w:hint="eastAsia" w:ascii="仿宋_GB2312" w:hAnsi="仿宋_GB2312" w:cs="仿宋_GB2312"/>
                <w:color w:val="auto"/>
                <w:kern w:val="0"/>
                <w:sz w:val="21"/>
                <w:szCs w:val="21"/>
                <w:highlight w:val="none"/>
                <w:lang w:eastAsia="zh-CN"/>
              </w:rPr>
              <w:t>等</w:t>
            </w:r>
            <w:r>
              <w:rPr>
                <w:rFonts w:hint="eastAsia" w:ascii="仿宋_GB2312" w:hAnsi="仿宋_GB2312" w:eastAsia="仿宋_GB2312" w:cs="仿宋_GB2312"/>
                <w:color w:val="auto"/>
                <w:kern w:val="0"/>
                <w:sz w:val="21"/>
                <w:szCs w:val="21"/>
                <w:highlight w:val="none"/>
                <w:lang w:eastAsia="zh-CN"/>
              </w:rPr>
              <w:t>检查</w:t>
            </w:r>
            <w:r>
              <w:rPr>
                <w:rFonts w:hint="eastAsia" w:ascii="仿宋_GB2312" w:hAnsi="仿宋_GB2312" w:eastAsia="仿宋_GB2312" w:cs="仿宋_GB2312"/>
                <w:color w:val="auto"/>
                <w:kern w:val="0"/>
                <w:sz w:val="21"/>
                <w:szCs w:val="21"/>
                <w:highlight w:val="none"/>
              </w:rPr>
              <w:t>中</w:t>
            </w:r>
            <w:r>
              <w:rPr>
                <w:rFonts w:hint="eastAsia" w:ascii="仿宋_GB2312" w:hAnsi="仿宋_GB2312" w:eastAsia="仿宋_GB2312" w:cs="仿宋_GB2312"/>
                <w:color w:val="auto"/>
                <w:kern w:val="0"/>
                <w:sz w:val="21"/>
                <w:szCs w:val="21"/>
                <w:highlight w:val="none"/>
                <w:lang w:eastAsia="zh-CN"/>
              </w:rPr>
              <w:t>质量较好，予以表扬</w:t>
            </w:r>
            <w:r>
              <w:rPr>
                <w:rFonts w:hint="eastAsia" w:ascii="仿宋_GB2312" w:hAnsi="仿宋_GB2312" w:cs="仿宋_GB2312"/>
                <w:color w:val="auto"/>
                <w:kern w:val="0"/>
                <w:sz w:val="21"/>
                <w:szCs w:val="21"/>
                <w:highlight w:val="none"/>
                <w:lang w:eastAsia="zh-CN"/>
              </w:rPr>
              <w:t>的</w:t>
            </w:r>
          </w:p>
        </w:tc>
        <w:tc>
          <w:tcPr>
            <w:tcW w:w="782" w:type="pct"/>
            <w:noWrap w:val="0"/>
            <w:vAlign w:val="center"/>
          </w:tcPr>
          <w:p w14:paraId="218A5036">
            <w:pPr>
              <w:widowControl/>
              <w:spacing w:line="400" w:lineRule="exact"/>
              <w:ind w:left="0" w:leftChars="0" w:right="-160" w:rightChars="-50" w:firstLine="0" w:firstLineChars="0"/>
              <w:jc w:val="left"/>
              <w:rPr>
                <w:rFonts w:hint="eastAsia" w:ascii="仿宋_GB2312" w:hAnsi="微软雅黑" w:eastAsia="仿宋_GB2312" w:cs="宋体"/>
                <w:color w:val="auto"/>
                <w:kern w:val="0"/>
                <w:sz w:val="21"/>
                <w:szCs w:val="21"/>
                <w:lang w:val="en-US" w:eastAsia="zh-CN" w:bidi="ar-SA"/>
              </w:rPr>
            </w:pPr>
            <w:r>
              <w:rPr>
                <w:rFonts w:hint="eastAsia" w:ascii="仿宋_GB2312" w:hAnsi="微软雅黑" w:eastAsia="仿宋_GB2312" w:cs="宋体"/>
                <w:color w:val="auto"/>
                <w:kern w:val="0"/>
                <w:sz w:val="21"/>
                <w:szCs w:val="21"/>
              </w:rPr>
              <w:t>每</w:t>
            </w:r>
            <w:r>
              <w:rPr>
                <w:rFonts w:hint="eastAsia" w:ascii="仿宋_GB2312" w:hAnsi="微软雅黑" w:eastAsia="仿宋_GB2312" w:cs="宋体"/>
                <w:color w:val="auto"/>
                <w:kern w:val="0"/>
                <w:sz w:val="21"/>
                <w:szCs w:val="21"/>
                <w:lang w:eastAsia="zh-CN"/>
              </w:rPr>
              <w:t>次记</w:t>
            </w:r>
            <w:r>
              <w:rPr>
                <w:rFonts w:hint="eastAsia" w:ascii="仿宋_GB2312" w:hAnsi="微软雅黑" w:eastAsia="仿宋_GB2312" w:cs="宋体"/>
                <w:color w:val="auto"/>
                <w:kern w:val="0"/>
                <w:sz w:val="21"/>
                <w:szCs w:val="21"/>
                <w:lang w:val="en-US" w:eastAsia="zh-CN"/>
              </w:rPr>
              <w:t>2</w:t>
            </w:r>
            <w:r>
              <w:rPr>
                <w:rFonts w:hint="eastAsia" w:ascii="仿宋_GB2312" w:hAnsi="微软雅黑" w:eastAsia="仿宋_GB2312" w:cs="宋体"/>
                <w:color w:val="auto"/>
                <w:kern w:val="0"/>
                <w:sz w:val="21"/>
                <w:szCs w:val="21"/>
              </w:rPr>
              <w:t>分</w:t>
            </w:r>
            <w:r>
              <w:rPr>
                <w:rFonts w:hint="eastAsia" w:ascii="仿宋_GB2312" w:hAnsi="微软雅黑" w:eastAsia="仿宋_GB2312" w:cs="宋体"/>
                <w:color w:val="auto"/>
                <w:kern w:val="0"/>
                <w:sz w:val="21"/>
                <w:szCs w:val="21"/>
                <w:lang w:eastAsia="zh-CN"/>
              </w:rPr>
              <w:t>，</w:t>
            </w:r>
            <w:r>
              <w:rPr>
                <w:rFonts w:hint="eastAsia" w:ascii="仿宋_GB2312" w:hAnsi="微软雅黑" w:eastAsia="仿宋_GB2312" w:cs="宋体"/>
                <w:color w:val="auto"/>
                <w:kern w:val="0"/>
                <w:sz w:val="21"/>
                <w:szCs w:val="21"/>
              </w:rPr>
              <w:t>最</w:t>
            </w:r>
            <w:r>
              <w:rPr>
                <w:rFonts w:hint="eastAsia" w:ascii="仿宋_GB2312" w:hAnsi="微软雅黑" w:eastAsia="仿宋_GB2312" w:cs="宋体"/>
                <w:color w:val="auto"/>
                <w:kern w:val="0"/>
                <w:sz w:val="21"/>
                <w:szCs w:val="21"/>
                <w:lang w:eastAsia="zh-CN"/>
              </w:rPr>
              <w:t>多记</w:t>
            </w:r>
            <w:r>
              <w:rPr>
                <w:rFonts w:hint="eastAsia" w:ascii="仿宋_GB2312" w:hAnsi="微软雅黑" w:cs="宋体"/>
                <w:color w:val="auto"/>
                <w:kern w:val="0"/>
                <w:sz w:val="21"/>
                <w:szCs w:val="21"/>
                <w:lang w:val="en-US" w:eastAsia="zh-CN"/>
              </w:rPr>
              <w:t>4</w:t>
            </w:r>
            <w:r>
              <w:rPr>
                <w:rFonts w:hint="eastAsia" w:ascii="仿宋_GB2312" w:hAnsi="微软雅黑" w:eastAsia="仿宋_GB2312" w:cs="宋体"/>
                <w:color w:val="auto"/>
                <w:kern w:val="0"/>
                <w:sz w:val="21"/>
                <w:szCs w:val="21"/>
              </w:rPr>
              <w:t>分</w:t>
            </w:r>
          </w:p>
        </w:tc>
      </w:tr>
      <w:tr w14:paraId="3C57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vMerge w:val="continue"/>
            <w:tcBorders>
              <w:top w:val="single" w:color="auto" w:sz="4" w:space="0"/>
              <w:bottom w:val="single" w:color="auto" w:sz="4" w:space="0"/>
            </w:tcBorders>
            <w:noWrap w:val="0"/>
            <w:vAlign w:val="center"/>
          </w:tcPr>
          <w:p w14:paraId="591F872B">
            <w:pPr>
              <w:widowControl/>
              <w:spacing w:line="400" w:lineRule="exact"/>
              <w:ind w:right="-60" w:rightChars="-19" w:firstLine="480" w:firstLineChars="200"/>
              <w:jc w:val="left"/>
              <w:rPr>
                <w:rFonts w:ascii="宋体" w:hAnsi="宋体" w:eastAsia="宋体" w:cs="宋体"/>
                <w:color w:val="auto"/>
                <w:kern w:val="0"/>
                <w:sz w:val="24"/>
              </w:rPr>
            </w:pPr>
          </w:p>
        </w:tc>
        <w:tc>
          <w:tcPr>
            <w:tcW w:w="1023" w:type="pct"/>
            <w:vMerge w:val="restart"/>
            <w:noWrap w:val="0"/>
            <w:vAlign w:val="center"/>
          </w:tcPr>
          <w:p w14:paraId="30187D65">
            <w:pPr>
              <w:widowControl/>
              <w:spacing w:line="400" w:lineRule="exact"/>
              <w:ind w:firstLine="420" w:firstLineChars="200"/>
              <w:jc w:val="left"/>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eastAsia="zh-CN"/>
              </w:rPr>
              <w:t>相关方评价</w:t>
            </w:r>
          </w:p>
        </w:tc>
        <w:tc>
          <w:tcPr>
            <w:tcW w:w="603" w:type="pct"/>
            <w:noWrap w:val="0"/>
            <w:vAlign w:val="center"/>
          </w:tcPr>
          <w:p w14:paraId="2ECB846A">
            <w:pPr>
              <w:widowControl/>
              <w:spacing w:line="400" w:lineRule="exact"/>
              <w:ind w:firstLine="0" w:firstLineChars="0"/>
              <w:jc w:val="left"/>
              <w:rPr>
                <w:rFonts w:hint="eastAsia" w:ascii="仿宋_GB2312" w:hAnsi="微软雅黑" w:eastAsia="仿宋_GB2312" w:cs="宋体"/>
                <w:color w:val="auto"/>
                <w:kern w:val="0"/>
                <w:sz w:val="21"/>
                <w:szCs w:val="21"/>
                <w:lang w:eastAsia="zh-CN"/>
              </w:rPr>
            </w:pPr>
            <w:r>
              <w:rPr>
                <w:rFonts w:hint="eastAsia" w:ascii="仿宋_GB2312" w:hAnsi="微软雅黑" w:cs="宋体"/>
                <w:color w:val="auto"/>
                <w:kern w:val="0"/>
                <w:sz w:val="21"/>
                <w:szCs w:val="21"/>
                <w:lang w:eastAsia="zh-CN"/>
              </w:rPr>
              <w:t>聘用企业年度评价</w:t>
            </w:r>
          </w:p>
        </w:tc>
        <w:tc>
          <w:tcPr>
            <w:tcW w:w="2140" w:type="pct"/>
            <w:noWrap w:val="0"/>
            <w:vAlign w:val="center"/>
          </w:tcPr>
          <w:p w14:paraId="7F4E5BA0">
            <w:pPr>
              <w:widowControl/>
              <w:spacing w:line="400" w:lineRule="exact"/>
              <w:ind w:left="0" w:leftChars="0" w:right="-92" w:rightChars="-29" w:firstLine="0" w:firstLineChars="0"/>
              <w:jc w:val="left"/>
              <w:rPr>
                <w:rFonts w:hint="eastAsia" w:ascii="仿宋_GB2312" w:eastAsia="仿宋_GB2312"/>
                <w:color w:val="auto"/>
                <w:sz w:val="21"/>
                <w:szCs w:val="21"/>
                <w:lang w:val="en-US" w:eastAsia="zh-CN"/>
              </w:rPr>
            </w:pPr>
            <w:r>
              <w:rPr>
                <w:rFonts w:hint="eastAsia" w:ascii="仿宋_GB2312"/>
                <w:color w:val="auto"/>
                <w:sz w:val="21"/>
                <w:szCs w:val="21"/>
                <w:lang w:val="en-US" w:eastAsia="zh-CN"/>
              </w:rPr>
              <w:t>优秀</w:t>
            </w:r>
          </w:p>
        </w:tc>
        <w:tc>
          <w:tcPr>
            <w:tcW w:w="782" w:type="pct"/>
            <w:noWrap w:val="0"/>
            <w:vAlign w:val="center"/>
          </w:tcPr>
          <w:p w14:paraId="19C24B5E">
            <w:pPr>
              <w:widowControl/>
              <w:spacing w:line="400" w:lineRule="exact"/>
              <w:ind w:left="0" w:leftChars="0" w:right="-160" w:rightChars="-50" w:firstLine="0" w:firstLineChars="0"/>
              <w:jc w:val="left"/>
              <w:rPr>
                <w:rFonts w:hint="default" w:ascii="仿宋_GB2312" w:hAnsi="微软雅黑" w:eastAsia="仿宋_GB2312" w:cs="宋体"/>
                <w:color w:val="auto"/>
                <w:kern w:val="0"/>
                <w:sz w:val="21"/>
                <w:szCs w:val="21"/>
                <w:lang w:val="en-US" w:eastAsia="zh-CN"/>
              </w:rPr>
            </w:pPr>
            <w:r>
              <w:rPr>
                <w:rFonts w:hint="eastAsia" w:ascii="仿宋_GB2312" w:hAnsi="微软雅黑" w:cs="宋体"/>
                <w:color w:val="auto"/>
                <w:kern w:val="0"/>
                <w:sz w:val="21"/>
                <w:szCs w:val="21"/>
                <w:lang w:eastAsia="zh-CN"/>
              </w:rPr>
              <w:t>记</w:t>
            </w:r>
            <w:r>
              <w:rPr>
                <w:rFonts w:hint="eastAsia" w:ascii="仿宋_GB2312" w:hAnsi="微软雅黑" w:cs="宋体"/>
                <w:color w:val="auto"/>
                <w:kern w:val="0"/>
                <w:sz w:val="21"/>
                <w:szCs w:val="21"/>
                <w:lang w:val="en-US" w:eastAsia="zh-CN"/>
              </w:rPr>
              <w:t>3分</w:t>
            </w:r>
          </w:p>
        </w:tc>
      </w:tr>
      <w:tr w14:paraId="058B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vMerge w:val="continue"/>
            <w:tcBorders>
              <w:top w:val="single" w:color="auto" w:sz="4" w:space="0"/>
              <w:bottom w:val="single" w:color="auto" w:sz="4" w:space="0"/>
            </w:tcBorders>
            <w:noWrap w:val="0"/>
            <w:vAlign w:val="center"/>
          </w:tcPr>
          <w:p w14:paraId="58894045">
            <w:pPr>
              <w:widowControl/>
              <w:spacing w:line="400" w:lineRule="exact"/>
              <w:ind w:right="-60" w:rightChars="-19" w:firstLine="480" w:firstLineChars="200"/>
              <w:jc w:val="left"/>
              <w:rPr>
                <w:rFonts w:ascii="宋体" w:hAnsi="宋体" w:eastAsia="宋体" w:cs="宋体"/>
                <w:color w:val="auto"/>
                <w:kern w:val="0"/>
                <w:sz w:val="24"/>
              </w:rPr>
            </w:pPr>
          </w:p>
        </w:tc>
        <w:tc>
          <w:tcPr>
            <w:tcW w:w="1023" w:type="pct"/>
            <w:vMerge w:val="continue"/>
            <w:noWrap w:val="0"/>
            <w:vAlign w:val="center"/>
          </w:tcPr>
          <w:p w14:paraId="39EACE9C">
            <w:pPr>
              <w:widowControl/>
              <w:spacing w:line="400" w:lineRule="exact"/>
              <w:ind w:firstLine="420" w:firstLineChars="200"/>
              <w:jc w:val="left"/>
              <w:rPr>
                <w:rFonts w:hint="eastAsia" w:ascii="仿宋_GB2312" w:hAnsi="宋体" w:cs="宋体"/>
                <w:color w:val="auto"/>
                <w:kern w:val="0"/>
                <w:sz w:val="21"/>
                <w:szCs w:val="21"/>
                <w:lang w:eastAsia="zh-CN"/>
              </w:rPr>
            </w:pPr>
          </w:p>
        </w:tc>
        <w:tc>
          <w:tcPr>
            <w:tcW w:w="603" w:type="pct"/>
            <w:noWrap w:val="0"/>
            <w:vAlign w:val="center"/>
          </w:tcPr>
          <w:p w14:paraId="543D45CA">
            <w:pPr>
              <w:widowControl/>
              <w:spacing w:line="400" w:lineRule="exact"/>
              <w:ind w:firstLine="0" w:firstLineChars="0"/>
              <w:jc w:val="left"/>
              <w:rPr>
                <w:rFonts w:hint="eastAsia" w:ascii="仿宋_GB2312" w:hAnsi="微软雅黑" w:eastAsia="仿宋_GB2312" w:cs="宋体"/>
                <w:color w:val="auto"/>
                <w:kern w:val="0"/>
                <w:sz w:val="21"/>
                <w:szCs w:val="21"/>
                <w:lang w:eastAsia="zh-CN"/>
              </w:rPr>
            </w:pPr>
            <w:r>
              <w:rPr>
                <w:rFonts w:hint="eastAsia" w:ascii="仿宋_GB2312" w:hAnsi="微软雅黑" w:cs="宋体"/>
                <w:color w:val="auto"/>
                <w:kern w:val="0"/>
                <w:sz w:val="21"/>
                <w:szCs w:val="21"/>
                <w:lang w:eastAsia="zh-CN"/>
              </w:rPr>
              <w:t>委托方项目评价</w:t>
            </w:r>
          </w:p>
        </w:tc>
        <w:tc>
          <w:tcPr>
            <w:tcW w:w="2140" w:type="pct"/>
            <w:noWrap w:val="0"/>
            <w:vAlign w:val="center"/>
          </w:tcPr>
          <w:p w14:paraId="7D5BD4BC">
            <w:pPr>
              <w:widowControl/>
              <w:spacing w:line="400" w:lineRule="exact"/>
              <w:ind w:left="0" w:leftChars="0" w:right="-92" w:rightChars="-29" w:firstLine="0" w:firstLineChars="0"/>
              <w:jc w:val="left"/>
              <w:rPr>
                <w:rFonts w:hint="eastAsia" w:ascii="仿宋_GB2312" w:eastAsia="仿宋_GB2312"/>
                <w:color w:val="auto"/>
                <w:sz w:val="21"/>
                <w:szCs w:val="21"/>
                <w:lang w:val="en-US" w:eastAsia="zh-CN"/>
              </w:rPr>
            </w:pPr>
            <w:r>
              <w:rPr>
                <w:rFonts w:hint="eastAsia" w:ascii="仿宋_GB2312"/>
                <w:color w:val="auto"/>
                <w:sz w:val="21"/>
                <w:szCs w:val="21"/>
                <w:lang w:val="en-US" w:eastAsia="zh-CN"/>
              </w:rPr>
              <w:t>优秀</w:t>
            </w:r>
          </w:p>
        </w:tc>
        <w:tc>
          <w:tcPr>
            <w:tcW w:w="782" w:type="pct"/>
            <w:noWrap w:val="0"/>
            <w:vAlign w:val="center"/>
          </w:tcPr>
          <w:p w14:paraId="136D0E4E">
            <w:pPr>
              <w:widowControl/>
              <w:spacing w:line="400" w:lineRule="exact"/>
              <w:ind w:left="0" w:leftChars="0" w:right="-160" w:rightChars="-50" w:firstLine="0" w:firstLineChars="0"/>
              <w:jc w:val="left"/>
              <w:rPr>
                <w:rFonts w:hint="default" w:ascii="仿宋_GB2312" w:hAnsi="微软雅黑" w:eastAsia="仿宋_GB2312" w:cs="宋体"/>
                <w:color w:val="auto"/>
                <w:kern w:val="0"/>
                <w:sz w:val="21"/>
                <w:szCs w:val="21"/>
                <w:lang w:val="en-US" w:eastAsia="zh-CN"/>
              </w:rPr>
            </w:pPr>
            <w:r>
              <w:rPr>
                <w:rFonts w:hint="eastAsia" w:ascii="仿宋_GB2312" w:hAnsi="微软雅黑" w:cs="宋体"/>
                <w:color w:val="auto"/>
                <w:kern w:val="0"/>
                <w:sz w:val="21"/>
                <w:szCs w:val="21"/>
                <w:lang w:eastAsia="zh-CN"/>
              </w:rPr>
              <w:t>每项记</w:t>
            </w:r>
            <w:r>
              <w:rPr>
                <w:rFonts w:hint="eastAsia" w:ascii="仿宋_GB2312" w:hAnsi="微软雅黑" w:cs="宋体"/>
                <w:color w:val="auto"/>
                <w:kern w:val="0"/>
                <w:sz w:val="21"/>
                <w:szCs w:val="21"/>
                <w:lang w:val="en-US" w:eastAsia="zh-CN"/>
              </w:rPr>
              <w:t>1分，最多记3分</w:t>
            </w:r>
          </w:p>
        </w:tc>
      </w:tr>
      <w:tr w14:paraId="7F45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50" w:type="pct"/>
            <w:vMerge w:val="continue"/>
            <w:tcBorders>
              <w:top w:val="single" w:color="auto" w:sz="4" w:space="0"/>
              <w:bottom w:val="single" w:color="auto" w:sz="4" w:space="0"/>
            </w:tcBorders>
            <w:noWrap w:val="0"/>
            <w:vAlign w:val="center"/>
          </w:tcPr>
          <w:p w14:paraId="34752E39">
            <w:pPr>
              <w:widowControl/>
              <w:spacing w:line="400" w:lineRule="exact"/>
              <w:ind w:right="-60" w:rightChars="-19" w:firstLine="480" w:firstLineChars="200"/>
              <w:jc w:val="left"/>
              <w:rPr>
                <w:rFonts w:ascii="宋体" w:hAnsi="宋体" w:eastAsia="宋体" w:cs="宋体"/>
                <w:color w:val="auto"/>
                <w:kern w:val="0"/>
                <w:sz w:val="24"/>
              </w:rPr>
            </w:pPr>
          </w:p>
        </w:tc>
        <w:tc>
          <w:tcPr>
            <w:tcW w:w="1023" w:type="pct"/>
            <w:vMerge w:val="restart"/>
            <w:noWrap w:val="0"/>
            <w:vAlign w:val="center"/>
          </w:tcPr>
          <w:p w14:paraId="529C6F00">
            <w:pPr>
              <w:widowControl/>
              <w:spacing w:line="400" w:lineRule="exact"/>
              <w:ind w:left="-160" w:leftChars="-50" w:right="-160" w:rightChars="-50" w:firstLine="0" w:firstLineChars="0"/>
              <w:jc w:val="center"/>
              <w:rPr>
                <w:rFonts w:ascii="仿宋_GB2312" w:hAnsi="宋体" w:eastAsia="仿宋_GB2312" w:cs="宋体"/>
                <w:color w:val="auto"/>
                <w:kern w:val="0"/>
                <w:sz w:val="21"/>
                <w:szCs w:val="21"/>
              </w:rPr>
            </w:pPr>
            <w:r>
              <w:rPr>
                <w:rFonts w:hint="eastAsia" w:ascii="仿宋_GB2312" w:hAnsi="微软雅黑" w:eastAsia="仿宋_GB2312" w:cs="宋体"/>
                <w:color w:val="auto"/>
                <w:kern w:val="0"/>
                <w:sz w:val="21"/>
                <w:szCs w:val="21"/>
              </w:rPr>
              <w:t>社会责任</w:t>
            </w:r>
          </w:p>
        </w:tc>
        <w:tc>
          <w:tcPr>
            <w:tcW w:w="2743" w:type="pct"/>
            <w:gridSpan w:val="2"/>
            <w:noWrap w:val="0"/>
            <w:vAlign w:val="center"/>
          </w:tcPr>
          <w:p w14:paraId="7F29618F">
            <w:pPr>
              <w:widowControl/>
              <w:spacing w:line="400" w:lineRule="exact"/>
              <w:ind w:left="57" w:leftChars="18" w:right="11" w:rightChars="0" w:firstLine="0" w:firstLineChars="0"/>
              <w:jc w:val="left"/>
              <w:rPr>
                <w:rFonts w:hint="eastAsia" w:ascii="仿宋_GB2312" w:hAnsi="微软雅黑" w:eastAsia="仿宋_GB2312" w:cs="宋体"/>
                <w:color w:val="auto"/>
                <w:kern w:val="0"/>
                <w:sz w:val="21"/>
                <w:szCs w:val="21"/>
                <w:lang w:val="en-US" w:eastAsia="zh-CN" w:bidi="ar-SA"/>
              </w:rPr>
            </w:pPr>
            <w:r>
              <w:rPr>
                <w:rFonts w:hint="eastAsia" w:ascii="仿宋_GB2312" w:hAnsi="微软雅黑" w:eastAsia="仿宋_GB2312" w:cs="宋体"/>
                <w:color w:val="auto"/>
                <w:kern w:val="0"/>
                <w:sz w:val="21"/>
                <w:szCs w:val="21"/>
              </w:rPr>
              <w:t>造价服务平台成果文件</w:t>
            </w:r>
            <w:r>
              <w:rPr>
                <w:rFonts w:hint="eastAsia" w:ascii="仿宋_GB2312" w:hAnsi="微软雅黑" w:eastAsia="仿宋_GB2312" w:cs="宋体"/>
                <w:color w:val="auto"/>
                <w:kern w:val="0"/>
                <w:sz w:val="21"/>
                <w:szCs w:val="21"/>
                <w:lang w:eastAsia="zh-CN"/>
              </w:rPr>
              <w:t>数据</w:t>
            </w:r>
            <w:r>
              <w:rPr>
                <w:rFonts w:hint="eastAsia" w:ascii="仿宋_GB2312" w:hAnsi="微软雅黑" w:eastAsia="仿宋_GB2312" w:cs="宋体"/>
                <w:color w:val="auto"/>
                <w:kern w:val="0"/>
                <w:sz w:val="21"/>
                <w:szCs w:val="21"/>
              </w:rPr>
              <w:t>被</w:t>
            </w:r>
            <w:r>
              <w:rPr>
                <w:rFonts w:hint="eastAsia" w:ascii="仿宋_GB2312" w:hAnsi="微软雅黑" w:eastAsia="仿宋_GB2312" w:cs="宋体"/>
                <w:color w:val="auto"/>
                <w:kern w:val="0"/>
                <w:sz w:val="21"/>
                <w:szCs w:val="21"/>
                <w:lang w:eastAsia="zh-CN"/>
              </w:rPr>
              <w:t>造</w:t>
            </w:r>
            <w:r>
              <w:rPr>
                <w:rFonts w:hint="eastAsia" w:ascii="仿宋_GB2312" w:hAnsi="微软雅黑" w:eastAsia="仿宋_GB2312" w:cs="宋体"/>
                <w:color w:val="auto"/>
                <w:kern w:val="0"/>
                <w:sz w:val="21"/>
                <w:szCs w:val="21"/>
              </w:rPr>
              <w:t>价</w:t>
            </w:r>
            <w:r>
              <w:rPr>
                <w:rFonts w:hint="eastAsia" w:ascii="仿宋_GB2312" w:hAnsi="微软雅黑" w:eastAsia="仿宋_GB2312" w:cs="宋体"/>
                <w:color w:val="auto"/>
                <w:kern w:val="0"/>
                <w:sz w:val="21"/>
                <w:szCs w:val="21"/>
                <w:lang w:eastAsia="zh-CN"/>
              </w:rPr>
              <w:t>管理部门</w:t>
            </w:r>
            <w:r>
              <w:rPr>
                <w:rFonts w:hint="eastAsia" w:ascii="仿宋_GB2312" w:hAnsi="微软雅黑" w:eastAsia="仿宋_GB2312" w:cs="宋体"/>
                <w:color w:val="auto"/>
                <w:kern w:val="0"/>
                <w:sz w:val="21"/>
                <w:szCs w:val="21"/>
              </w:rPr>
              <w:t>采用</w:t>
            </w:r>
          </w:p>
        </w:tc>
        <w:tc>
          <w:tcPr>
            <w:tcW w:w="782" w:type="pct"/>
            <w:noWrap w:val="0"/>
            <w:vAlign w:val="center"/>
          </w:tcPr>
          <w:p w14:paraId="0A7D740D">
            <w:pPr>
              <w:widowControl/>
              <w:spacing w:line="400" w:lineRule="exact"/>
              <w:ind w:left="0" w:leftChars="0" w:right="-160" w:rightChars="-50" w:firstLine="0" w:firstLineChars="0"/>
              <w:jc w:val="left"/>
              <w:rPr>
                <w:rFonts w:hint="eastAsia" w:ascii="仿宋_GB2312" w:hAnsi="微软雅黑" w:eastAsia="仿宋_GB2312" w:cs="宋体"/>
                <w:color w:val="auto"/>
                <w:kern w:val="0"/>
                <w:sz w:val="21"/>
                <w:szCs w:val="21"/>
                <w:lang w:val="en-US" w:eastAsia="zh-CN" w:bidi="ar-SA"/>
              </w:rPr>
            </w:pPr>
            <w:r>
              <w:rPr>
                <w:rFonts w:hint="eastAsia" w:ascii="仿宋_GB2312" w:hAnsi="微软雅黑" w:eastAsia="仿宋_GB2312" w:cs="宋体"/>
                <w:color w:val="auto"/>
                <w:kern w:val="0"/>
                <w:sz w:val="21"/>
                <w:szCs w:val="21"/>
              </w:rPr>
              <w:t>每项</w:t>
            </w:r>
            <w:r>
              <w:rPr>
                <w:rFonts w:hint="eastAsia" w:ascii="仿宋_GB2312" w:hAnsi="微软雅黑" w:eastAsia="仿宋_GB2312" w:cs="宋体"/>
                <w:color w:val="auto"/>
                <w:kern w:val="0"/>
                <w:sz w:val="21"/>
                <w:szCs w:val="21"/>
                <w:lang w:eastAsia="zh-CN"/>
              </w:rPr>
              <w:t>记</w:t>
            </w:r>
            <w:r>
              <w:rPr>
                <w:rFonts w:hint="eastAsia" w:ascii="仿宋_GB2312" w:hAnsi="微软雅黑" w:eastAsia="仿宋_GB2312" w:cs="宋体"/>
                <w:color w:val="auto"/>
                <w:kern w:val="0"/>
                <w:sz w:val="21"/>
                <w:szCs w:val="21"/>
                <w:lang w:val="en-US" w:eastAsia="zh-CN"/>
              </w:rPr>
              <w:t>2</w:t>
            </w:r>
            <w:r>
              <w:rPr>
                <w:rFonts w:hint="eastAsia" w:ascii="仿宋_GB2312" w:hAnsi="微软雅黑" w:eastAsia="仿宋_GB2312" w:cs="宋体"/>
                <w:color w:val="auto"/>
                <w:kern w:val="0"/>
                <w:sz w:val="21"/>
                <w:szCs w:val="21"/>
              </w:rPr>
              <w:t>分</w:t>
            </w:r>
          </w:p>
        </w:tc>
      </w:tr>
      <w:tr w14:paraId="702E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50" w:type="pct"/>
            <w:vMerge w:val="continue"/>
            <w:tcBorders>
              <w:top w:val="single" w:color="auto" w:sz="4" w:space="0"/>
              <w:bottom w:val="single" w:color="auto" w:sz="4" w:space="0"/>
            </w:tcBorders>
            <w:noWrap w:val="0"/>
            <w:vAlign w:val="center"/>
          </w:tcPr>
          <w:p w14:paraId="7CC3E646">
            <w:pPr>
              <w:widowControl/>
              <w:spacing w:line="400" w:lineRule="exact"/>
              <w:ind w:right="-60" w:rightChars="-19" w:firstLine="480" w:firstLineChars="200"/>
              <w:jc w:val="left"/>
              <w:rPr>
                <w:rFonts w:ascii="宋体" w:hAnsi="宋体" w:eastAsia="宋体" w:cs="宋体"/>
                <w:color w:val="auto"/>
                <w:kern w:val="0"/>
                <w:sz w:val="24"/>
              </w:rPr>
            </w:pPr>
          </w:p>
        </w:tc>
        <w:tc>
          <w:tcPr>
            <w:tcW w:w="1023" w:type="pct"/>
            <w:vMerge w:val="continue"/>
            <w:noWrap w:val="0"/>
            <w:vAlign w:val="center"/>
          </w:tcPr>
          <w:p w14:paraId="070DEF40">
            <w:pPr>
              <w:widowControl/>
              <w:spacing w:line="400" w:lineRule="exact"/>
              <w:ind w:left="-160" w:leftChars="-50" w:right="-160" w:rightChars="-50" w:firstLine="0" w:firstLineChars="0"/>
              <w:jc w:val="left"/>
              <w:rPr>
                <w:rFonts w:ascii="仿宋_GB2312" w:hAnsi="宋体" w:eastAsia="仿宋_GB2312" w:cs="宋体"/>
                <w:color w:val="auto"/>
                <w:kern w:val="0"/>
                <w:sz w:val="21"/>
                <w:szCs w:val="21"/>
              </w:rPr>
            </w:pPr>
          </w:p>
        </w:tc>
        <w:tc>
          <w:tcPr>
            <w:tcW w:w="2743" w:type="pct"/>
            <w:gridSpan w:val="2"/>
            <w:noWrap w:val="0"/>
            <w:vAlign w:val="center"/>
          </w:tcPr>
          <w:p w14:paraId="132A83CD">
            <w:pPr>
              <w:widowControl/>
              <w:spacing w:line="400" w:lineRule="exact"/>
              <w:ind w:left="57" w:leftChars="18" w:right="11" w:rightChars="0" w:firstLine="0" w:firstLineChars="0"/>
              <w:jc w:val="left"/>
              <w:rPr>
                <w:rFonts w:ascii="仿宋_GB2312" w:hAnsi="宋体" w:eastAsia="仿宋_GB2312" w:cs="宋体"/>
                <w:color w:val="auto"/>
                <w:kern w:val="0"/>
                <w:sz w:val="21"/>
                <w:szCs w:val="21"/>
              </w:rPr>
            </w:pPr>
            <w:r>
              <w:rPr>
                <w:rFonts w:hint="eastAsia" w:ascii="仿宋_GB2312" w:hAnsi="微软雅黑" w:eastAsia="仿宋_GB2312" w:cs="宋体"/>
                <w:color w:val="auto"/>
                <w:kern w:val="0"/>
                <w:sz w:val="21"/>
                <w:szCs w:val="21"/>
              </w:rPr>
              <w:t xml:space="preserve">参与制定或审核工程造价管理国家标准 </w:t>
            </w:r>
          </w:p>
        </w:tc>
        <w:tc>
          <w:tcPr>
            <w:tcW w:w="782" w:type="pct"/>
            <w:noWrap w:val="0"/>
            <w:vAlign w:val="center"/>
          </w:tcPr>
          <w:p w14:paraId="2AF5D7CA">
            <w:pPr>
              <w:widowControl/>
              <w:spacing w:line="400" w:lineRule="exact"/>
              <w:ind w:left="0" w:leftChars="0" w:right="-160" w:rightChars="-50" w:firstLine="0" w:firstLineChars="0"/>
              <w:jc w:val="left"/>
              <w:rPr>
                <w:rFonts w:ascii="仿宋_GB2312" w:hAnsi="宋体" w:eastAsia="仿宋_GB2312" w:cs="宋体"/>
                <w:color w:val="auto"/>
                <w:kern w:val="0"/>
                <w:sz w:val="21"/>
                <w:szCs w:val="21"/>
              </w:rPr>
            </w:pPr>
            <w:r>
              <w:rPr>
                <w:rFonts w:hint="eastAsia" w:ascii="仿宋_GB2312" w:hAnsi="微软雅黑" w:eastAsia="仿宋_GB2312" w:cs="宋体"/>
                <w:color w:val="auto"/>
                <w:kern w:val="0"/>
                <w:sz w:val="21"/>
                <w:szCs w:val="21"/>
              </w:rPr>
              <w:t>每项</w:t>
            </w:r>
            <w:r>
              <w:rPr>
                <w:rFonts w:hint="eastAsia" w:ascii="仿宋_GB2312" w:hAnsi="微软雅黑" w:eastAsia="仿宋_GB2312" w:cs="宋体"/>
                <w:color w:val="auto"/>
                <w:kern w:val="0"/>
                <w:sz w:val="21"/>
                <w:szCs w:val="21"/>
                <w:lang w:eastAsia="zh-CN"/>
              </w:rPr>
              <w:t>记</w:t>
            </w:r>
            <w:r>
              <w:rPr>
                <w:rFonts w:hint="eastAsia" w:ascii="仿宋_GB2312" w:hAnsi="微软雅黑" w:eastAsia="仿宋_GB2312" w:cs="宋体"/>
                <w:color w:val="auto"/>
                <w:kern w:val="0"/>
                <w:sz w:val="21"/>
                <w:szCs w:val="21"/>
                <w:lang w:val="en-US" w:eastAsia="zh-CN"/>
              </w:rPr>
              <w:t>2</w:t>
            </w:r>
            <w:r>
              <w:rPr>
                <w:rFonts w:hint="eastAsia" w:ascii="仿宋_GB2312" w:hAnsi="微软雅黑" w:eastAsia="仿宋_GB2312" w:cs="宋体"/>
                <w:color w:val="auto"/>
                <w:kern w:val="0"/>
                <w:sz w:val="21"/>
                <w:szCs w:val="21"/>
              </w:rPr>
              <w:t>分，最多</w:t>
            </w:r>
            <w:r>
              <w:rPr>
                <w:rFonts w:hint="eastAsia" w:ascii="仿宋_GB2312" w:hAnsi="微软雅黑" w:eastAsia="仿宋_GB2312" w:cs="宋体"/>
                <w:color w:val="auto"/>
                <w:kern w:val="0"/>
                <w:sz w:val="21"/>
                <w:szCs w:val="21"/>
                <w:lang w:eastAsia="zh-CN"/>
              </w:rPr>
              <w:t>记</w:t>
            </w:r>
            <w:r>
              <w:rPr>
                <w:rFonts w:hint="eastAsia" w:ascii="仿宋_GB2312" w:hAnsi="微软雅黑" w:cs="宋体"/>
                <w:color w:val="auto"/>
                <w:kern w:val="0"/>
                <w:sz w:val="21"/>
                <w:szCs w:val="21"/>
                <w:lang w:val="en-US" w:eastAsia="zh-CN"/>
              </w:rPr>
              <w:t>6</w:t>
            </w:r>
            <w:r>
              <w:rPr>
                <w:rFonts w:hint="eastAsia" w:ascii="仿宋_GB2312" w:hAnsi="微软雅黑" w:eastAsia="仿宋_GB2312" w:cs="宋体"/>
                <w:color w:val="auto"/>
                <w:kern w:val="0"/>
                <w:sz w:val="21"/>
                <w:szCs w:val="21"/>
              </w:rPr>
              <w:t xml:space="preserve">分 </w:t>
            </w:r>
          </w:p>
        </w:tc>
      </w:tr>
      <w:tr w14:paraId="6899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50" w:type="pct"/>
            <w:vMerge w:val="continue"/>
            <w:tcBorders>
              <w:top w:val="single" w:color="auto" w:sz="4" w:space="0"/>
              <w:bottom w:val="single" w:color="auto" w:sz="4" w:space="0"/>
            </w:tcBorders>
            <w:noWrap w:val="0"/>
            <w:vAlign w:val="center"/>
          </w:tcPr>
          <w:p w14:paraId="0F8DBA0B">
            <w:pPr>
              <w:widowControl/>
              <w:spacing w:line="400" w:lineRule="exact"/>
              <w:ind w:right="-60" w:rightChars="-19" w:firstLine="480" w:firstLineChars="200"/>
              <w:jc w:val="left"/>
              <w:rPr>
                <w:rFonts w:ascii="宋体" w:hAnsi="宋体" w:eastAsia="宋体" w:cs="宋体"/>
                <w:color w:val="auto"/>
                <w:kern w:val="0"/>
                <w:sz w:val="24"/>
              </w:rPr>
            </w:pPr>
          </w:p>
        </w:tc>
        <w:tc>
          <w:tcPr>
            <w:tcW w:w="1023" w:type="pct"/>
            <w:vMerge w:val="continue"/>
            <w:noWrap w:val="0"/>
            <w:vAlign w:val="center"/>
          </w:tcPr>
          <w:p w14:paraId="1DA30578">
            <w:pPr>
              <w:widowControl/>
              <w:spacing w:line="400" w:lineRule="exact"/>
              <w:ind w:firstLine="420" w:firstLineChars="200"/>
              <w:jc w:val="left"/>
              <w:rPr>
                <w:rFonts w:ascii="仿宋_GB2312" w:hAnsi="宋体" w:eastAsia="仿宋_GB2312" w:cs="宋体"/>
                <w:color w:val="auto"/>
                <w:kern w:val="0"/>
                <w:sz w:val="21"/>
                <w:szCs w:val="21"/>
              </w:rPr>
            </w:pPr>
          </w:p>
        </w:tc>
        <w:tc>
          <w:tcPr>
            <w:tcW w:w="2743" w:type="pct"/>
            <w:gridSpan w:val="2"/>
            <w:noWrap w:val="0"/>
            <w:vAlign w:val="center"/>
          </w:tcPr>
          <w:p w14:paraId="55344780">
            <w:pPr>
              <w:widowControl/>
              <w:spacing w:line="400" w:lineRule="exact"/>
              <w:ind w:left="57" w:leftChars="18" w:right="11" w:rightChars="0" w:firstLine="0" w:firstLineChars="0"/>
              <w:jc w:val="left"/>
              <w:rPr>
                <w:rFonts w:ascii="仿宋_GB2312" w:hAnsi="宋体" w:eastAsia="仿宋_GB2312" w:cs="宋体"/>
                <w:color w:val="auto"/>
                <w:kern w:val="0"/>
                <w:sz w:val="21"/>
                <w:szCs w:val="21"/>
              </w:rPr>
            </w:pPr>
            <w:r>
              <w:rPr>
                <w:rFonts w:hint="eastAsia" w:ascii="仿宋_GB2312" w:hAnsi="微软雅黑" w:eastAsia="仿宋_GB2312" w:cs="宋体"/>
                <w:color w:val="auto"/>
                <w:kern w:val="0"/>
                <w:sz w:val="21"/>
                <w:szCs w:val="21"/>
              </w:rPr>
              <w:t>参与制定或审核工程造价管理行业标准</w:t>
            </w:r>
          </w:p>
        </w:tc>
        <w:tc>
          <w:tcPr>
            <w:tcW w:w="782" w:type="pct"/>
            <w:noWrap w:val="0"/>
            <w:vAlign w:val="center"/>
          </w:tcPr>
          <w:p w14:paraId="2C642C05">
            <w:pPr>
              <w:widowControl/>
              <w:spacing w:line="400" w:lineRule="exact"/>
              <w:ind w:firstLine="0" w:firstLineChars="0"/>
              <w:jc w:val="left"/>
              <w:rPr>
                <w:rFonts w:ascii="仿宋_GB2312" w:hAnsi="宋体" w:eastAsia="仿宋_GB2312" w:cs="宋体"/>
                <w:color w:val="auto"/>
                <w:kern w:val="0"/>
                <w:sz w:val="21"/>
                <w:szCs w:val="21"/>
              </w:rPr>
            </w:pPr>
            <w:r>
              <w:rPr>
                <w:rFonts w:hint="eastAsia" w:ascii="仿宋_GB2312" w:hAnsi="微软雅黑" w:eastAsia="仿宋_GB2312" w:cs="宋体"/>
                <w:color w:val="auto"/>
                <w:kern w:val="0"/>
                <w:sz w:val="21"/>
                <w:szCs w:val="21"/>
              </w:rPr>
              <w:t>每项</w:t>
            </w:r>
            <w:r>
              <w:rPr>
                <w:rFonts w:hint="eastAsia" w:ascii="仿宋_GB2312" w:hAnsi="微软雅黑" w:eastAsia="仿宋_GB2312" w:cs="宋体"/>
                <w:color w:val="auto"/>
                <w:kern w:val="0"/>
                <w:sz w:val="21"/>
                <w:szCs w:val="21"/>
                <w:lang w:eastAsia="zh-CN"/>
              </w:rPr>
              <w:t>记</w:t>
            </w:r>
            <w:r>
              <w:rPr>
                <w:rFonts w:hint="eastAsia" w:ascii="仿宋_GB2312" w:hAnsi="微软雅黑" w:cs="宋体"/>
                <w:color w:val="auto"/>
                <w:kern w:val="0"/>
                <w:sz w:val="21"/>
                <w:szCs w:val="21"/>
                <w:lang w:val="en-US" w:eastAsia="zh-CN"/>
              </w:rPr>
              <w:t>2</w:t>
            </w:r>
            <w:r>
              <w:rPr>
                <w:rFonts w:hint="eastAsia" w:ascii="仿宋_GB2312" w:hAnsi="微软雅黑" w:eastAsia="仿宋_GB2312" w:cs="宋体"/>
                <w:color w:val="auto"/>
                <w:kern w:val="0"/>
                <w:sz w:val="21"/>
                <w:szCs w:val="21"/>
              </w:rPr>
              <w:t>分，最多</w:t>
            </w:r>
            <w:r>
              <w:rPr>
                <w:rFonts w:hint="eastAsia" w:ascii="仿宋_GB2312" w:hAnsi="微软雅黑" w:eastAsia="仿宋_GB2312" w:cs="宋体"/>
                <w:color w:val="auto"/>
                <w:kern w:val="0"/>
                <w:sz w:val="21"/>
                <w:szCs w:val="21"/>
                <w:lang w:eastAsia="zh-CN"/>
              </w:rPr>
              <w:t>记</w:t>
            </w:r>
            <w:r>
              <w:rPr>
                <w:rFonts w:hint="eastAsia" w:ascii="仿宋_GB2312" w:hAnsi="微软雅黑" w:cs="宋体"/>
                <w:color w:val="auto"/>
                <w:kern w:val="0"/>
                <w:sz w:val="21"/>
                <w:szCs w:val="21"/>
                <w:lang w:val="en-US" w:eastAsia="zh-CN"/>
              </w:rPr>
              <w:t>6</w:t>
            </w:r>
            <w:r>
              <w:rPr>
                <w:rFonts w:hint="eastAsia" w:ascii="仿宋_GB2312" w:hAnsi="微软雅黑" w:eastAsia="仿宋_GB2312" w:cs="宋体"/>
                <w:color w:val="auto"/>
                <w:kern w:val="0"/>
                <w:sz w:val="21"/>
                <w:szCs w:val="21"/>
              </w:rPr>
              <w:t xml:space="preserve">分 </w:t>
            </w:r>
          </w:p>
        </w:tc>
      </w:tr>
      <w:tr w14:paraId="3A91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50" w:type="pct"/>
            <w:vMerge w:val="continue"/>
            <w:tcBorders>
              <w:top w:val="single" w:color="auto" w:sz="4" w:space="0"/>
              <w:bottom w:val="single" w:color="auto" w:sz="4" w:space="0"/>
            </w:tcBorders>
            <w:noWrap w:val="0"/>
            <w:vAlign w:val="center"/>
          </w:tcPr>
          <w:p w14:paraId="3AEDEBE7">
            <w:pPr>
              <w:widowControl/>
              <w:spacing w:line="400" w:lineRule="exact"/>
              <w:ind w:right="-60" w:rightChars="-19" w:firstLine="480" w:firstLineChars="200"/>
              <w:jc w:val="left"/>
              <w:rPr>
                <w:rFonts w:ascii="宋体" w:hAnsi="宋体" w:eastAsia="宋体" w:cs="宋体"/>
                <w:color w:val="auto"/>
                <w:kern w:val="0"/>
                <w:sz w:val="24"/>
              </w:rPr>
            </w:pPr>
          </w:p>
        </w:tc>
        <w:tc>
          <w:tcPr>
            <w:tcW w:w="1023" w:type="pct"/>
            <w:vMerge w:val="continue"/>
            <w:noWrap w:val="0"/>
            <w:vAlign w:val="center"/>
          </w:tcPr>
          <w:p w14:paraId="1D3B0DE4">
            <w:pPr>
              <w:widowControl/>
              <w:spacing w:line="400" w:lineRule="exact"/>
              <w:ind w:firstLine="420" w:firstLineChars="200"/>
              <w:jc w:val="left"/>
              <w:rPr>
                <w:rFonts w:ascii="仿宋_GB2312" w:hAnsi="宋体" w:eastAsia="仿宋_GB2312" w:cs="宋体"/>
                <w:color w:val="auto"/>
                <w:kern w:val="0"/>
                <w:sz w:val="21"/>
                <w:szCs w:val="21"/>
              </w:rPr>
            </w:pPr>
          </w:p>
        </w:tc>
        <w:tc>
          <w:tcPr>
            <w:tcW w:w="2743" w:type="pct"/>
            <w:gridSpan w:val="2"/>
            <w:noWrap w:val="0"/>
            <w:vAlign w:val="center"/>
          </w:tcPr>
          <w:p w14:paraId="7B140A93">
            <w:pPr>
              <w:widowControl/>
              <w:spacing w:line="400" w:lineRule="exact"/>
              <w:ind w:left="57" w:leftChars="18" w:right="11" w:rightChars="0" w:firstLine="0" w:firstLineChars="0"/>
              <w:jc w:val="left"/>
              <w:rPr>
                <w:rFonts w:ascii="仿宋_GB2312" w:hAnsi="宋体" w:eastAsia="仿宋_GB2312" w:cs="宋体"/>
                <w:color w:val="auto"/>
                <w:kern w:val="0"/>
                <w:sz w:val="21"/>
                <w:szCs w:val="21"/>
              </w:rPr>
            </w:pPr>
            <w:r>
              <w:rPr>
                <w:rFonts w:hint="eastAsia" w:ascii="仿宋_GB2312" w:hAnsi="微软雅黑" w:eastAsia="仿宋_GB2312" w:cs="宋体"/>
                <w:color w:val="auto"/>
                <w:kern w:val="0"/>
                <w:sz w:val="21"/>
                <w:szCs w:val="21"/>
              </w:rPr>
              <w:t>参与制定或审核工程造价管理</w:t>
            </w:r>
            <w:r>
              <w:rPr>
                <w:rFonts w:hint="eastAsia" w:ascii="仿宋_GB2312" w:hAnsi="微软雅黑" w:eastAsia="仿宋_GB2312" w:cs="宋体"/>
                <w:color w:val="auto"/>
                <w:kern w:val="0"/>
                <w:sz w:val="21"/>
                <w:szCs w:val="21"/>
                <w:lang w:eastAsia="zh-CN"/>
              </w:rPr>
              <w:t>相关</w:t>
            </w:r>
            <w:r>
              <w:rPr>
                <w:rFonts w:hint="eastAsia" w:ascii="仿宋_GB2312" w:hAnsi="微软雅黑" w:eastAsia="仿宋_GB2312" w:cs="宋体"/>
                <w:color w:val="auto"/>
                <w:kern w:val="0"/>
                <w:sz w:val="21"/>
                <w:szCs w:val="21"/>
              </w:rPr>
              <w:t>地方标准、</w:t>
            </w:r>
            <w:r>
              <w:rPr>
                <w:rFonts w:hint="eastAsia" w:ascii="仿宋_GB2312" w:hAnsi="微软雅黑" w:eastAsia="仿宋_GB2312" w:cs="宋体"/>
                <w:color w:val="auto"/>
                <w:kern w:val="0"/>
                <w:sz w:val="21"/>
                <w:szCs w:val="21"/>
                <w:lang w:eastAsia="zh-CN"/>
              </w:rPr>
              <w:t>计价依据</w:t>
            </w:r>
          </w:p>
        </w:tc>
        <w:tc>
          <w:tcPr>
            <w:tcW w:w="782" w:type="pct"/>
            <w:noWrap w:val="0"/>
            <w:vAlign w:val="center"/>
          </w:tcPr>
          <w:p w14:paraId="3B8320B9">
            <w:pPr>
              <w:widowControl/>
              <w:spacing w:line="400" w:lineRule="exact"/>
              <w:ind w:firstLine="0" w:firstLineChars="0"/>
              <w:jc w:val="left"/>
              <w:rPr>
                <w:rFonts w:ascii="仿宋_GB2312" w:hAnsi="宋体" w:eastAsia="仿宋_GB2312" w:cs="宋体"/>
                <w:color w:val="auto"/>
                <w:kern w:val="0"/>
                <w:sz w:val="21"/>
                <w:szCs w:val="21"/>
              </w:rPr>
            </w:pPr>
            <w:r>
              <w:rPr>
                <w:rFonts w:hint="eastAsia" w:ascii="仿宋_GB2312" w:hAnsi="微软雅黑" w:eastAsia="仿宋_GB2312" w:cs="宋体"/>
                <w:color w:val="auto"/>
                <w:kern w:val="0"/>
                <w:sz w:val="21"/>
                <w:szCs w:val="21"/>
              </w:rPr>
              <w:t>每项</w:t>
            </w:r>
            <w:r>
              <w:rPr>
                <w:rFonts w:hint="eastAsia" w:ascii="仿宋_GB2312" w:hAnsi="微软雅黑" w:eastAsia="仿宋_GB2312" w:cs="宋体"/>
                <w:color w:val="auto"/>
                <w:kern w:val="0"/>
                <w:sz w:val="21"/>
                <w:szCs w:val="21"/>
                <w:lang w:eastAsia="zh-CN"/>
              </w:rPr>
              <w:t>记</w:t>
            </w:r>
            <w:r>
              <w:rPr>
                <w:rFonts w:hint="eastAsia" w:ascii="仿宋_GB2312" w:hAnsi="微软雅黑" w:cs="宋体"/>
                <w:color w:val="auto"/>
                <w:kern w:val="0"/>
                <w:sz w:val="21"/>
                <w:szCs w:val="21"/>
                <w:lang w:val="en-US" w:eastAsia="zh-CN"/>
              </w:rPr>
              <w:t>2</w:t>
            </w:r>
            <w:r>
              <w:rPr>
                <w:rFonts w:hint="eastAsia" w:ascii="仿宋_GB2312" w:hAnsi="微软雅黑" w:eastAsia="仿宋_GB2312" w:cs="宋体"/>
                <w:color w:val="auto"/>
                <w:kern w:val="0"/>
                <w:sz w:val="21"/>
                <w:szCs w:val="21"/>
              </w:rPr>
              <w:t>分，最多</w:t>
            </w:r>
            <w:r>
              <w:rPr>
                <w:rFonts w:hint="eastAsia" w:ascii="仿宋_GB2312" w:hAnsi="微软雅黑" w:eastAsia="仿宋_GB2312" w:cs="宋体"/>
                <w:color w:val="auto"/>
                <w:kern w:val="0"/>
                <w:sz w:val="21"/>
                <w:szCs w:val="21"/>
                <w:lang w:eastAsia="zh-CN"/>
              </w:rPr>
              <w:t>记</w:t>
            </w:r>
            <w:r>
              <w:rPr>
                <w:rFonts w:hint="eastAsia" w:ascii="仿宋_GB2312" w:hAnsi="微软雅黑" w:cs="宋体"/>
                <w:color w:val="auto"/>
                <w:kern w:val="0"/>
                <w:sz w:val="21"/>
                <w:szCs w:val="21"/>
                <w:lang w:val="en-US" w:eastAsia="zh-CN"/>
              </w:rPr>
              <w:t>6</w:t>
            </w:r>
            <w:r>
              <w:rPr>
                <w:rFonts w:hint="eastAsia" w:ascii="仿宋_GB2312" w:hAnsi="微软雅黑" w:eastAsia="仿宋_GB2312" w:cs="宋体"/>
                <w:color w:val="auto"/>
                <w:kern w:val="0"/>
                <w:sz w:val="21"/>
                <w:szCs w:val="21"/>
              </w:rPr>
              <w:t xml:space="preserve">分 </w:t>
            </w:r>
          </w:p>
        </w:tc>
      </w:tr>
      <w:tr w14:paraId="544C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50" w:type="pct"/>
            <w:vMerge w:val="continue"/>
            <w:tcBorders>
              <w:top w:val="single" w:color="auto" w:sz="4" w:space="0"/>
              <w:bottom w:val="single" w:color="auto" w:sz="4" w:space="0"/>
            </w:tcBorders>
            <w:noWrap w:val="0"/>
            <w:vAlign w:val="center"/>
          </w:tcPr>
          <w:p w14:paraId="319D0FEF">
            <w:pPr>
              <w:widowControl/>
              <w:spacing w:line="400" w:lineRule="exact"/>
              <w:ind w:right="-60" w:rightChars="-19" w:firstLine="480" w:firstLineChars="200"/>
              <w:jc w:val="left"/>
              <w:rPr>
                <w:rFonts w:ascii="宋体" w:hAnsi="宋体" w:eastAsia="宋体" w:cs="宋体"/>
                <w:color w:val="auto"/>
                <w:kern w:val="0"/>
                <w:sz w:val="24"/>
              </w:rPr>
            </w:pPr>
          </w:p>
        </w:tc>
        <w:tc>
          <w:tcPr>
            <w:tcW w:w="1023" w:type="pct"/>
            <w:vMerge w:val="continue"/>
            <w:noWrap w:val="0"/>
            <w:vAlign w:val="center"/>
          </w:tcPr>
          <w:p w14:paraId="03D7CFBE">
            <w:pPr>
              <w:widowControl/>
              <w:spacing w:line="400" w:lineRule="exact"/>
              <w:ind w:firstLine="420" w:firstLineChars="200"/>
              <w:jc w:val="left"/>
              <w:rPr>
                <w:rFonts w:ascii="仿宋_GB2312" w:hAnsi="宋体" w:eastAsia="仿宋_GB2312" w:cs="宋体"/>
                <w:color w:val="auto"/>
                <w:kern w:val="0"/>
                <w:sz w:val="21"/>
                <w:szCs w:val="21"/>
              </w:rPr>
            </w:pPr>
          </w:p>
        </w:tc>
        <w:tc>
          <w:tcPr>
            <w:tcW w:w="2743" w:type="pct"/>
            <w:gridSpan w:val="2"/>
            <w:noWrap w:val="0"/>
            <w:vAlign w:val="center"/>
          </w:tcPr>
          <w:p w14:paraId="4048BB31">
            <w:pPr>
              <w:widowControl/>
              <w:spacing w:line="400" w:lineRule="exact"/>
              <w:ind w:left="57" w:leftChars="18" w:right="11" w:rightChars="0" w:firstLine="0" w:firstLineChars="0"/>
              <w:jc w:val="left"/>
              <w:rPr>
                <w:rFonts w:hint="eastAsia" w:ascii="仿宋_GB2312" w:hAnsi="微软雅黑" w:eastAsia="仿宋_GB2312" w:cs="宋体"/>
                <w:color w:val="auto"/>
                <w:kern w:val="0"/>
                <w:sz w:val="21"/>
                <w:szCs w:val="21"/>
              </w:rPr>
            </w:pPr>
            <w:r>
              <w:rPr>
                <w:rFonts w:hint="eastAsia" w:ascii="仿宋_GB2312" w:hAnsi="微软雅黑" w:eastAsia="仿宋_GB2312" w:cs="宋体"/>
                <w:color w:val="auto"/>
                <w:kern w:val="0"/>
                <w:sz w:val="21"/>
                <w:szCs w:val="21"/>
              </w:rPr>
              <w:t>参与</w:t>
            </w:r>
            <w:r>
              <w:rPr>
                <w:rFonts w:hint="eastAsia" w:ascii="仿宋_GB2312" w:hAnsi="微软雅黑" w:eastAsia="仿宋_GB2312" w:cs="宋体"/>
                <w:color w:val="auto"/>
                <w:kern w:val="0"/>
                <w:sz w:val="21"/>
                <w:szCs w:val="21"/>
                <w:lang w:eastAsia="zh-CN"/>
              </w:rPr>
              <w:t>北京市</w:t>
            </w:r>
            <w:r>
              <w:rPr>
                <w:rFonts w:hint="eastAsia" w:ascii="仿宋_GB2312" w:hAnsi="微软雅黑" w:eastAsia="仿宋_GB2312" w:cs="宋体"/>
                <w:color w:val="auto"/>
                <w:kern w:val="0"/>
                <w:sz w:val="21"/>
                <w:szCs w:val="21"/>
              </w:rPr>
              <w:t>造价管理改革</w:t>
            </w:r>
            <w:r>
              <w:rPr>
                <w:rFonts w:hint="eastAsia" w:ascii="仿宋_GB2312" w:hAnsi="微软雅黑" w:eastAsia="仿宋_GB2312" w:cs="宋体"/>
                <w:color w:val="auto"/>
                <w:kern w:val="0"/>
                <w:sz w:val="21"/>
                <w:szCs w:val="21"/>
                <w:lang w:eastAsia="zh-CN"/>
              </w:rPr>
              <w:t>、试点</w:t>
            </w:r>
            <w:r>
              <w:rPr>
                <w:rFonts w:hint="eastAsia" w:ascii="仿宋_GB2312" w:hAnsi="微软雅黑" w:eastAsia="仿宋_GB2312" w:cs="宋体"/>
                <w:color w:val="auto"/>
                <w:kern w:val="0"/>
                <w:sz w:val="21"/>
                <w:szCs w:val="21"/>
              </w:rPr>
              <w:t xml:space="preserve">等相关工作 </w:t>
            </w:r>
          </w:p>
        </w:tc>
        <w:tc>
          <w:tcPr>
            <w:tcW w:w="782" w:type="pct"/>
            <w:noWrap w:val="0"/>
            <w:vAlign w:val="center"/>
          </w:tcPr>
          <w:p w14:paraId="2DDA3523">
            <w:pPr>
              <w:widowControl/>
              <w:spacing w:line="400" w:lineRule="exact"/>
              <w:ind w:firstLine="0" w:firstLineChars="0"/>
              <w:jc w:val="left"/>
              <w:rPr>
                <w:rFonts w:hint="eastAsia" w:ascii="仿宋_GB2312" w:hAnsi="微软雅黑" w:eastAsia="仿宋_GB2312" w:cs="宋体"/>
                <w:color w:val="auto"/>
                <w:kern w:val="0"/>
                <w:sz w:val="21"/>
                <w:szCs w:val="21"/>
              </w:rPr>
            </w:pPr>
            <w:r>
              <w:rPr>
                <w:rFonts w:hint="eastAsia" w:ascii="仿宋_GB2312" w:hAnsi="微软雅黑" w:eastAsia="仿宋_GB2312" w:cs="宋体"/>
                <w:color w:val="auto"/>
                <w:kern w:val="0"/>
                <w:sz w:val="21"/>
                <w:szCs w:val="21"/>
              </w:rPr>
              <w:t>每项</w:t>
            </w:r>
            <w:r>
              <w:rPr>
                <w:rFonts w:hint="eastAsia" w:ascii="仿宋_GB2312" w:hAnsi="微软雅黑" w:eastAsia="仿宋_GB2312" w:cs="宋体"/>
                <w:color w:val="auto"/>
                <w:kern w:val="0"/>
                <w:sz w:val="21"/>
                <w:szCs w:val="21"/>
                <w:lang w:eastAsia="zh-CN"/>
              </w:rPr>
              <w:t>记</w:t>
            </w:r>
            <w:r>
              <w:rPr>
                <w:rFonts w:hint="eastAsia" w:ascii="仿宋_GB2312" w:hAnsi="微软雅黑" w:eastAsia="仿宋_GB2312" w:cs="宋体"/>
                <w:color w:val="auto"/>
                <w:kern w:val="0"/>
                <w:sz w:val="21"/>
                <w:szCs w:val="21"/>
              </w:rPr>
              <w:t>1分，最</w:t>
            </w:r>
            <w:r>
              <w:rPr>
                <w:rFonts w:hint="eastAsia" w:ascii="仿宋_GB2312" w:hAnsi="微软雅黑" w:eastAsia="仿宋_GB2312" w:cs="宋体"/>
                <w:color w:val="auto"/>
                <w:kern w:val="0"/>
                <w:sz w:val="21"/>
                <w:szCs w:val="21"/>
                <w:lang w:eastAsia="zh-CN"/>
              </w:rPr>
              <w:t>记</w:t>
            </w:r>
            <w:r>
              <w:rPr>
                <w:rFonts w:hint="eastAsia" w:ascii="仿宋_GB2312" w:hAnsi="微软雅黑" w:eastAsia="仿宋_GB2312" w:cs="宋体"/>
                <w:color w:val="auto"/>
                <w:kern w:val="0"/>
                <w:sz w:val="21"/>
                <w:szCs w:val="21"/>
              </w:rPr>
              <w:t>多</w:t>
            </w:r>
            <w:r>
              <w:rPr>
                <w:rFonts w:hint="eastAsia" w:ascii="仿宋_GB2312" w:hAnsi="微软雅黑" w:eastAsia="仿宋_GB2312" w:cs="宋体"/>
                <w:color w:val="auto"/>
                <w:kern w:val="0"/>
                <w:sz w:val="21"/>
                <w:szCs w:val="21"/>
                <w:lang w:val="en-US" w:eastAsia="zh-CN"/>
              </w:rPr>
              <w:t>3</w:t>
            </w:r>
            <w:r>
              <w:rPr>
                <w:rFonts w:hint="eastAsia" w:ascii="仿宋_GB2312" w:hAnsi="微软雅黑" w:eastAsia="仿宋_GB2312" w:cs="宋体"/>
                <w:color w:val="auto"/>
                <w:kern w:val="0"/>
                <w:sz w:val="21"/>
                <w:szCs w:val="21"/>
              </w:rPr>
              <w:t xml:space="preserve">分 </w:t>
            </w:r>
          </w:p>
        </w:tc>
      </w:tr>
      <w:tr w14:paraId="213E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50" w:type="pct"/>
            <w:vMerge w:val="continue"/>
            <w:tcBorders>
              <w:top w:val="single" w:color="auto" w:sz="4" w:space="0"/>
              <w:bottom w:val="single" w:color="auto" w:sz="4" w:space="0"/>
            </w:tcBorders>
            <w:noWrap w:val="0"/>
            <w:vAlign w:val="center"/>
          </w:tcPr>
          <w:p w14:paraId="25395B41">
            <w:pPr>
              <w:widowControl/>
              <w:spacing w:line="400" w:lineRule="exact"/>
              <w:ind w:right="-60" w:rightChars="-19" w:firstLine="480" w:firstLineChars="200"/>
              <w:jc w:val="left"/>
              <w:rPr>
                <w:rFonts w:ascii="宋体" w:hAnsi="宋体" w:eastAsia="宋体" w:cs="宋体"/>
                <w:color w:val="auto"/>
                <w:kern w:val="0"/>
                <w:sz w:val="24"/>
              </w:rPr>
            </w:pPr>
          </w:p>
        </w:tc>
        <w:tc>
          <w:tcPr>
            <w:tcW w:w="1023" w:type="pct"/>
            <w:vMerge w:val="continue"/>
            <w:noWrap w:val="0"/>
            <w:vAlign w:val="center"/>
          </w:tcPr>
          <w:p w14:paraId="1E0553F6">
            <w:pPr>
              <w:widowControl/>
              <w:spacing w:line="400" w:lineRule="exact"/>
              <w:ind w:firstLine="420" w:firstLineChars="200"/>
              <w:jc w:val="left"/>
              <w:rPr>
                <w:rFonts w:ascii="仿宋_GB2312" w:hAnsi="宋体" w:eastAsia="仿宋_GB2312" w:cs="宋体"/>
                <w:color w:val="auto"/>
                <w:kern w:val="0"/>
                <w:sz w:val="21"/>
                <w:szCs w:val="21"/>
              </w:rPr>
            </w:pPr>
          </w:p>
        </w:tc>
        <w:tc>
          <w:tcPr>
            <w:tcW w:w="2743" w:type="pct"/>
            <w:gridSpan w:val="2"/>
            <w:noWrap w:val="0"/>
            <w:vAlign w:val="center"/>
          </w:tcPr>
          <w:p w14:paraId="7DAF2856">
            <w:pPr>
              <w:widowControl/>
              <w:spacing w:line="400" w:lineRule="exact"/>
              <w:ind w:left="57" w:leftChars="18" w:right="11" w:rightChars="0" w:firstLine="0" w:firstLineChars="0"/>
              <w:jc w:val="left"/>
              <w:rPr>
                <w:rFonts w:hint="eastAsia" w:ascii="仿宋_GB2312" w:hAnsi="微软雅黑" w:eastAsia="仿宋_GB2312" w:cs="宋体"/>
                <w:color w:val="auto"/>
                <w:kern w:val="0"/>
                <w:sz w:val="21"/>
                <w:szCs w:val="21"/>
              </w:rPr>
            </w:pPr>
            <w:r>
              <w:rPr>
                <w:rFonts w:hint="eastAsia" w:ascii="仿宋_GB2312" w:hAnsi="微软雅黑" w:eastAsia="仿宋_GB2312" w:cs="宋体"/>
                <w:color w:val="auto"/>
                <w:kern w:val="0"/>
                <w:sz w:val="21"/>
                <w:szCs w:val="21"/>
              </w:rPr>
              <w:t>为北京市造价行业发展做出贡献</w:t>
            </w:r>
          </w:p>
        </w:tc>
        <w:tc>
          <w:tcPr>
            <w:tcW w:w="782" w:type="pct"/>
            <w:noWrap w:val="0"/>
            <w:vAlign w:val="center"/>
          </w:tcPr>
          <w:p w14:paraId="455EB1A7">
            <w:pPr>
              <w:widowControl/>
              <w:spacing w:line="400" w:lineRule="exact"/>
              <w:ind w:right="-160" w:rightChars="-50" w:firstLine="0" w:firstLineChars="0"/>
              <w:jc w:val="left"/>
              <w:rPr>
                <w:rFonts w:hint="eastAsia" w:ascii="仿宋_GB2312" w:hAnsi="微软雅黑" w:eastAsia="仿宋_GB2312" w:cs="宋体"/>
                <w:color w:val="auto"/>
                <w:kern w:val="0"/>
                <w:sz w:val="21"/>
                <w:szCs w:val="21"/>
              </w:rPr>
            </w:pPr>
            <w:r>
              <w:rPr>
                <w:rFonts w:hint="eastAsia" w:ascii="仿宋_GB2312" w:hAnsi="微软雅黑" w:eastAsia="仿宋_GB2312" w:cs="宋体"/>
                <w:color w:val="auto"/>
                <w:kern w:val="0"/>
                <w:sz w:val="21"/>
                <w:szCs w:val="21"/>
              </w:rPr>
              <w:t>每项</w:t>
            </w:r>
            <w:r>
              <w:rPr>
                <w:rFonts w:hint="eastAsia" w:ascii="仿宋_GB2312" w:hAnsi="微软雅黑" w:eastAsia="仿宋_GB2312" w:cs="宋体"/>
                <w:color w:val="auto"/>
                <w:kern w:val="0"/>
                <w:sz w:val="21"/>
                <w:szCs w:val="21"/>
                <w:lang w:eastAsia="zh-CN"/>
              </w:rPr>
              <w:t>记</w:t>
            </w:r>
            <w:r>
              <w:rPr>
                <w:rFonts w:hint="eastAsia" w:ascii="仿宋_GB2312" w:hAnsi="微软雅黑" w:cs="宋体"/>
                <w:color w:val="auto"/>
                <w:kern w:val="0"/>
                <w:sz w:val="21"/>
                <w:szCs w:val="21"/>
                <w:lang w:val="en-US" w:eastAsia="zh-CN"/>
              </w:rPr>
              <w:t>2</w:t>
            </w:r>
            <w:r>
              <w:rPr>
                <w:rFonts w:hint="eastAsia" w:ascii="仿宋_GB2312" w:hAnsi="微软雅黑" w:eastAsia="仿宋_GB2312" w:cs="宋体"/>
                <w:color w:val="auto"/>
                <w:kern w:val="0"/>
                <w:sz w:val="21"/>
                <w:szCs w:val="21"/>
              </w:rPr>
              <w:t>分，最多</w:t>
            </w:r>
            <w:r>
              <w:rPr>
                <w:rFonts w:hint="eastAsia" w:ascii="仿宋_GB2312" w:hAnsi="微软雅黑" w:eastAsia="仿宋_GB2312" w:cs="宋体"/>
                <w:color w:val="auto"/>
                <w:kern w:val="0"/>
                <w:sz w:val="21"/>
                <w:szCs w:val="21"/>
                <w:lang w:eastAsia="zh-CN"/>
              </w:rPr>
              <w:t>记</w:t>
            </w:r>
            <w:r>
              <w:rPr>
                <w:rFonts w:hint="eastAsia" w:ascii="仿宋_GB2312" w:hAnsi="微软雅黑" w:cs="宋体"/>
                <w:color w:val="auto"/>
                <w:kern w:val="0"/>
                <w:sz w:val="21"/>
                <w:szCs w:val="21"/>
                <w:lang w:val="en-US" w:eastAsia="zh-CN"/>
              </w:rPr>
              <w:t>6</w:t>
            </w:r>
            <w:r>
              <w:rPr>
                <w:rFonts w:hint="eastAsia" w:ascii="仿宋_GB2312" w:hAnsi="微软雅黑" w:eastAsia="仿宋_GB2312" w:cs="宋体"/>
                <w:color w:val="auto"/>
                <w:kern w:val="0"/>
                <w:sz w:val="21"/>
                <w:szCs w:val="21"/>
              </w:rPr>
              <w:t>分</w:t>
            </w:r>
          </w:p>
        </w:tc>
      </w:tr>
      <w:tr w14:paraId="1F8A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50" w:type="pct"/>
            <w:vMerge w:val="restart"/>
            <w:noWrap w:val="0"/>
            <w:vAlign w:val="center"/>
          </w:tcPr>
          <w:p w14:paraId="720581B0">
            <w:pPr>
              <w:widowControl/>
              <w:spacing w:line="400" w:lineRule="exact"/>
              <w:ind w:left="0" w:leftChars="0" w:right="-60" w:rightChars="-19" w:hanging="10" w:firstLineChars="0"/>
              <w:jc w:val="center"/>
              <w:rPr>
                <w:rFonts w:hint="eastAsia" w:ascii="仿宋_GB2312" w:hAnsi="仿宋_GB2312" w:eastAsia="仿宋_GB2312" w:cs="仿宋_GB2312"/>
                <w:b/>
                <w:color w:val="auto"/>
                <w:kern w:val="0"/>
                <w:sz w:val="21"/>
                <w:szCs w:val="21"/>
                <w:lang w:eastAsia="zh-CN"/>
              </w:rPr>
            </w:pPr>
            <w:r>
              <w:rPr>
                <w:rFonts w:hint="eastAsia" w:ascii="仿宋_GB2312" w:hAnsi="仿宋_GB2312" w:cs="仿宋_GB2312"/>
                <w:b/>
                <w:color w:val="auto"/>
                <w:kern w:val="0"/>
                <w:sz w:val="21"/>
                <w:szCs w:val="21"/>
                <w:lang w:eastAsia="zh-CN"/>
              </w:rPr>
              <w:t>不良</w:t>
            </w:r>
          </w:p>
          <w:p w14:paraId="6662B468">
            <w:pPr>
              <w:widowControl/>
              <w:spacing w:line="400" w:lineRule="exact"/>
              <w:ind w:left="0" w:leftChars="0" w:right="-60" w:rightChars="-19" w:hanging="1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b/>
                <w:color w:val="auto"/>
                <w:kern w:val="0"/>
                <w:sz w:val="21"/>
                <w:szCs w:val="21"/>
              </w:rPr>
              <w:t>信息</w:t>
            </w:r>
          </w:p>
        </w:tc>
        <w:tc>
          <w:tcPr>
            <w:tcW w:w="3767" w:type="pct"/>
            <w:gridSpan w:val="3"/>
            <w:noWrap w:val="0"/>
            <w:vAlign w:val="center"/>
          </w:tcPr>
          <w:p w14:paraId="7190C150">
            <w:pPr>
              <w:widowControl/>
              <w:spacing w:line="400" w:lineRule="exact"/>
              <w:ind w:left="0" w:leftChars="0" w:right="-160" w:rightChars="-50" w:firstLine="0" w:firstLineChars="0"/>
              <w:jc w:val="left"/>
              <w:rPr>
                <w:rFonts w:hint="eastAsia" w:ascii="仿宋_GB2312" w:hAnsi="微软雅黑" w:eastAsia="仿宋_GB2312" w:cs="宋体"/>
                <w:color w:val="auto"/>
                <w:kern w:val="0"/>
                <w:sz w:val="21"/>
                <w:szCs w:val="21"/>
                <w:highlight w:val="none"/>
              </w:rPr>
            </w:pPr>
            <w:r>
              <w:rPr>
                <w:rFonts w:hint="eastAsia" w:ascii="仿宋_GB2312" w:hAnsi="微软雅黑" w:eastAsia="仿宋_GB2312" w:cs="宋体"/>
                <w:color w:val="auto"/>
                <w:kern w:val="0"/>
                <w:sz w:val="21"/>
                <w:szCs w:val="21"/>
                <w:lang w:eastAsia="zh-CN"/>
              </w:rPr>
              <w:t>被</w:t>
            </w:r>
            <w:r>
              <w:rPr>
                <w:rFonts w:hint="eastAsia" w:ascii="仿宋_GB2312" w:hAnsi="微软雅黑" w:eastAsia="仿宋_GB2312" w:cs="宋体"/>
                <w:color w:val="auto"/>
                <w:kern w:val="0"/>
                <w:sz w:val="21"/>
                <w:szCs w:val="21"/>
                <w:highlight w:val="none"/>
                <w:lang w:eastAsia="zh-CN"/>
              </w:rPr>
              <w:t>投诉举报</w:t>
            </w:r>
            <w:r>
              <w:rPr>
                <w:rFonts w:hint="eastAsia" w:ascii="仿宋_GB2312" w:hAnsi="微软雅黑" w:eastAsia="仿宋_GB2312" w:cs="宋体"/>
                <w:color w:val="auto"/>
                <w:kern w:val="0"/>
                <w:sz w:val="21"/>
                <w:szCs w:val="21"/>
                <w:lang w:eastAsia="zh-CN"/>
              </w:rPr>
              <w:t>经</w:t>
            </w:r>
            <w:r>
              <w:rPr>
                <w:rFonts w:hint="eastAsia" w:ascii="仿宋_GB2312" w:hAnsi="微软雅黑" w:eastAsia="仿宋_GB2312" w:cs="宋体"/>
                <w:color w:val="auto"/>
                <w:kern w:val="0"/>
                <w:sz w:val="21"/>
                <w:szCs w:val="21"/>
                <w:highlight w:val="none"/>
                <w:lang w:eastAsia="zh-CN"/>
              </w:rPr>
              <w:t>查属实，存在计价相关问题</w:t>
            </w:r>
          </w:p>
        </w:tc>
        <w:tc>
          <w:tcPr>
            <w:tcW w:w="782" w:type="pct"/>
            <w:noWrap w:val="0"/>
            <w:vAlign w:val="center"/>
          </w:tcPr>
          <w:p w14:paraId="701A4CB8">
            <w:pPr>
              <w:widowControl/>
              <w:spacing w:line="400" w:lineRule="exact"/>
              <w:ind w:left="0" w:leftChars="0" w:right="-51" w:rightChars="-16" w:firstLine="0" w:firstLineChars="0"/>
              <w:jc w:val="center"/>
              <w:rPr>
                <w:rFonts w:hint="eastAsia" w:ascii="仿宋_GB2312" w:hAnsi="微软雅黑" w:eastAsia="仿宋_GB2312" w:cs="宋体"/>
                <w:color w:val="auto"/>
                <w:kern w:val="0"/>
                <w:sz w:val="21"/>
                <w:szCs w:val="21"/>
                <w:lang w:eastAsia="zh-CN"/>
              </w:rPr>
            </w:pPr>
            <w:r>
              <w:rPr>
                <w:rFonts w:hint="eastAsia" w:ascii="仿宋_GB2312" w:hAnsi="微软雅黑" w:eastAsia="仿宋_GB2312" w:cs="宋体"/>
                <w:color w:val="auto"/>
                <w:kern w:val="0"/>
                <w:sz w:val="21"/>
                <w:szCs w:val="21"/>
                <w:lang w:eastAsia="zh-CN"/>
              </w:rPr>
              <w:t>记</w:t>
            </w:r>
            <w:r>
              <w:rPr>
                <w:rFonts w:hint="eastAsia" w:ascii="仿宋_GB2312" w:hAnsi="微软雅黑" w:eastAsia="仿宋_GB2312" w:cs="宋体"/>
                <w:color w:val="auto"/>
                <w:kern w:val="0"/>
                <w:sz w:val="21"/>
                <w:szCs w:val="21"/>
                <w:lang w:val="en-US" w:eastAsia="zh-CN"/>
              </w:rPr>
              <w:t>3</w:t>
            </w:r>
            <w:r>
              <w:rPr>
                <w:rFonts w:hint="eastAsia" w:ascii="仿宋_GB2312" w:hAnsi="微软雅黑" w:eastAsia="仿宋_GB2312" w:cs="宋体"/>
                <w:color w:val="auto"/>
                <w:kern w:val="0"/>
                <w:sz w:val="21"/>
                <w:szCs w:val="21"/>
              </w:rPr>
              <w:t>分</w:t>
            </w:r>
          </w:p>
        </w:tc>
      </w:tr>
      <w:tr w14:paraId="5432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0" w:type="pct"/>
            <w:vMerge w:val="continue"/>
            <w:noWrap w:val="0"/>
            <w:vAlign w:val="center"/>
          </w:tcPr>
          <w:p w14:paraId="4616CDE2">
            <w:pPr>
              <w:widowControl/>
              <w:spacing w:line="400" w:lineRule="exact"/>
              <w:ind w:left="0" w:leftChars="0" w:right="-60" w:rightChars="-19" w:hanging="10" w:firstLineChars="0"/>
              <w:rPr>
                <w:rFonts w:hint="eastAsia" w:ascii="仿宋_GB2312" w:hAnsi="仿宋_GB2312" w:eastAsia="仿宋_GB2312" w:cs="仿宋_GB2312"/>
                <w:b/>
                <w:color w:val="auto"/>
                <w:kern w:val="0"/>
                <w:sz w:val="21"/>
                <w:szCs w:val="21"/>
              </w:rPr>
            </w:pPr>
          </w:p>
        </w:tc>
        <w:tc>
          <w:tcPr>
            <w:tcW w:w="3767" w:type="pct"/>
            <w:gridSpan w:val="3"/>
            <w:noWrap w:val="0"/>
            <w:vAlign w:val="center"/>
          </w:tcPr>
          <w:p w14:paraId="517E927C">
            <w:pPr>
              <w:widowControl/>
              <w:spacing w:line="400" w:lineRule="exact"/>
              <w:ind w:left="0" w:leftChars="0" w:right="-160" w:rightChars="-50" w:firstLine="0" w:firstLineChars="0"/>
              <w:jc w:val="left"/>
              <w:rPr>
                <w:rFonts w:hint="eastAsia" w:ascii="仿宋_GB2312" w:hAnsi="微软雅黑" w:eastAsia="仿宋_GB2312" w:cs="宋体"/>
                <w:color w:val="auto"/>
                <w:kern w:val="0"/>
                <w:sz w:val="21"/>
                <w:szCs w:val="21"/>
                <w:highlight w:val="none"/>
              </w:rPr>
            </w:pPr>
            <w:r>
              <w:rPr>
                <w:rFonts w:hint="eastAsia" w:ascii="仿宋_GB2312" w:hAnsi="微软雅黑" w:eastAsia="仿宋_GB2312" w:cs="宋体"/>
                <w:color w:val="auto"/>
                <w:kern w:val="0"/>
                <w:sz w:val="21"/>
                <w:szCs w:val="21"/>
                <w:highlight w:val="none"/>
                <w:lang w:eastAsia="zh-CN"/>
              </w:rPr>
              <w:t>在从事工程造价鉴定过程中被人民法院认定存在重大工作过失</w:t>
            </w:r>
          </w:p>
        </w:tc>
        <w:tc>
          <w:tcPr>
            <w:tcW w:w="782" w:type="pct"/>
            <w:noWrap w:val="0"/>
            <w:vAlign w:val="center"/>
          </w:tcPr>
          <w:p w14:paraId="1CF4C4A7">
            <w:pPr>
              <w:widowControl/>
              <w:spacing w:line="400" w:lineRule="exact"/>
              <w:ind w:left="0" w:leftChars="0" w:right="-51" w:rightChars="-16" w:firstLine="0" w:firstLineChars="0"/>
              <w:jc w:val="center"/>
              <w:rPr>
                <w:rFonts w:hint="eastAsia" w:ascii="仿宋_GB2312" w:hAnsi="微软雅黑" w:eastAsia="仿宋_GB2312" w:cs="宋体"/>
                <w:color w:val="auto"/>
                <w:kern w:val="0"/>
                <w:sz w:val="21"/>
                <w:szCs w:val="21"/>
              </w:rPr>
            </w:pPr>
            <w:r>
              <w:rPr>
                <w:rFonts w:hint="eastAsia" w:ascii="仿宋_GB2312" w:hAnsi="微软雅黑" w:eastAsia="仿宋_GB2312" w:cs="宋体"/>
                <w:color w:val="auto"/>
                <w:kern w:val="0"/>
                <w:sz w:val="21"/>
                <w:szCs w:val="21"/>
                <w:lang w:eastAsia="zh-CN"/>
              </w:rPr>
              <w:t>记</w:t>
            </w:r>
            <w:r>
              <w:rPr>
                <w:rFonts w:hint="eastAsia" w:ascii="仿宋_GB2312" w:hAnsi="微软雅黑" w:eastAsia="仿宋_GB2312" w:cs="宋体"/>
                <w:color w:val="auto"/>
                <w:kern w:val="0"/>
                <w:sz w:val="21"/>
                <w:szCs w:val="21"/>
                <w:lang w:val="en-US" w:eastAsia="zh-CN"/>
              </w:rPr>
              <w:t>3分</w:t>
            </w:r>
          </w:p>
        </w:tc>
      </w:tr>
      <w:tr w14:paraId="337D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50" w:type="pct"/>
            <w:vMerge w:val="continue"/>
            <w:noWrap w:val="0"/>
            <w:vAlign w:val="center"/>
          </w:tcPr>
          <w:p w14:paraId="101C941E">
            <w:pPr>
              <w:widowControl/>
              <w:spacing w:line="400" w:lineRule="exact"/>
              <w:ind w:left="0" w:leftChars="0" w:right="-60" w:rightChars="-19" w:hanging="10" w:firstLineChars="0"/>
              <w:rPr>
                <w:rFonts w:hint="eastAsia" w:ascii="仿宋_GB2312" w:hAnsi="仿宋_GB2312" w:eastAsia="仿宋_GB2312" w:cs="仿宋_GB2312"/>
                <w:b/>
                <w:color w:val="auto"/>
                <w:kern w:val="0"/>
                <w:sz w:val="21"/>
                <w:szCs w:val="21"/>
              </w:rPr>
            </w:pPr>
          </w:p>
        </w:tc>
        <w:tc>
          <w:tcPr>
            <w:tcW w:w="3767" w:type="pct"/>
            <w:gridSpan w:val="3"/>
            <w:noWrap w:val="0"/>
            <w:vAlign w:val="center"/>
          </w:tcPr>
          <w:p w14:paraId="177E3D9A">
            <w:pPr>
              <w:widowControl/>
              <w:spacing w:line="400" w:lineRule="exact"/>
              <w:ind w:left="0" w:leftChars="0" w:right="-160" w:rightChars="-50" w:firstLine="0" w:firstLineChars="0"/>
              <w:jc w:val="left"/>
              <w:rPr>
                <w:rFonts w:hint="default" w:ascii="仿宋_GB2312" w:hAnsi="微软雅黑" w:eastAsia="仿宋_GB2312" w:cs="宋体"/>
                <w:color w:val="auto"/>
                <w:kern w:val="0"/>
                <w:sz w:val="21"/>
                <w:szCs w:val="21"/>
                <w:highlight w:val="none"/>
                <w:lang w:val="en-US" w:eastAsia="zh-CN" w:bidi="ar-SA"/>
              </w:rPr>
            </w:pPr>
            <w:r>
              <w:rPr>
                <w:rFonts w:hint="eastAsia" w:ascii="仿宋_GB2312" w:hAnsi="微软雅黑" w:eastAsia="仿宋_GB2312" w:cs="宋体"/>
                <w:color w:val="auto"/>
                <w:kern w:val="0"/>
                <w:sz w:val="21"/>
                <w:szCs w:val="21"/>
                <w:highlight w:val="none"/>
              </w:rPr>
              <w:t>在造价管理部门组织的成果文件</w:t>
            </w:r>
            <w:r>
              <w:rPr>
                <w:rFonts w:hint="eastAsia" w:ascii="仿宋_GB2312" w:hAnsi="微软雅黑" w:eastAsia="仿宋_GB2312" w:cs="宋体"/>
                <w:color w:val="auto"/>
                <w:kern w:val="0"/>
                <w:sz w:val="21"/>
                <w:szCs w:val="21"/>
                <w:highlight w:val="none"/>
                <w:lang w:eastAsia="zh-CN"/>
              </w:rPr>
              <w:t>专项</w:t>
            </w:r>
            <w:r>
              <w:rPr>
                <w:rFonts w:hint="eastAsia" w:ascii="仿宋_GB2312" w:hAnsi="微软雅黑" w:eastAsia="仿宋_GB2312" w:cs="宋体"/>
                <w:color w:val="auto"/>
                <w:kern w:val="0"/>
                <w:sz w:val="21"/>
                <w:szCs w:val="21"/>
                <w:highlight w:val="none"/>
              </w:rPr>
              <w:t>检查中</w:t>
            </w:r>
            <w:r>
              <w:rPr>
                <w:rFonts w:hint="eastAsia" w:ascii="仿宋_GB2312" w:hAnsi="微软雅黑" w:eastAsia="仿宋_GB2312" w:cs="宋体"/>
                <w:color w:val="auto"/>
                <w:kern w:val="0"/>
                <w:sz w:val="21"/>
                <w:szCs w:val="21"/>
                <w:highlight w:val="none"/>
                <w:lang w:eastAsia="zh-CN"/>
              </w:rPr>
              <w:t>，成果</w:t>
            </w:r>
            <w:r>
              <w:rPr>
                <w:rFonts w:hint="eastAsia" w:ascii="仿宋_GB2312" w:hAnsi="微软雅黑" w:eastAsia="仿宋_GB2312" w:cs="宋体"/>
                <w:color w:val="auto"/>
                <w:kern w:val="0"/>
                <w:sz w:val="21"/>
                <w:szCs w:val="21"/>
                <w:lang w:eastAsia="zh-CN"/>
              </w:rPr>
              <w:t>质量较差</w:t>
            </w:r>
          </w:p>
        </w:tc>
        <w:tc>
          <w:tcPr>
            <w:tcW w:w="782" w:type="pct"/>
            <w:noWrap w:val="0"/>
            <w:vAlign w:val="center"/>
          </w:tcPr>
          <w:p w14:paraId="1FF78267">
            <w:pPr>
              <w:widowControl/>
              <w:spacing w:line="400" w:lineRule="exact"/>
              <w:ind w:left="0" w:leftChars="0" w:right="-51" w:rightChars="-16" w:firstLine="0" w:firstLineChars="0"/>
              <w:jc w:val="center"/>
              <w:rPr>
                <w:rFonts w:hint="default" w:ascii="仿宋_GB2312" w:hAnsi="微软雅黑" w:eastAsia="仿宋_GB2312" w:cs="宋体"/>
                <w:color w:val="auto"/>
                <w:kern w:val="0"/>
                <w:sz w:val="21"/>
                <w:szCs w:val="21"/>
                <w:lang w:val="en-US" w:eastAsia="zh-CN" w:bidi="ar-SA"/>
              </w:rPr>
            </w:pPr>
            <w:r>
              <w:rPr>
                <w:rFonts w:hint="eastAsia" w:ascii="仿宋_GB2312" w:hAnsi="微软雅黑" w:eastAsia="仿宋_GB2312" w:cs="宋体"/>
                <w:color w:val="auto"/>
                <w:kern w:val="0"/>
                <w:sz w:val="21"/>
                <w:szCs w:val="21"/>
                <w:lang w:val="en-US" w:eastAsia="zh-CN"/>
              </w:rPr>
              <w:t>记</w:t>
            </w:r>
            <w:r>
              <w:rPr>
                <w:rFonts w:hint="eastAsia" w:ascii="仿宋_GB2312" w:hAnsi="微软雅黑" w:cs="宋体"/>
                <w:color w:val="auto"/>
                <w:kern w:val="0"/>
                <w:sz w:val="21"/>
                <w:szCs w:val="21"/>
                <w:lang w:val="en-US" w:eastAsia="zh-CN"/>
              </w:rPr>
              <w:t>2</w:t>
            </w:r>
            <w:r>
              <w:rPr>
                <w:rFonts w:hint="eastAsia" w:ascii="仿宋_GB2312" w:hAnsi="微软雅黑" w:eastAsia="仿宋_GB2312" w:cs="宋体"/>
                <w:color w:val="auto"/>
                <w:kern w:val="0"/>
                <w:sz w:val="21"/>
                <w:szCs w:val="21"/>
              </w:rPr>
              <w:t>分</w:t>
            </w:r>
          </w:p>
        </w:tc>
      </w:tr>
      <w:tr w14:paraId="6031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0" w:type="pct"/>
            <w:vMerge w:val="continue"/>
            <w:noWrap w:val="0"/>
            <w:vAlign w:val="center"/>
          </w:tcPr>
          <w:p w14:paraId="0FD9E1A0">
            <w:pPr>
              <w:widowControl/>
              <w:spacing w:line="400" w:lineRule="exact"/>
              <w:ind w:left="0" w:leftChars="0" w:right="-60" w:rightChars="-19" w:hanging="10" w:firstLineChars="0"/>
              <w:rPr>
                <w:rFonts w:hint="eastAsia" w:ascii="仿宋_GB2312" w:hAnsi="仿宋_GB2312" w:eastAsia="仿宋_GB2312" w:cs="仿宋_GB2312"/>
                <w:b/>
                <w:color w:val="auto"/>
                <w:kern w:val="0"/>
                <w:sz w:val="21"/>
                <w:szCs w:val="21"/>
              </w:rPr>
            </w:pPr>
          </w:p>
        </w:tc>
        <w:tc>
          <w:tcPr>
            <w:tcW w:w="3767" w:type="pct"/>
            <w:gridSpan w:val="3"/>
            <w:noWrap w:val="0"/>
            <w:vAlign w:val="center"/>
          </w:tcPr>
          <w:p w14:paraId="743482C0">
            <w:pPr>
              <w:widowControl/>
              <w:spacing w:line="400" w:lineRule="exact"/>
              <w:ind w:left="0" w:leftChars="0" w:right="-160" w:rightChars="-50" w:firstLine="0" w:firstLineChars="0"/>
              <w:jc w:val="left"/>
              <w:rPr>
                <w:rFonts w:hint="eastAsia" w:ascii="仿宋_GB2312" w:hAnsi="微软雅黑" w:eastAsia="仿宋_GB2312" w:cs="宋体"/>
                <w:color w:val="auto"/>
                <w:kern w:val="0"/>
                <w:sz w:val="21"/>
                <w:szCs w:val="21"/>
                <w:highlight w:val="none"/>
                <w:lang w:eastAsia="zh-CN"/>
              </w:rPr>
            </w:pPr>
            <w:r>
              <w:rPr>
                <w:rFonts w:hint="eastAsia" w:ascii="仿宋_GB2312" w:hAnsi="微软雅黑" w:eastAsia="仿宋_GB2312" w:cs="宋体"/>
                <w:color w:val="auto"/>
                <w:kern w:val="0"/>
                <w:sz w:val="21"/>
                <w:szCs w:val="21"/>
                <w:highlight w:val="none"/>
                <w:lang w:val="en-US" w:eastAsia="zh-CN"/>
              </w:rPr>
              <w:t>延误、逃避</w:t>
            </w:r>
            <w:r>
              <w:rPr>
                <w:rFonts w:hint="default" w:ascii="仿宋_GB2312" w:hAnsi="微软雅黑" w:cs="宋体"/>
                <w:color w:val="auto"/>
                <w:kern w:val="0"/>
                <w:sz w:val="21"/>
                <w:szCs w:val="21"/>
                <w:highlight w:val="none"/>
                <w:lang w:val="en" w:eastAsia="zh-CN"/>
              </w:rPr>
              <w:t>建设行政主管部门</w:t>
            </w:r>
            <w:r>
              <w:rPr>
                <w:rFonts w:hint="eastAsia" w:ascii="仿宋_GB2312" w:hAnsi="微软雅黑" w:eastAsia="仿宋_GB2312" w:cs="宋体"/>
                <w:color w:val="auto"/>
                <w:kern w:val="0"/>
                <w:sz w:val="21"/>
                <w:szCs w:val="21"/>
                <w:highlight w:val="none"/>
                <w:lang w:val="en-US" w:eastAsia="zh-CN"/>
              </w:rPr>
              <w:t>依法实施的监督检查</w:t>
            </w:r>
          </w:p>
        </w:tc>
        <w:tc>
          <w:tcPr>
            <w:tcW w:w="782" w:type="pct"/>
            <w:noWrap w:val="0"/>
            <w:vAlign w:val="center"/>
          </w:tcPr>
          <w:p w14:paraId="4F3DB54B">
            <w:pPr>
              <w:widowControl/>
              <w:spacing w:line="400" w:lineRule="exact"/>
              <w:ind w:left="0" w:leftChars="0" w:right="-51" w:rightChars="-16" w:firstLine="0" w:firstLineChars="0"/>
              <w:jc w:val="center"/>
              <w:rPr>
                <w:rFonts w:hint="eastAsia" w:ascii="仿宋_GB2312" w:hAnsi="微软雅黑" w:eastAsia="仿宋_GB2312" w:cs="宋体"/>
                <w:color w:val="auto"/>
                <w:kern w:val="0"/>
                <w:sz w:val="21"/>
                <w:szCs w:val="21"/>
              </w:rPr>
            </w:pPr>
            <w:r>
              <w:rPr>
                <w:rFonts w:hint="eastAsia" w:ascii="仿宋_GB2312" w:hAnsi="微软雅黑" w:eastAsia="仿宋_GB2312" w:cs="宋体"/>
                <w:color w:val="auto"/>
                <w:kern w:val="0"/>
                <w:sz w:val="21"/>
                <w:szCs w:val="21"/>
                <w:lang w:val="en-US" w:eastAsia="zh-CN"/>
              </w:rPr>
              <w:t>记3</w:t>
            </w:r>
            <w:r>
              <w:rPr>
                <w:rFonts w:hint="eastAsia" w:ascii="仿宋_GB2312" w:hAnsi="微软雅黑" w:eastAsia="仿宋_GB2312" w:cs="宋体"/>
                <w:color w:val="auto"/>
                <w:kern w:val="0"/>
                <w:sz w:val="21"/>
                <w:szCs w:val="21"/>
              </w:rPr>
              <w:t>分</w:t>
            </w:r>
          </w:p>
        </w:tc>
      </w:tr>
      <w:tr w14:paraId="7DB3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0" w:type="pct"/>
            <w:vMerge w:val="continue"/>
            <w:noWrap w:val="0"/>
            <w:vAlign w:val="center"/>
          </w:tcPr>
          <w:p w14:paraId="18A21493">
            <w:pPr>
              <w:widowControl/>
              <w:spacing w:line="400" w:lineRule="exact"/>
              <w:ind w:left="0" w:leftChars="0" w:right="-60" w:rightChars="-19" w:hanging="10" w:firstLineChars="0"/>
              <w:rPr>
                <w:rFonts w:hint="eastAsia" w:ascii="仿宋_GB2312" w:hAnsi="仿宋_GB2312" w:eastAsia="仿宋_GB2312" w:cs="仿宋_GB2312"/>
                <w:b/>
                <w:color w:val="auto"/>
                <w:kern w:val="0"/>
                <w:sz w:val="21"/>
                <w:szCs w:val="21"/>
              </w:rPr>
            </w:pPr>
          </w:p>
        </w:tc>
        <w:tc>
          <w:tcPr>
            <w:tcW w:w="3767" w:type="pct"/>
            <w:gridSpan w:val="3"/>
            <w:noWrap w:val="0"/>
            <w:vAlign w:val="center"/>
          </w:tcPr>
          <w:p w14:paraId="21D3D690">
            <w:pPr>
              <w:widowControl/>
              <w:spacing w:line="400" w:lineRule="exact"/>
              <w:ind w:left="0" w:leftChars="0" w:right="-160" w:rightChars="-50" w:firstLine="0" w:firstLineChars="0"/>
              <w:jc w:val="left"/>
              <w:rPr>
                <w:rFonts w:hint="eastAsia" w:ascii="仿宋_GB2312" w:hAnsi="微软雅黑" w:eastAsia="仿宋_GB2312" w:cs="宋体"/>
                <w:color w:val="auto"/>
                <w:kern w:val="0"/>
                <w:sz w:val="21"/>
                <w:szCs w:val="21"/>
                <w:highlight w:val="none"/>
                <w:lang w:eastAsia="zh-CN"/>
              </w:rPr>
            </w:pPr>
            <w:r>
              <w:rPr>
                <w:rFonts w:hint="eastAsia" w:ascii="仿宋_GB2312" w:hAnsi="微软雅黑" w:cs="宋体"/>
                <w:color w:val="auto"/>
                <w:kern w:val="0"/>
                <w:sz w:val="21"/>
                <w:szCs w:val="21"/>
                <w:highlight w:val="none"/>
                <w:lang w:val="en-US" w:eastAsia="zh-CN"/>
              </w:rPr>
              <w:t>被本市以外县级以上</w:t>
            </w:r>
            <w:r>
              <w:rPr>
                <w:rFonts w:hint="default" w:ascii="仿宋_GB2312" w:hAnsi="微软雅黑" w:cs="宋体"/>
                <w:color w:val="auto"/>
                <w:kern w:val="0"/>
                <w:sz w:val="21"/>
                <w:szCs w:val="21"/>
                <w:highlight w:val="none"/>
                <w:lang w:val="en" w:eastAsia="zh-CN"/>
              </w:rPr>
              <w:t>建设行政主管部门</w:t>
            </w:r>
            <w:r>
              <w:rPr>
                <w:rFonts w:hint="eastAsia" w:ascii="仿宋_GB2312" w:hAnsi="微软雅黑" w:eastAsia="仿宋_GB2312" w:cs="宋体"/>
                <w:color w:val="auto"/>
                <w:kern w:val="0"/>
                <w:sz w:val="21"/>
                <w:szCs w:val="21"/>
                <w:highlight w:val="none"/>
                <w:lang w:val="en-US" w:eastAsia="zh-CN"/>
              </w:rPr>
              <w:t>给予处罚处理</w:t>
            </w:r>
          </w:p>
        </w:tc>
        <w:tc>
          <w:tcPr>
            <w:tcW w:w="782" w:type="pct"/>
            <w:noWrap w:val="0"/>
            <w:vAlign w:val="center"/>
          </w:tcPr>
          <w:p w14:paraId="47359CBE">
            <w:pPr>
              <w:widowControl/>
              <w:spacing w:line="400" w:lineRule="exact"/>
              <w:ind w:left="0" w:leftChars="0" w:right="-51" w:rightChars="-16" w:firstLine="0" w:firstLineChars="0"/>
              <w:jc w:val="center"/>
              <w:rPr>
                <w:rFonts w:hint="eastAsia" w:ascii="仿宋_GB2312" w:hAnsi="微软雅黑" w:eastAsia="仿宋_GB2312" w:cs="宋体"/>
                <w:color w:val="auto"/>
                <w:kern w:val="0"/>
                <w:sz w:val="21"/>
                <w:szCs w:val="21"/>
              </w:rPr>
            </w:pPr>
            <w:r>
              <w:rPr>
                <w:rFonts w:hint="eastAsia" w:ascii="仿宋_GB2312" w:hAnsi="微软雅黑" w:eastAsia="仿宋_GB2312" w:cs="宋体"/>
                <w:color w:val="auto"/>
                <w:kern w:val="0"/>
                <w:sz w:val="21"/>
                <w:szCs w:val="21"/>
                <w:lang w:eastAsia="zh-CN"/>
              </w:rPr>
              <w:t>记</w:t>
            </w:r>
            <w:r>
              <w:rPr>
                <w:rFonts w:hint="eastAsia" w:ascii="仿宋_GB2312" w:hAnsi="微软雅黑" w:eastAsia="仿宋_GB2312" w:cs="宋体"/>
                <w:color w:val="auto"/>
                <w:kern w:val="0"/>
                <w:sz w:val="21"/>
                <w:szCs w:val="21"/>
                <w:lang w:val="en-US" w:eastAsia="zh-CN"/>
              </w:rPr>
              <w:t>3</w:t>
            </w:r>
            <w:r>
              <w:rPr>
                <w:rFonts w:hint="eastAsia" w:ascii="仿宋_GB2312" w:hAnsi="微软雅黑" w:eastAsia="仿宋_GB2312" w:cs="宋体"/>
                <w:color w:val="auto"/>
                <w:kern w:val="0"/>
                <w:sz w:val="21"/>
                <w:szCs w:val="21"/>
              </w:rPr>
              <w:t>分</w:t>
            </w:r>
          </w:p>
        </w:tc>
      </w:tr>
      <w:tr w14:paraId="0176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0" w:type="pct"/>
            <w:vMerge w:val="continue"/>
            <w:noWrap w:val="0"/>
            <w:vAlign w:val="center"/>
          </w:tcPr>
          <w:p w14:paraId="115B5FD9">
            <w:pPr>
              <w:widowControl/>
              <w:spacing w:line="400" w:lineRule="exact"/>
              <w:ind w:left="0" w:leftChars="0" w:right="-60" w:rightChars="-19" w:hanging="10" w:firstLineChars="0"/>
              <w:rPr>
                <w:rFonts w:hint="eastAsia" w:ascii="仿宋_GB2312" w:hAnsi="仿宋_GB2312" w:eastAsia="仿宋_GB2312" w:cs="仿宋_GB2312"/>
                <w:b/>
                <w:color w:val="auto"/>
                <w:kern w:val="0"/>
                <w:sz w:val="21"/>
                <w:szCs w:val="21"/>
              </w:rPr>
            </w:pPr>
          </w:p>
        </w:tc>
        <w:tc>
          <w:tcPr>
            <w:tcW w:w="3767" w:type="pct"/>
            <w:gridSpan w:val="3"/>
            <w:noWrap w:val="0"/>
            <w:vAlign w:val="center"/>
          </w:tcPr>
          <w:p w14:paraId="56D14283">
            <w:pPr>
              <w:widowControl/>
              <w:spacing w:line="400" w:lineRule="exact"/>
              <w:ind w:left="0" w:leftChars="0" w:right="-160" w:rightChars="-50" w:firstLine="0" w:firstLineChars="0"/>
              <w:jc w:val="left"/>
              <w:rPr>
                <w:rFonts w:hint="eastAsia" w:ascii="仿宋_GB2312" w:hAnsi="微软雅黑" w:cs="宋体"/>
                <w:color w:val="auto"/>
                <w:kern w:val="0"/>
                <w:sz w:val="21"/>
                <w:szCs w:val="21"/>
                <w:highlight w:val="none"/>
                <w:lang w:val="en-US" w:eastAsia="zh-CN"/>
              </w:rPr>
            </w:pPr>
            <w:r>
              <w:rPr>
                <w:rFonts w:hint="eastAsia" w:ascii="仿宋_GB2312" w:hAnsi="微软雅黑" w:cs="宋体"/>
                <w:color w:val="auto"/>
                <w:kern w:val="0"/>
                <w:sz w:val="21"/>
                <w:szCs w:val="21"/>
                <w:lang w:eastAsia="zh-CN"/>
              </w:rPr>
              <w:t>聘用企业年度评价为差</w:t>
            </w:r>
          </w:p>
        </w:tc>
        <w:tc>
          <w:tcPr>
            <w:tcW w:w="782" w:type="pct"/>
            <w:noWrap w:val="0"/>
            <w:vAlign w:val="center"/>
          </w:tcPr>
          <w:p w14:paraId="6C8DC273">
            <w:pPr>
              <w:widowControl/>
              <w:spacing w:line="400" w:lineRule="exact"/>
              <w:ind w:left="0" w:leftChars="0" w:right="-51" w:rightChars="-16" w:firstLine="0" w:firstLineChars="0"/>
              <w:jc w:val="center"/>
              <w:rPr>
                <w:rFonts w:hint="eastAsia" w:ascii="仿宋_GB2312" w:hAnsi="微软雅黑" w:eastAsia="仿宋_GB2312" w:cs="宋体"/>
                <w:color w:val="auto"/>
                <w:kern w:val="0"/>
                <w:sz w:val="21"/>
                <w:szCs w:val="21"/>
                <w:lang w:eastAsia="zh-CN"/>
              </w:rPr>
            </w:pPr>
            <w:r>
              <w:rPr>
                <w:rFonts w:hint="eastAsia" w:ascii="仿宋_GB2312" w:hAnsi="微软雅黑" w:eastAsia="仿宋_GB2312" w:cs="宋体"/>
                <w:color w:val="auto"/>
                <w:kern w:val="0"/>
                <w:sz w:val="21"/>
                <w:szCs w:val="21"/>
                <w:lang w:eastAsia="zh-CN"/>
              </w:rPr>
              <w:t>记</w:t>
            </w:r>
            <w:r>
              <w:rPr>
                <w:rFonts w:hint="eastAsia" w:ascii="仿宋_GB2312" w:hAnsi="微软雅黑" w:eastAsia="仿宋_GB2312" w:cs="宋体"/>
                <w:color w:val="auto"/>
                <w:kern w:val="0"/>
                <w:sz w:val="21"/>
                <w:szCs w:val="21"/>
                <w:lang w:val="en-US" w:eastAsia="zh-CN"/>
              </w:rPr>
              <w:t>3</w:t>
            </w:r>
            <w:r>
              <w:rPr>
                <w:rFonts w:hint="eastAsia" w:ascii="仿宋_GB2312" w:hAnsi="微软雅黑" w:eastAsia="仿宋_GB2312" w:cs="宋体"/>
                <w:color w:val="auto"/>
                <w:kern w:val="0"/>
                <w:sz w:val="21"/>
                <w:szCs w:val="21"/>
              </w:rPr>
              <w:t>分</w:t>
            </w:r>
          </w:p>
        </w:tc>
      </w:tr>
      <w:tr w14:paraId="479C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0" w:type="pct"/>
            <w:vMerge w:val="continue"/>
            <w:noWrap w:val="0"/>
            <w:vAlign w:val="center"/>
          </w:tcPr>
          <w:p w14:paraId="33DE1D4F">
            <w:pPr>
              <w:widowControl/>
              <w:spacing w:line="400" w:lineRule="exact"/>
              <w:ind w:left="0" w:leftChars="0" w:right="-60" w:rightChars="-19" w:hanging="10" w:firstLineChars="0"/>
              <w:rPr>
                <w:rFonts w:hint="eastAsia" w:ascii="仿宋_GB2312" w:hAnsi="仿宋_GB2312" w:eastAsia="仿宋_GB2312" w:cs="仿宋_GB2312"/>
                <w:b/>
                <w:color w:val="auto"/>
                <w:kern w:val="0"/>
                <w:sz w:val="21"/>
                <w:szCs w:val="21"/>
              </w:rPr>
            </w:pPr>
          </w:p>
        </w:tc>
        <w:tc>
          <w:tcPr>
            <w:tcW w:w="3767" w:type="pct"/>
            <w:gridSpan w:val="3"/>
            <w:noWrap w:val="0"/>
            <w:vAlign w:val="center"/>
          </w:tcPr>
          <w:p w14:paraId="20D9393A">
            <w:pPr>
              <w:widowControl/>
              <w:spacing w:line="400" w:lineRule="exact"/>
              <w:ind w:left="0" w:leftChars="0" w:right="-160" w:rightChars="-50" w:firstLine="0" w:firstLineChars="0"/>
              <w:jc w:val="left"/>
              <w:rPr>
                <w:rFonts w:hint="eastAsia" w:ascii="仿宋_GB2312" w:hAnsi="微软雅黑" w:cs="宋体"/>
                <w:color w:val="auto"/>
                <w:kern w:val="0"/>
                <w:sz w:val="21"/>
                <w:szCs w:val="21"/>
                <w:lang w:eastAsia="zh-CN"/>
              </w:rPr>
            </w:pPr>
            <w:r>
              <w:rPr>
                <w:rFonts w:hint="eastAsia" w:ascii="仿宋_GB2312" w:hAnsi="微软雅黑" w:cs="宋体"/>
                <w:color w:val="auto"/>
                <w:kern w:val="0"/>
                <w:sz w:val="21"/>
                <w:szCs w:val="21"/>
                <w:lang w:eastAsia="zh-CN"/>
              </w:rPr>
              <w:t>委托方项目评价为差</w:t>
            </w:r>
          </w:p>
        </w:tc>
        <w:tc>
          <w:tcPr>
            <w:tcW w:w="782" w:type="pct"/>
            <w:noWrap w:val="0"/>
            <w:vAlign w:val="center"/>
          </w:tcPr>
          <w:p w14:paraId="1728B1B7">
            <w:pPr>
              <w:widowControl/>
              <w:spacing w:line="400" w:lineRule="exact"/>
              <w:ind w:left="0" w:leftChars="0" w:right="-51" w:rightChars="-16" w:firstLine="0" w:firstLineChars="0"/>
              <w:jc w:val="center"/>
              <w:rPr>
                <w:rFonts w:hint="default" w:ascii="仿宋_GB2312" w:hAnsi="微软雅黑" w:cs="宋体"/>
                <w:color w:val="auto"/>
                <w:kern w:val="0"/>
                <w:sz w:val="21"/>
                <w:szCs w:val="21"/>
                <w:lang w:val="en-US" w:eastAsia="zh-CN"/>
              </w:rPr>
            </w:pPr>
            <w:r>
              <w:rPr>
                <w:rFonts w:hint="eastAsia" w:ascii="仿宋_GB2312" w:hAnsi="微软雅黑" w:cs="宋体"/>
                <w:color w:val="auto"/>
                <w:kern w:val="0"/>
                <w:sz w:val="21"/>
                <w:szCs w:val="21"/>
                <w:lang w:eastAsia="zh-CN"/>
              </w:rPr>
              <w:t>每项记</w:t>
            </w:r>
            <w:r>
              <w:rPr>
                <w:rFonts w:hint="eastAsia" w:ascii="仿宋_GB2312" w:hAnsi="微软雅黑" w:cs="宋体"/>
                <w:color w:val="auto"/>
                <w:kern w:val="0"/>
                <w:sz w:val="21"/>
                <w:szCs w:val="21"/>
                <w:lang w:val="en-US" w:eastAsia="zh-CN"/>
              </w:rPr>
              <w:t>1分，最多记3分</w:t>
            </w:r>
          </w:p>
        </w:tc>
      </w:tr>
      <w:tr w14:paraId="0D08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0" w:type="pct"/>
            <w:vMerge w:val="continue"/>
            <w:noWrap w:val="0"/>
            <w:vAlign w:val="center"/>
          </w:tcPr>
          <w:p w14:paraId="7C68650C">
            <w:pPr>
              <w:widowControl/>
              <w:spacing w:line="400" w:lineRule="exact"/>
              <w:ind w:left="0" w:leftChars="0" w:right="-60" w:rightChars="-19" w:hanging="10" w:firstLineChars="0"/>
              <w:rPr>
                <w:rFonts w:hint="eastAsia" w:ascii="仿宋_GB2312" w:hAnsi="仿宋_GB2312" w:eastAsia="仿宋_GB2312" w:cs="仿宋_GB2312"/>
                <w:b/>
                <w:color w:val="auto"/>
                <w:kern w:val="0"/>
                <w:sz w:val="21"/>
                <w:szCs w:val="21"/>
              </w:rPr>
            </w:pPr>
          </w:p>
        </w:tc>
        <w:tc>
          <w:tcPr>
            <w:tcW w:w="3767" w:type="pct"/>
            <w:gridSpan w:val="3"/>
            <w:noWrap w:val="0"/>
            <w:vAlign w:val="center"/>
          </w:tcPr>
          <w:p w14:paraId="3B24C687">
            <w:pPr>
              <w:widowControl/>
              <w:spacing w:line="400" w:lineRule="exact"/>
              <w:ind w:left="0" w:leftChars="0" w:right="-160" w:rightChars="-50" w:firstLine="0" w:firstLineChars="0"/>
              <w:jc w:val="left"/>
              <w:rPr>
                <w:rFonts w:hint="eastAsia" w:ascii="仿宋_GB2312" w:hAnsi="微软雅黑" w:eastAsia="仿宋_GB2312" w:cs="宋体"/>
                <w:color w:val="auto"/>
                <w:kern w:val="0"/>
                <w:sz w:val="21"/>
                <w:szCs w:val="21"/>
                <w:highlight w:val="none"/>
                <w:lang w:eastAsia="zh-CN"/>
              </w:rPr>
            </w:pPr>
            <w:r>
              <w:rPr>
                <w:rFonts w:hint="eastAsia" w:ascii="仿宋_GB2312" w:hAnsi="微软雅黑" w:eastAsia="仿宋_GB2312" w:cs="宋体"/>
                <w:color w:val="auto"/>
                <w:kern w:val="0"/>
                <w:sz w:val="21"/>
                <w:szCs w:val="21"/>
                <w:lang w:eastAsia="zh-CN"/>
              </w:rPr>
              <w:t>上述情况外的</w:t>
            </w:r>
            <w:r>
              <w:rPr>
                <w:rFonts w:hint="eastAsia" w:ascii="仿宋_GB2312" w:hAnsi="微软雅黑" w:eastAsia="仿宋_GB2312" w:cs="宋体"/>
                <w:color w:val="auto"/>
                <w:kern w:val="0"/>
                <w:sz w:val="21"/>
                <w:szCs w:val="21"/>
              </w:rPr>
              <w:t>从业人员</w:t>
            </w:r>
            <w:r>
              <w:rPr>
                <w:rFonts w:hint="eastAsia" w:ascii="仿宋_GB2312" w:hAnsi="宋体" w:eastAsia="仿宋_GB2312" w:cs="宋体"/>
                <w:color w:val="auto"/>
                <w:kern w:val="0"/>
                <w:sz w:val="21"/>
                <w:szCs w:val="21"/>
                <w:lang w:eastAsia="zh-CN"/>
              </w:rPr>
              <w:t>违法违规行为</w:t>
            </w:r>
          </w:p>
        </w:tc>
        <w:tc>
          <w:tcPr>
            <w:tcW w:w="782" w:type="pct"/>
            <w:noWrap w:val="0"/>
            <w:vAlign w:val="center"/>
          </w:tcPr>
          <w:p w14:paraId="2F18BDE1">
            <w:pPr>
              <w:widowControl/>
              <w:spacing w:line="400" w:lineRule="exact"/>
              <w:ind w:left="0" w:leftChars="0" w:right="-160" w:rightChars="-50" w:firstLine="0" w:firstLineChars="0"/>
              <w:jc w:val="left"/>
              <w:rPr>
                <w:rFonts w:hint="eastAsia" w:ascii="仿宋_GB2312" w:hAnsi="微软雅黑" w:eastAsia="仿宋_GB2312" w:cs="宋体"/>
                <w:color w:val="auto"/>
                <w:kern w:val="0"/>
                <w:sz w:val="21"/>
                <w:szCs w:val="21"/>
                <w:lang w:val="en-US" w:eastAsia="zh-CN"/>
              </w:rPr>
            </w:pPr>
            <w:r>
              <w:rPr>
                <w:rFonts w:hint="eastAsia" w:ascii="仿宋_GB2312" w:hAnsi="微软雅黑" w:eastAsia="仿宋_GB2312" w:cs="宋体"/>
                <w:color w:val="auto"/>
                <w:kern w:val="0"/>
                <w:sz w:val="21"/>
                <w:szCs w:val="21"/>
                <w:lang w:eastAsia="zh-CN"/>
              </w:rPr>
              <w:t>按</w:t>
            </w:r>
            <w:r>
              <w:rPr>
                <w:rFonts w:hint="eastAsia" w:ascii="仿宋_GB2312" w:hAnsi="微软雅黑" w:eastAsia="仿宋_GB2312" w:cs="宋体"/>
                <w:color w:val="auto"/>
                <w:kern w:val="0"/>
                <w:sz w:val="21"/>
                <w:szCs w:val="21"/>
              </w:rPr>
              <w:t>《北京市工程造价咨询企业及从业人员违法违规行为记分标准》</w:t>
            </w:r>
            <w:r>
              <w:rPr>
                <w:rFonts w:hint="eastAsia" w:ascii="仿宋_GB2312" w:hAnsi="微软雅黑" w:eastAsia="仿宋_GB2312" w:cs="宋体"/>
                <w:color w:val="auto"/>
                <w:kern w:val="0"/>
                <w:sz w:val="21"/>
                <w:szCs w:val="21"/>
                <w:lang w:eastAsia="zh-CN"/>
              </w:rPr>
              <w:t>执行</w:t>
            </w:r>
          </w:p>
        </w:tc>
      </w:tr>
      <w:tr w14:paraId="3131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50" w:type="pct"/>
            <w:noWrap w:val="0"/>
            <w:vAlign w:val="center"/>
          </w:tcPr>
          <w:p w14:paraId="57F4F028">
            <w:pPr>
              <w:widowControl/>
              <w:spacing w:line="400" w:lineRule="exact"/>
              <w:ind w:left="0" w:leftChars="0" w:right="-60" w:rightChars="-19" w:hanging="1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b/>
                <w:color w:val="auto"/>
                <w:kern w:val="0"/>
                <w:sz w:val="21"/>
                <w:szCs w:val="21"/>
              </w:rPr>
              <w:t>说明</w:t>
            </w:r>
          </w:p>
        </w:tc>
        <w:tc>
          <w:tcPr>
            <w:tcW w:w="4549" w:type="pct"/>
            <w:gridSpan w:val="4"/>
            <w:noWrap w:val="0"/>
            <w:vAlign w:val="top"/>
          </w:tcPr>
          <w:p w14:paraId="3DF6EC0C">
            <w:pPr>
              <w:widowControl/>
              <w:spacing w:line="400" w:lineRule="exact"/>
              <w:ind w:left="-1" w:leftChars="-12" w:right="-70" w:rightChars="-22" w:hanging="37" w:hangingChars="18"/>
              <w:jc w:val="both"/>
              <w:rPr>
                <w:rFonts w:hint="eastAsia" w:ascii="仿宋_GB2312" w:hAnsi="微软雅黑" w:eastAsia="仿宋_GB2312" w:cs="宋体"/>
                <w:color w:val="auto"/>
                <w:kern w:val="0"/>
                <w:sz w:val="21"/>
                <w:szCs w:val="21"/>
                <w:lang w:eastAsia="zh-CN"/>
              </w:rPr>
            </w:pPr>
            <w:r>
              <w:rPr>
                <w:rFonts w:hint="eastAsia" w:ascii="仿宋_GB2312" w:hAnsi="微软雅黑" w:eastAsia="仿宋_GB2312" w:cs="宋体"/>
                <w:color w:val="auto"/>
                <w:kern w:val="0"/>
                <w:sz w:val="21"/>
                <w:szCs w:val="21"/>
              </w:rPr>
              <w:t>1.</w:t>
            </w:r>
            <w:r>
              <w:rPr>
                <w:rFonts w:hint="eastAsia" w:ascii="仿宋_GB2312" w:hAnsi="微软雅黑" w:eastAsia="仿宋_GB2312" w:cs="宋体"/>
                <w:color w:val="auto"/>
                <w:kern w:val="0"/>
                <w:sz w:val="21"/>
                <w:szCs w:val="21"/>
                <w:lang w:eastAsia="zh-CN"/>
              </w:rPr>
              <w:t>初始分值为</w:t>
            </w:r>
            <w:r>
              <w:rPr>
                <w:rFonts w:hint="eastAsia" w:ascii="仿宋_GB2312" w:hAnsi="微软雅黑" w:eastAsia="仿宋_GB2312" w:cs="宋体"/>
                <w:color w:val="auto"/>
                <w:kern w:val="0"/>
                <w:sz w:val="21"/>
                <w:szCs w:val="21"/>
                <w:lang w:val="en-US" w:eastAsia="zh-CN"/>
              </w:rPr>
              <w:t>60分，</w:t>
            </w:r>
            <w:r>
              <w:rPr>
                <w:rFonts w:hint="eastAsia" w:ascii="仿宋_GB2312" w:hAnsi="微软雅黑" w:eastAsia="仿宋_GB2312" w:cs="宋体"/>
                <w:color w:val="auto"/>
                <w:kern w:val="0"/>
                <w:sz w:val="21"/>
                <w:szCs w:val="21"/>
                <w:lang w:eastAsia="zh-CN"/>
              </w:rPr>
              <w:t>良好信息为加分项，不良信息为减分项；</w:t>
            </w:r>
          </w:p>
          <w:p w14:paraId="43CC5A5C">
            <w:pPr>
              <w:widowControl/>
              <w:spacing w:line="400" w:lineRule="exact"/>
              <w:ind w:left="-1" w:leftChars="-12" w:right="-70" w:rightChars="-22" w:hanging="37" w:hangingChars="18"/>
              <w:jc w:val="both"/>
              <w:rPr>
                <w:rFonts w:ascii="仿宋_GB2312" w:hAnsi="宋体" w:eastAsia="仿宋_GB2312" w:cs="宋体"/>
                <w:color w:val="auto"/>
                <w:kern w:val="0"/>
                <w:sz w:val="21"/>
                <w:szCs w:val="21"/>
              </w:rPr>
            </w:pPr>
            <w:r>
              <w:rPr>
                <w:rFonts w:hint="eastAsia" w:ascii="仿宋_GB2312" w:hAnsi="微软雅黑" w:eastAsia="仿宋_GB2312" w:cs="宋体"/>
                <w:color w:val="auto"/>
                <w:kern w:val="0"/>
                <w:sz w:val="21"/>
                <w:szCs w:val="21"/>
                <w:lang w:val="en-US" w:eastAsia="zh-CN"/>
              </w:rPr>
              <w:t>2.参与业绩以造价服务平台填报造价成果文件为参考，</w:t>
            </w:r>
            <w:r>
              <w:rPr>
                <w:rFonts w:hint="eastAsia" w:ascii="仿宋_GB2312" w:hAnsi="宋体" w:cs="宋体"/>
                <w:color w:val="auto"/>
                <w:kern w:val="0"/>
                <w:sz w:val="21"/>
                <w:szCs w:val="21"/>
                <w:lang w:eastAsia="zh-CN"/>
              </w:rPr>
              <w:t>项目经济评价、造价鉴定、单独的工程索赔等业绩，提供相应成果文件均认定为业绩，</w:t>
            </w:r>
            <w:r>
              <w:rPr>
                <w:rFonts w:hint="eastAsia" w:ascii="仿宋_GB2312" w:hAnsi="微软雅黑" w:eastAsia="仿宋_GB2312" w:cs="宋体"/>
                <w:color w:val="auto"/>
                <w:kern w:val="0"/>
                <w:sz w:val="21"/>
                <w:szCs w:val="21"/>
                <w:lang w:val="en-US" w:eastAsia="zh-CN"/>
              </w:rPr>
              <w:t>成果文件签章视为参与</w:t>
            </w:r>
            <w:r>
              <w:rPr>
                <w:rFonts w:hint="eastAsia" w:ascii="仿宋_GB2312" w:hAnsi="微软雅黑" w:eastAsia="仿宋_GB2312" w:cs="宋体"/>
                <w:color w:val="auto"/>
                <w:kern w:val="0"/>
                <w:sz w:val="21"/>
                <w:szCs w:val="21"/>
              </w:rPr>
              <w:t>；</w:t>
            </w:r>
          </w:p>
          <w:p w14:paraId="1170092C">
            <w:pPr>
              <w:widowControl/>
              <w:spacing w:line="400" w:lineRule="exact"/>
              <w:ind w:left="-1" w:leftChars="-12" w:right="-70" w:rightChars="-22" w:hanging="37" w:hangingChars="18"/>
              <w:jc w:val="both"/>
              <w:rPr>
                <w:rFonts w:ascii="仿宋_GB2312" w:hAnsi="宋体" w:eastAsia="仿宋_GB2312" w:cs="宋体"/>
                <w:color w:val="auto"/>
                <w:kern w:val="0"/>
                <w:sz w:val="21"/>
                <w:szCs w:val="21"/>
              </w:rPr>
            </w:pPr>
            <w:r>
              <w:rPr>
                <w:rFonts w:hint="eastAsia" w:ascii="仿宋_GB2312" w:hAnsi="微软雅黑" w:eastAsia="仿宋_GB2312" w:cs="宋体"/>
                <w:color w:val="auto"/>
                <w:kern w:val="0"/>
                <w:sz w:val="21"/>
                <w:szCs w:val="21"/>
                <w:lang w:val="en-US" w:eastAsia="zh-CN"/>
              </w:rPr>
              <w:t>3</w:t>
            </w:r>
            <w:r>
              <w:rPr>
                <w:rFonts w:hint="eastAsia" w:ascii="仿宋_GB2312" w:hAnsi="微软雅黑" w:eastAsia="仿宋_GB2312" w:cs="宋体"/>
                <w:color w:val="auto"/>
                <w:kern w:val="0"/>
                <w:sz w:val="21"/>
                <w:szCs w:val="21"/>
              </w:rPr>
              <w:t>.获得的表彰或奖励必须与工程造价咨询活动有关，否则不作为获奖加分项；</w:t>
            </w:r>
          </w:p>
          <w:p w14:paraId="59E92990">
            <w:pPr>
              <w:widowControl/>
              <w:spacing w:line="400" w:lineRule="exact"/>
              <w:ind w:left="-1" w:leftChars="-12" w:right="-70" w:rightChars="-22" w:hanging="37" w:hangingChars="18"/>
              <w:jc w:val="both"/>
              <w:rPr>
                <w:rFonts w:hint="eastAsia" w:ascii="仿宋_GB2312" w:hAnsi="微软雅黑" w:eastAsia="仿宋_GB2312" w:cs="宋体"/>
                <w:color w:val="auto"/>
                <w:kern w:val="0"/>
                <w:sz w:val="21"/>
                <w:szCs w:val="21"/>
              </w:rPr>
            </w:pPr>
            <w:r>
              <w:rPr>
                <w:rFonts w:hint="eastAsia" w:ascii="仿宋_GB2312" w:hAnsi="微软雅黑" w:eastAsia="仿宋_GB2312" w:cs="宋体"/>
                <w:color w:val="auto"/>
                <w:kern w:val="0"/>
                <w:sz w:val="21"/>
                <w:szCs w:val="21"/>
                <w:lang w:val="en-US" w:eastAsia="zh-CN"/>
              </w:rPr>
              <w:t>4</w:t>
            </w:r>
            <w:r>
              <w:rPr>
                <w:rFonts w:hint="eastAsia" w:ascii="仿宋_GB2312" w:hAnsi="微软雅黑" w:eastAsia="仿宋_GB2312" w:cs="宋体"/>
                <w:color w:val="auto"/>
                <w:kern w:val="0"/>
                <w:sz w:val="21"/>
                <w:szCs w:val="21"/>
              </w:rPr>
              <w:t>.参与国家、行业、本市有关工程造价标准、</w:t>
            </w:r>
            <w:r>
              <w:rPr>
                <w:rFonts w:hint="eastAsia" w:ascii="仿宋_GB2312" w:hAnsi="微软雅黑" w:eastAsia="仿宋_GB2312" w:cs="宋体"/>
                <w:color w:val="auto"/>
                <w:kern w:val="0"/>
                <w:sz w:val="21"/>
                <w:szCs w:val="21"/>
                <w:lang w:eastAsia="zh-CN"/>
              </w:rPr>
              <w:t>计价依据</w:t>
            </w:r>
            <w:r>
              <w:rPr>
                <w:rFonts w:hint="eastAsia" w:ascii="仿宋_GB2312" w:hAnsi="微软雅黑" w:eastAsia="仿宋_GB2312" w:cs="宋体"/>
                <w:color w:val="auto"/>
                <w:kern w:val="0"/>
                <w:sz w:val="21"/>
                <w:szCs w:val="21"/>
              </w:rPr>
              <w:t>编制</w:t>
            </w:r>
            <w:r>
              <w:rPr>
                <w:rFonts w:hint="eastAsia" w:ascii="仿宋_GB2312" w:hAnsi="微软雅黑" w:eastAsia="仿宋_GB2312" w:cs="宋体"/>
                <w:color w:val="auto"/>
                <w:kern w:val="0"/>
                <w:sz w:val="21"/>
                <w:szCs w:val="21"/>
                <w:lang w:eastAsia="zh-CN"/>
              </w:rPr>
              <w:t>，受托承担命题、课题研究等为行业发展作出贡献的</w:t>
            </w:r>
            <w:r>
              <w:rPr>
                <w:rFonts w:hint="eastAsia" w:ascii="仿宋_GB2312" w:hAnsi="微软雅黑" w:eastAsia="仿宋_GB2312" w:cs="宋体"/>
                <w:color w:val="auto"/>
                <w:kern w:val="0"/>
                <w:sz w:val="21"/>
                <w:szCs w:val="21"/>
              </w:rPr>
              <w:t>，必须提供委托部门出具的证明材料；</w:t>
            </w:r>
          </w:p>
          <w:p w14:paraId="2B345D7A">
            <w:pPr>
              <w:widowControl/>
              <w:spacing w:line="400" w:lineRule="exact"/>
              <w:ind w:left="-1" w:leftChars="-12" w:right="-70" w:rightChars="-22" w:hanging="37" w:hangingChars="18"/>
              <w:jc w:val="both"/>
              <w:rPr>
                <w:rFonts w:hint="eastAsia" w:ascii="仿宋_GB2312" w:hAnsi="微软雅黑" w:eastAsia="仿宋_GB2312" w:cs="宋体"/>
                <w:color w:val="auto"/>
                <w:kern w:val="0"/>
                <w:sz w:val="21"/>
                <w:szCs w:val="21"/>
                <w:highlight w:val="none"/>
                <w:lang w:val="en-US" w:eastAsia="zh-CN"/>
              </w:rPr>
            </w:pPr>
            <w:r>
              <w:rPr>
                <w:rFonts w:hint="eastAsia" w:ascii="仿宋_GB2312" w:hAnsi="微软雅黑" w:eastAsia="仿宋_GB2312" w:cs="宋体"/>
                <w:color w:val="auto"/>
                <w:kern w:val="0"/>
                <w:sz w:val="21"/>
                <w:szCs w:val="21"/>
                <w:lang w:val="en-US" w:eastAsia="zh-CN"/>
              </w:rPr>
              <w:t>5.</w:t>
            </w:r>
            <w:r>
              <w:rPr>
                <w:rFonts w:hint="eastAsia" w:ascii="仿宋_GB2312" w:hAnsi="微软雅黑" w:eastAsia="仿宋_GB2312" w:cs="宋体"/>
                <w:color w:val="auto"/>
                <w:kern w:val="0"/>
                <w:sz w:val="21"/>
                <w:szCs w:val="21"/>
              </w:rPr>
              <w:t>为北京市造价行业发展做出贡献</w:t>
            </w:r>
            <w:r>
              <w:rPr>
                <w:rFonts w:hint="eastAsia" w:ascii="仿宋_GB2312" w:hAnsi="微软雅黑" w:eastAsia="仿宋_GB2312" w:cs="宋体"/>
                <w:color w:val="auto"/>
                <w:kern w:val="0"/>
                <w:sz w:val="21"/>
                <w:szCs w:val="21"/>
                <w:lang w:eastAsia="zh-CN"/>
              </w:rPr>
              <w:t>的，包括：</w:t>
            </w:r>
            <w:r>
              <w:rPr>
                <w:rFonts w:hint="eastAsia" w:ascii="仿宋_GB2312" w:hAnsi="微软雅黑" w:eastAsia="仿宋_GB2312" w:cs="宋体"/>
                <w:color w:val="auto"/>
                <w:kern w:val="0"/>
                <w:sz w:val="21"/>
                <w:szCs w:val="21"/>
              </w:rPr>
              <w:t>造价</w:t>
            </w:r>
            <w:r>
              <w:rPr>
                <w:rFonts w:hint="eastAsia" w:ascii="仿宋_GB2312" w:hAnsi="微软雅黑" w:eastAsia="仿宋_GB2312" w:cs="宋体"/>
                <w:color w:val="auto"/>
                <w:kern w:val="0"/>
                <w:sz w:val="21"/>
                <w:szCs w:val="21"/>
                <w:lang w:eastAsia="zh-CN"/>
              </w:rPr>
              <w:t>师职业资格考试命题、为行业免费提供造价专业培训、在国家、省级期刊发表</w:t>
            </w:r>
            <w:r>
              <w:rPr>
                <w:rFonts w:hint="eastAsia" w:ascii="仿宋_GB2312" w:hAnsi="微软雅黑" w:eastAsia="仿宋_GB2312" w:cs="宋体"/>
                <w:color w:val="auto"/>
                <w:kern w:val="0"/>
                <w:sz w:val="21"/>
                <w:szCs w:val="21"/>
              </w:rPr>
              <w:t>造价</w:t>
            </w:r>
            <w:r>
              <w:rPr>
                <w:rFonts w:hint="eastAsia" w:ascii="仿宋_GB2312" w:hAnsi="微软雅黑" w:eastAsia="仿宋_GB2312" w:cs="宋体"/>
                <w:color w:val="auto"/>
                <w:kern w:val="0"/>
                <w:sz w:val="21"/>
                <w:szCs w:val="21"/>
                <w:lang w:eastAsia="zh-CN"/>
              </w:rPr>
              <w:t>相关文章、著书、进行课题研究并形成成果等；</w:t>
            </w:r>
          </w:p>
          <w:p w14:paraId="01E2FDA6">
            <w:pPr>
              <w:widowControl/>
              <w:spacing w:line="400" w:lineRule="exact"/>
              <w:ind w:left="-1" w:leftChars="-12" w:right="-70" w:rightChars="-22" w:hanging="37" w:hangingChars="18"/>
              <w:jc w:val="both"/>
              <w:rPr>
                <w:rFonts w:ascii="仿宋_GB2312" w:hAnsi="宋体" w:eastAsia="仿宋_GB2312" w:cs="宋体"/>
                <w:color w:val="auto"/>
                <w:kern w:val="0"/>
                <w:sz w:val="21"/>
                <w:szCs w:val="21"/>
                <w:highlight w:val="none"/>
              </w:rPr>
            </w:pPr>
            <w:r>
              <w:rPr>
                <w:rFonts w:hint="eastAsia" w:ascii="仿宋_GB2312" w:hAnsi="微软雅黑" w:eastAsia="仿宋_GB2312" w:cs="宋体"/>
                <w:color w:val="auto"/>
                <w:kern w:val="0"/>
                <w:sz w:val="21"/>
                <w:szCs w:val="21"/>
                <w:highlight w:val="none"/>
                <w:lang w:val="en-US" w:eastAsia="zh-CN"/>
              </w:rPr>
              <w:t>6</w:t>
            </w:r>
            <w:r>
              <w:rPr>
                <w:rFonts w:hint="eastAsia" w:ascii="仿宋_GB2312" w:hAnsi="微软雅黑" w:eastAsia="仿宋_GB2312" w:cs="宋体"/>
                <w:color w:val="auto"/>
                <w:kern w:val="0"/>
                <w:sz w:val="21"/>
                <w:szCs w:val="21"/>
                <w:highlight w:val="none"/>
              </w:rPr>
              <w:t>.</w:t>
            </w:r>
            <w:r>
              <w:rPr>
                <w:rFonts w:hint="eastAsia" w:ascii="仿宋_GB2312" w:hAnsi="微软雅黑" w:eastAsia="仿宋_GB2312" w:cs="宋体"/>
                <w:color w:val="auto"/>
                <w:kern w:val="0"/>
                <w:sz w:val="21"/>
                <w:szCs w:val="21"/>
                <w:highlight w:val="none"/>
                <w:lang w:eastAsia="zh-CN"/>
              </w:rPr>
              <w:t>良好信息</w:t>
            </w:r>
            <w:r>
              <w:rPr>
                <w:rFonts w:hint="eastAsia" w:ascii="仿宋_GB2312" w:hAnsi="微软雅黑" w:eastAsia="仿宋_GB2312" w:cs="宋体"/>
                <w:color w:val="auto"/>
                <w:kern w:val="0"/>
                <w:sz w:val="21"/>
                <w:szCs w:val="21"/>
                <w:highlight w:val="none"/>
              </w:rPr>
              <w:t>均以</w:t>
            </w:r>
            <w:r>
              <w:rPr>
                <w:rFonts w:hint="eastAsia" w:ascii="仿宋_GB2312" w:hAnsi="微软雅黑" w:cs="宋体"/>
                <w:color w:val="auto"/>
                <w:kern w:val="0"/>
                <w:sz w:val="21"/>
                <w:szCs w:val="21"/>
                <w:highlight w:val="none"/>
                <w:lang w:eastAsia="zh-CN"/>
              </w:rPr>
              <w:t>成果文件签章、</w:t>
            </w:r>
            <w:r>
              <w:rPr>
                <w:rFonts w:hint="eastAsia" w:ascii="仿宋_GB2312" w:hAnsi="微软雅黑" w:eastAsia="仿宋_GB2312" w:cs="宋体"/>
                <w:color w:val="auto"/>
                <w:kern w:val="0"/>
                <w:sz w:val="21"/>
                <w:szCs w:val="21"/>
                <w:highlight w:val="none"/>
              </w:rPr>
              <w:t>获得奖项或取得相应证明的时间作为加分的时间</w:t>
            </w:r>
            <w:r>
              <w:rPr>
                <w:rFonts w:hint="eastAsia" w:ascii="仿宋_GB2312" w:hAnsi="微软雅黑" w:eastAsia="仿宋_GB2312" w:cs="宋体"/>
                <w:color w:val="auto"/>
                <w:kern w:val="0"/>
                <w:sz w:val="21"/>
                <w:szCs w:val="21"/>
                <w:highlight w:val="none"/>
                <w:lang w:eastAsia="zh-CN"/>
              </w:rPr>
              <w:t>起</w:t>
            </w:r>
            <w:r>
              <w:rPr>
                <w:rFonts w:hint="eastAsia" w:ascii="仿宋_GB2312" w:hAnsi="微软雅黑" w:eastAsia="仿宋_GB2312" w:cs="宋体"/>
                <w:color w:val="auto"/>
                <w:kern w:val="0"/>
                <w:sz w:val="21"/>
                <w:szCs w:val="21"/>
                <w:highlight w:val="none"/>
              </w:rPr>
              <w:t>点</w:t>
            </w:r>
            <w:r>
              <w:rPr>
                <w:rFonts w:hint="eastAsia" w:ascii="仿宋_GB2312" w:hAnsi="微软雅黑" w:eastAsia="仿宋_GB2312" w:cs="宋体"/>
                <w:color w:val="auto"/>
                <w:kern w:val="0"/>
                <w:sz w:val="21"/>
                <w:szCs w:val="21"/>
                <w:highlight w:val="none"/>
                <w:lang w:eastAsia="zh-CN"/>
              </w:rPr>
              <w:t>，不良信息以受到处罚</w:t>
            </w:r>
            <w:r>
              <w:rPr>
                <w:rFonts w:hint="eastAsia" w:ascii="仿宋_GB2312" w:hAnsi="微软雅黑" w:cs="宋体"/>
                <w:color w:val="auto"/>
                <w:kern w:val="0"/>
                <w:sz w:val="21"/>
                <w:szCs w:val="21"/>
                <w:highlight w:val="none"/>
                <w:lang w:val="en-US" w:eastAsia="zh-CN"/>
              </w:rPr>
              <w:t>/处理</w:t>
            </w:r>
            <w:r>
              <w:rPr>
                <w:rFonts w:hint="eastAsia" w:ascii="仿宋_GB2312" w:hAnsi="微软雅黑" w:eastAsia="仿宋_GB2312" w:cs="宋体"/>
                <w:color w:val="auto"/>
                <w:kern w:val="0"/>
                <w:sz w:val="21"/>
                <w:szCs w:val="21"/>
                <w:highlight w:val="none"/>
                <w:lang w:eastAsia="zh-CN"/>
              </w:rPr>
              <w:t>的时间为起点，超过</w:t>
            </w:r>
            <w:r>
              <w:rPr>
                <w:rFonts w:hint="eastAsia" w:ascii="仿宋_GB2312" w:hAnsi="微软雅黑" w:eastAsia="仿宋_GB2312" w:cs="宋体"/>
                <w:color w:val="auto"/>
                <w:kern w:val="0"/>
                <w:sz w:val="21"/>
                <w:szCs w:val="21"/>
                <w:highlight w:val="none"/>
                <w:lang w:val="en-US" w:eastAsia="zh-CN"/>
              </w:rPr>
              <w:t>1年均不再加分或减分</w:t>
            </w:r>
            <w:r>
              <w:rPr>
                <w:rFonts w:hint="eastAsia" w:ascii="仿宋_GB2312" w:hAnsi="微软雅黑" w:eastAsia="仿宋_GB2312" w:cs="宋体"/>
                <w:color w:val="auto"/>
                <w:kern w:val="0"/>
                <w:sz w:val="21"/>
                <w:szCs w:val="21"/>
                <w:highlight w:val="none"/>
              </w:rPr>
              <w:t>；</w:t>
            </w:r>
          </w:p>
          <w:p w14:paraId="2BBC0AB7">
            <w:pPr>
              <w:widowControl/>
              <w:spacing w:line="400" w:lineRule="exact"/>
              <w:ind w:left="-1" w:leftChars="-12" w:right="-70" w:rightChars="-22" w:hanging="37" w:hangingChars="18"/>
              <w:jc w:val="both"/>
              <w:rPr>
                <w:rFonts w:hint="eastAsia" w:ascii="仿宋_GB2312" w:hAnsi="微软雅黑" w:eastAsia="仿宋_GB2312" w:cs="宋体"/>
                <w:color w:val="auto"/>
                <w:kern w:val="0"/>
                <w:sz w:val="21"/>
                <w:szCs w:val="21"/>
                <w:lang w:eastAsia="zh-CN"/>
              </w:rPr>
            </w:pPr>
            <w:r>
              <w:rPr>
                <w:rFonts w:hint="eastAsia" w:ascii="仿宋_GB2312" w:hAnsi="微软雅黑" w:eastAsia="仿宋_GB2312" w:cs="宋体"/>
                <w:color w:val="auto"/>
                <w:kern w:val="0"/>
                <w:sz w:val="21"/>
                <w:szCs w:val="21"/>
                <w:lang w:val="en-US" w:eastAsia="zh-CN"/>
              </w:rPr>
              <w:t>7</w:t>
            </w:r>
            <w:r>
              <w:rPr>
                <w:rFonts w:hint="eastAsia" w:ascii="仿宋_GB2312" w:hAnsi="微软雅黑" w:eastAsia="仿宋_GB2312" w:cs="宋体"/>
                <w:color w:val="auto"/>
                <w:kern w:val="0"/>
                <w:sz w:val="21"/>
                <w:szCs w:val="21"/>
              </w:rPr>
              <w:t>.</w:t>
            </w:r>
            <w:r>
              <w:rPr>
                <w:rFonts w:hint="eastAsia" w:ascii="仿宋_GB2312" w:hAnsi="微软雅黑" w:eastAsia="仿宋_GB2312" w:cs="宋体"/>
                <w:color w:val="auto"/>
                <w:kern w:val="0"/>
                <w:sz w:val="21"/>
                <w:szCs w:val="21"/>
                <w:lang w:eastAsia="zh-CN"/>
              </w:rPr>
              <w:t>一年内因同一造价咨询活动获得多个表彰或奖励的，仅作为一条良好信息记录记入，不重复累加；</w:t>
            </w:r>
          </w:p>
          <w:p w14:paraId="5613A6C0">
            <w:pPr>
              <w:widowControl/>
              <w:spacing w:line="400" w:lineRule="exact"/>
              <w:ind w:left="-1" w:leftChars="-12" w:right="-70" w:rightChars="-22" w:hanging="37" w:hangingChars="18"/>
              <w:jc w:val="both"/>
              <w:rPr>
                <w:rFonts w:hint="eastAsia" w:ascii="仿宋_GB2312" w:hAnsi="微软雅黑" w:eastAsia="仿宋_GB2312" w:cs="宋体"/>
                <w:color w:val="auto"/>
                <w:kern w:val="0"/>
                <w:sz w:val="21"/>
                <w:szCs w:val="21"/>
                <w:lang w:val="en-US" w:eastAsia="zh-CN"/>
              </w:rPr>
            </w:pPr>
            <w:r>
              <w:rPr>
                <w:rFonts w:hint="eastAsia" w:ascii="仿宋_GB2312" w:hAnsi="微软雅黑" w:eastAsia="仿宋_GB2312" w:cs="宋体"/>
                <w:color w:val="auto"/>
                <w:kern w:val="0"/>
                <w:sz w:val="21"/>
                <w:szCs w:val="21"/>
                <w:lang w:val="en-US" w:eastAsia="zh-CN"/>
              </w:rPr>
              <w:t>8.一年内因同一</w:t>
            </w:r>
            <w:r>
              <w:rPr>
                <w:rFonts w:hint="eastAsia" w:ascii="仿宋_GB2312" w:hAnsi="微软雅黑" w:eastAsia="仿宋_GB2312" w:cs="宋体"/>
                <w:color w:val="auto"/>
                <w:kern w:val="0"/>
                <w:sz w:val="21"/>
                <w:szCs w:val="21"/>
                <w:lang w:eastAsia="zh-CN"/>
              </w:rPr>
              <w:t>造价咨询活动</w:t>
            </w:r>
            <w:r>
              <w:rPr>
                <w:rFonts w:hint="eastAsia" w:ascii="仿宋_GB2312" w:hAnsi="微软雅黑" w:eastAsia="仿宋_GB2312" w:cs="宋体"/>
                <w:color w:val="auto"/>
                <w:kern w:val="0"/>
                <w:sz w:val="21"/>
                <w:szCs w:val="21"/>
                <w:lang w:val="en-US" w:eastAsia="zh-CN"/>
              </w:rPr>
              <w:t>导致的多项违规行为，仅作为一条不良信息记入，不重复累加；</w:t>
            </w:r>
          </w:p>
          <w:p w14:paraId="6504678F">
            <w:pPr>
              <w:widowControl/>
              <w:spacing w:line="400" w:lineRule="exact"/>
              <w:ind w:left="-1" w:leftChars="-12" w:right="-70" w:rightChars="-22" w:hanging="37" w:hangingChars="18"/>
              <w:jc w:val="both"/>
              <w:rPr>
                <w:rFonts w:hint="eastAsia" w:ascii="仿宋_GB2312" w:hAnsi="微软雅黑" w:eastAsia="仿宋_GB2312" w:cs="宋体"/>
                <w:color w:val="auto"/>
                <w:kern w:val="0"/>
                <w:sz w:val="21"/>
                <w:szCs w:val="21"/>
                <w:lang w:eastAsia="zh-CN"/>
              </w:rPr>
            </w:pPr>
            <w:r>
              <w:rPr>
                <w:rFonts w:hint="eastAsia" w:ascii="仿宋_GB2312" w:hAnsi="微软雅黑" w:eastAsia="仿宋_GB2312" w:cs="宋体"/>
                <w:color w:val="auto"/>
                <w:kern w:val="0"/>
                <w:sz w:val="21"/>
                <w:szCs w:val="21"/>
                <w:lang w:val="en-US" w:eastAsia="zh-CN"/>
              </w:rPr>
              <w:t>9.</w:t>
            </w:r>
            <w:r>
              <w:rPr>
                <w:rFonts w:hint="eastAsia" w:ascii="仿宋_GB2312" w:hAnsi="微软雅黑" w:eastAsia="仿宋_GB2312" w:cs="宋体"/>
                <w:color w:val="auto"/>
                <w:kern w:val="0"/>
                <w:sz w:val="21"/>
                <w:szCs w:val="21"/>
              </w:rPr>
              <w:t>造价服务平台成果文件报送</w:t>
            </w:r>
            <w:r>
              <w:rPr>
                <w:rFonts w:hint="eastAsia" w:ascii="仿宋_GB2312" w:hAnsi="微软雅黑" w:eastAsia="仿宋_GB2312" w:cs="宋体"/>
                <w:color w:val="auto"/>
                <w:kern w:val="0"/>
                <w:sz w:val="21"/>
                <w:szCs w:val="21"/>
                <w:lang w:eastAsia="zh-CN"/>
              </w:rPr>
              <w:t>数量按照一份委托合同对应一份成果文件计算，框架协议可按一份委托合同对应多个成果文件数量计算</w:t>
            </w:r>
            <w:r>
              <w:rPr>
                <w:rFonts w:hint="eastAsia" w:ascii="仿宋_GB2312" w:hAnsi="仿宋_GB2312" w:cs="仿宋_GB2312"/>
                <w:color w:val="auto"/>
                <w:kern w:val="0"/>
                <w:sz w:val="21"/>
                <w:szCs w:val="21"/>
                <w:lang w:eastAsia="zh-CN"/>
              </w:rPr>
              <w:t>，过程性成果文件不单独计算</w:t>
            </w:r>
            <w:r>
              <w:rPr>
                <w:rFonts w:hint="eastAsia" w:ascii="仿宋_GB2312" w:hAnsi="微软雅黑" w:eastAsia="仿宋_GB2312" w:cs="宋体"/>
                <w:color w:val="auto"/>
                <w:kern w:val="0"/>
                <w:sz w:val="21"/>
                <w:szCs w:val="21"/>
                <w:lang w:eastAsia="zh-CN"/>
              </w:rPr>
              <w:t>；</w:t>
            </w:r>
          </w:p>
          <w:p w14:paraId="31DC3D78">
            <w:pPr>
              <w:widowControl/>
              <w:spacing w:line="400" w:lineRule="exact"/>
              <w:ind w:left="-1" w:leftChars="-12" w:right="-70" w:rightChars="-22" w:hanging="37" w:hangingChars="18"/>
              <w:jc w:val="both"/>
              <w:rPr>
                <w:rFonts w:ascii="仿宋_GB2312" w:hAnsi="宋体" w:eastAsia="仿宋_GB2312" w:cs="宋体"/>
                <w:color w:val="auto"/>
                <w:kern w:val="0"/>
                <w:sz w:val="21"/>
                <w:szCs w:val="21"/>
              </w:rPr>
            </w:pPr>
            <w:r>
              <w:rPr>
                <w:rFonts w:hint="eastAsia" w:ascii="仿宋_GB2312" w:hAnsi="仿宋_GB2312" w:cs="仿宋_GB2312"/>
                <w:color w:val="auto"/>
                <w:kern w:val="0"/>
                <w:sz w:val="21"/>
                <w:szCs w:val="21"/>
                <w:lang w:val="en-US" w:eastAsia="zh-CN"/>
              </w:rPr>
              <w:t>10.</w:t>
            </w:r>
            <w:r>
              <w:rPr>
                <w:rFonts w:hint="eastAsia" w:ascii="仿宋_GB2312" w:hAnsi="仿宋_GB2312" w:eastAsia="仿宋_GB2312" w:cs="仿宋_GB2312"/>
                <w:color w:val="auto"/>
                <w:kern w:val="0"/>
                <w:sz w:val="21"/>
                <w:szCs w:val="21"/>
              </w:rPr>
              <w:t>造价服务平台成果文件</w:t>
            </w:r>
            <w:r>
              <w:rPr>
                <w:rFonts w:hint="eastAsia" w:ascii="仿宋_GB2312" w:hAnsi="仿宋_GB2312" w:eastAsia="仿宋_GB2312" w:cs="仿宋_GB2312"/>
                <w:color w:val="auto"/>
                <w:kern w:val="0"/>
                <w:sz w:val="21"/>
                <w:szCs w:val="21"/>
                <w:lang w:eastAsia="zh-CN"/>
              </w:rPr>
              <w:t>数据</w:t>
            </w:r>
            <w:r>
              <w:rPr>
                <w:rFonts w:hint="eastAsia" w:ascii="仿宋_GB2312" w:hAnsi="仿宋_GB2312" w:eastAsia="仿宋_GB2312" w:cs="仿宋_GB2312"/>
                <w:color w:val="auto"/>
                <w:kern w:val="0"/>
                <w:sz w:val="21"/>
                <w:szCs w:val="21"/>
              </w:rPr>
              <w:t>被</w:t>
            </w:r>
            <w:r>
              <w:rPr>
                <w:rFonts w:hint="eastAsia" w:ascii="仿宋_GB2312" w:hAnsi="仿宋_GB2312" w:eastAsia="仿宋_GB2312" w:cs="仿宋_GB2312"/>
                <w:color w:val="auto"/>
                <w:kern w:val="0"/>
                <w:sz w:val="21"/>
                <w:szCs w:val="21"/>
                <w:lang w:eastAsia="zh-CN"/>
              </w:rPr>
              <w:t>造</w:t>
            </w:r>
            <w:r>
              <w:rPr>
                <w:rFonts w:hint="eastAsia" w:ascii="仿宋_GB2312" w:hAnsi="仿宋_GB2312" w:eastAsia="仿宋_GB2312" w:cs="仿宋_GB2312"/>
                <w:color w:val="auto"/>
                <w:kern w:val="0"/>
                <w:sz w:val="21"/>
                <w:szCs w:val="21"/>
              </w:rPr>
              <w:t>价</w:t>
            </w:r>
            <w:r>
              <w:rPr>
                <w:rFonts w:hint="eastAsia" w:ascii="仿宋_GB2312" w:hAnsi="仿宋_GB2312" w:eastAsia="仿宋_GB2312" w:cs="仿宋_GB2312"/>
                <w:color w:val="auto"/>
                <w:kern w:val="0"/>
                <w:sz w:val="21"/>
                <w:szCs w:val="21"/>
                <w:lang w:eastAsia="zh-CN"/>
              </w:rPr>
              <w:t>管理部门</w:t>
            </w:r>
            <w:r>
              <w:rPr>
                <w:rFonts w:hint="eastAsia" w:ascii="仿宋_GB2312" w:hAnsi="仿宋_GB2312" w:eastAsia="仿宋_GB2312" w:cs="仿宋_GB2312"/>
                <w:color w:val="auto"/>
                <w:kern w:val="0"/>
                <w:sz w:val="21"/>
                <w:szCs w:val="21"/>
              </w:rPr>
              <w:t>采用</w:t>
            </w:r>
            <w:r>
              <w:rPr>
                <w:rFonts w:hint="eastAsia" w:ascii="仿宋_GB2312" w:hAnsi="仿宋_GB2312" w:cs="仿宋_GB2312"/>
                <w:color w:val="auto"/>
                <w:kern w:val="0"/>
                <w:sz w:val="21"/>
                <w:szCs w:val="21"/>
                <w:lang w:eastAsia="zh-CN"/>
              </w:rPr>
              <w:t>的，需提供相关部门出具的采用证明。</w:t>
            </w:r>
          </w:p>
        </w:tc>
      </w:tr>
    </w:tbl>
    <w:p w14:paraId="143542A4">
      <w:pPr>
        <w:widowControl/>
        <w:spacing w:before="0" w:beforeAutospacing="0" w:after="0" w:afterAutospacing="0" w:line="240" w:lineRule="auto"/>
        <w:ind w:firstLine="0" w:firstLineChars="0"/>
        <w:jc w:val="left"/>
        <w:rPr>
          <w:rFonts w:hint="eastAsia" w:ascii="方正黑体_GBK" w:hAnsi="方正黑体_GBK" w:eastAsia="方正黑体_GBK" w:cs="方正黑体_GBK"/>
          <w:color w:val="auto"/>
          <w:sz w:val="24"/>
          <w:szCs w:val="24"/>
          <w:lang w:eastAsia="zh-CN"/>
        </w:rPr>
      </w:pPr>
      <w:r>
        <w:rPr>
          <w:rFonts w:hint="eastAsia" w:ascii="方正黑体_GBK" w:hAnsi="方正黑体_GBK" w:eastAsia="方正黑体_GBK" w:cs="方正黑体_GBK"/>
          <w:color w:val="auto"/>
          <w:sz w:val="24"/>
          <w:szCs w:val="24"/>
          <w:lang w:eastAsia="zh-CN"/>
        </w:rPr>
        <w:br w:type="page"/>
      </w:r>
    </w:p>
    <w:p w14:paraId="49D710F3">
      <w:pPr>
        <w:widowControl/>
        <w:spacing w:before="100" w:beforeAutospacing="1" w:after="100" w:afterAutospacing="1" w:line="560" w:lineRule="exact"/>
        <w:ind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14:paraId="30965986">
      <w:pPr>
        <w:widowControl/>
        <w:spacing w:before="100" w:beforeAutospacing="1" w:after="100" w:afterAutospacing="1" w:line="400" w:lineRule="exact"/>
        <w:ind w:left="0" w:leftChars="0" w:firstLine="0" w:firstLineChars="0"/>
        <w:jc w:val="center"/>
        <w:rPr>
          <w:rFonts w:hint="eastAsia" w:ascii="黑体" w:hAnsi="黑体" w:eastAsia="黑体" w:cs="黑体"/>
          <w:color w:val="auto"/>
          <w:sz w:val="32"/>
          <w:szCs w:val="32"/>
          <w:lang w:val="en-US" w:eastAsia="zh-CN"/>
        </w:rPr>
      </w:pPr>
      <w:r>
        <w:rPr>
          <w:rFonts w:hint="eastAsia" w:ascii="黑体" w:hAnsi="黑体" w:eastAsia="黑体" w:cs="黑体"/>
          <w:color w:val="auto"/>
          <w:kern w:val="0"/>
          <w:sz w:val="32"/>
          <w:szCs w:val="32"/>
        </w:rPr>
        <w:t>北京市工程造价咨询企业</w:t>
      </w:r>
      <w:r>
        <w:rPr>
          <w:rFonts w:hint="eastAsia" w:ascii="黑体" w:hAnsi="黑体" w:eastAsia="黑体" w:cs="黑体"/>
          <w:color w:val="auto"/>
          <w:kern w:val="0"/>
          <w:sz w:val="32"/>
          <w:szCs w:val="32"/>
          <w:lang w:eastAsia="zh-CN"/>
        </w:rPr>
        <w:t>及其</w:t>
      </w:r>
      <w:r>
        <w:rPr>
          <w:rFonts w:hint="eastAsia" w:ascii="黑体" w:hAnsi="黑体" w:eastAsia="黑体" w:cs="黑体"/>
          <w:color w:val="auto"/>
          <w:kern w:val="0"/>
          <w:sz w:val="32"/>
          <w:szCs w:val="32"/>
        </w:rPr>
        <w:t>注册造价工程师</w:t>
      </w:r>
      <w:r>
        <w:rPr>
          <w:rFonts w:hint="eastAsia" w:ascii="黑体" w:hAnsi="黑体" w:eastAsia="黑体" w:cs="黑体"/>
          <w:color w:val="auto"/>
          <w:kern w:val="0"/>
          <w:sz w:val="32"/>
          <w:szCs w:val="32"/>
          <w:lang w:eastAsia="zh-CN"/>
        </w:rPr>
        <w:t>信用信息等级</w:t>
      </w:r>
      <w:r>
        <w:rPr>
          <w:rFonts w:hint="eastAsia" w:ascii="黑体" w:hAnsi="黑体" w:eastAsia="黑体" w:cs="黑体"/>
          <w:color w:val="auto"/>
          <w:kern w:val="0"/>
          <w:sz w:val="32"/>
          <w:szCs w:val="32"/>
          <w:lang w:eastAsia="zh-CN"/>
        </w:rPr>
        <w:br w:type="textWrapping"/>
      </w:r>
      <w:r>
        <w:rPr>
          <w:rFonts w:hint="eastAsia" w:ascii="黑体" w:hAnsi="黑体" w:eastAsia="黑体" w:cs="黑体"/>
          <w:color w:val="auto"/>
          <w:kern w:val="0"/>
          <w:sz w:val="32"/>
          <w:szCs w:val="32"/>
          <w:lang w:val="en-US" w:eastAsia="zh-CN"/>
        </w:rPr>
        <w:t>划分标准</w:t>
      </w:r>
      <w:r>
        <w:rPr>
          <w:rFonts w:hint="eastAsia" w:ascii="黑体" w:hAnsi="黑体" w:eastAsia="黑体" w:cs="黑体"/>
          <w:color w:val="auto"/>
          <w:kern w:val="0"/>
          <w:sz w:val="32"/>
          <w:szCs w:val="32"/>
          <w:lang w:eastAsia="zh-CN"/>
        </w:rPr>
        <w:t>（</w:t>
      </w:r>
      <w:r>
        <w:rPr>
          <w:rFonts w:hint="eastAsia" w:ascii="黑体" w:hAnsi="黑体" w:eastAsia="黑体" w:cs="黑体"/>
          <w:color w:val="auto"/>
          <w:kern w:val="0"/>
          <w:sz w:val="32"/>
          <w:szCs w:val="32"/>
          <w:lang w:val="en-US" w:eastAsia="zh-CN"/>
        </w:rPr>
        <w:t>2025版</w:t>
      </w:r>
      <w:r>
        <w:rPr>
          <w:rFonts w:hint="eastAsia" w:ascii="黑体" w:hAnsi="黑体" w:eastAsia="黑体" w:cs="黑体"/>
          <w:color w:val="auto"/>
          <w:kern w:val="0"/>
          <w:sz w:val="32"/>
          <w:szCs w:val="32"/>
          <w:lang w:eastAsia="zh-CN"/>
        </w:rPr>
        <w:t>）</w:t>
      </w:r>
    </w:p>
    <w:tbl>
      <w:tblPr>
        <w:tblStyle w:val="11"/>
        <w:tblW w:w="4880" w:type="pct"/>
        <w:jc w:val="center"/>
        <w:tblLayout w:type="autofit"/>
        <w:tblCellMar>
          <w:top w:w="0" w:type="dxa"/>
          <w:left w:w="108" w:type="dxa"/>
          <w:bottom w:w="0" w:type="dxa"/>
          <w:right w:w="108" w:type="dxa"/>
        </w:tblCellMar>
      </w:tblPr>
      <w:tblGrid>
        <w:gridCol w:w="2694"/>
        <w:gridCol w:w="1666"/>
        <w:gridCol w:w="4483"/>
      </w:tblGrid>
      <w:tr w14:paraId="30FD8859">
        <w:tblPrEx>
          <w:tblCellMar>
            <w:top w:w="0" w:type="dxa"/>
            <w:left w:w="108" w:type="dxa"/>
            <w:bottom w:w="0" w:type="dxa"/>
            <w:right w:w="108" w:type="dxa"/>
          </w:tblCellMar>
        </w:tblPrEx>
        <w:trPr>
          <w:trHeight w:val="710" w:hRule="exact"/>
          <w:jc w:val="center"/>
        </w:trPr>
        <w:tc>
          <w:tcPr>
            <w:tcW w:w="1523" w:type="pct"/>
            <w:tcBorders>
              <w:top w:val="single" w:color="auto" w:sz="4" w:space="0"/>
              <w:left w:val="single" w:color="auto" w:sz="4" w:space="0"/>
              <w:bottom w:val="single" w:color="auto" w:sz="4" w:space="0"/>
              <w:right w:val="single" w:color="auto" w:sz="4" w:space="0"/>
            </w:tcBorders>
            <w:noWrap/>
            <w:vAlign w:val="center"/>
          </w:tcPr>
          <w:p w14:paraId="6B6DB0D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级别</w:t>
            </w:r>
          </w:p>
        </w:tc>
        <w:tc>
          <w:tcPr>
            <w:tcW w:w="942" w:type="pct"/>
            <w:tcBorders>
              <w:top w:val="single" w:color="auto" w:sz="4" w:space="0"/>
              <w:left w:val="single" w:color="auto" w:sz="4" w:space="0"/>
              <w:bottom w:val="single" w:color="auto" w:sz="4" w:space="0"/>
              <w:right w:val="single" w:color="auto" w:sz="4" w:space="0"/>
            </w:tcBorders>
            <w:noWrap/>
            <w:vAlign w:val="center"/>
          </w:tcPr>
          <w:p w14:paraId="4349F6D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等次</w:t>
            </w:r>
          </w:p>
        </w:tc>
        <w:tc>
          <w:tcPr>
            <w:tcW w:w="2534" w:type="pct"/>
            <w:tcBorders>
              <w:top w:val="single" w:color="auto" w:sz="4" w:space="0"/>
              <w:left w:val="nil"/>
              <w:bottom w:val="single" w:color="auto" w:sz="4" w:space="0"/>
              <w:right w:val="single" w:color="auto" w:sz="4" w:space="0"/>
            </w:tcBorders>
            <w:noWrap/>
            <w:vAlign w:val="center"/>
          </w:tcPr>
          <w:p w14:paraId="108D723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lang w:eastAsia="zh-CN"/>
              </w:rPr>
              <w:t>等</w:t>
            </w:r>
            <w:r>
              <w:rPr>
                <w:rFonts w:hint="eastAsia" w:ascii="仿宋_GB2312" w:hAnsi="仿宋_GB2312" w:eastAsia="仿宋_GB2312" w:cs="仿宋_GB2312"/>
                <w:b/>
                <w:bCs/>
                <w:color w:val="auto"/>
                <w:sz w:val="22"/>
                <w:szCs w:val="22"/>
              </w:rPr>
              <w:t>级</w:t>
            </w:r>
            <w:r>
              <w:rPr>
                <w:rFonts w:hint="eastAsia" w:ascii="仿宋_GB2312" w:hAnsi="仿宋_GB2312" w:eastAsia="仿宋_GB2312" w:cs="仿宋_GB2312"/>
                <w:b/>
                <w:bCs/>
                <w:color w:val="auto"/>
                <w:sz w:val="22"/>
                <w:szCs w:val="22"/>
                <w:lang w:eastAsia="zh-CN"/>
              </w:rPr>
              <w:t>对应分值</w:t>
            </w:r>
            <w:r>
              <w:rPr>
                <w:rFonts w:hint="eastAsia" w:ascii="仿宋_GB2312" w:hAnsi="仿宋_GB2312" w:eastAsia="仿宋_GB2312" w:cs="仿宋_GB2312"/>
                <w:b/>
                <w:bCs/>
                <w:color w:val="auto"/>
                <w:sz w:val="22"/>
                <w:szCs w:val="22"/>
              </w:rPr>
              <w:t>区间</w:t>
            </w:r>
          </w:p>
        </w:tc>
      </w:tr>
      <w:tr w14:paraId="4CAA0B4A">
        <w:tblPrEx>
          <w:tblCellMar>
            <w:top w:w="0" w:type="dxa"/>
            <w:left w:w="108" w:type="dxa"/>
            <w:bottom w:w="0" w:type="dxa"/>
            <w:right w:w="108" w:type="dxa"/>
          </w:tblCellMar>
        </w:tblPrEx>
        <w:trPr>
          <w:trHeight w:val="567" w:hRule="atLeast"/>
          <w:jc w:val="center"/>
        </w:trPr>
        <w:tc>
          <w:tcPr>
            <w:tcW w:w="1523" w:type="pct"/>
            <w:vMerge w:val="restart"/>
            <w:tcBorders>
              <w:top w:val="nil"/>
              <w:left w:val="single" w:color="auto" w:sz="4" w:space="0"/>
              <w:right w:val="single" w:color="auto" w:sz="4" w:space="0"/>
            </w:tcBorders>
            <w:noWrap/>
            <w:vAlign w:val="center"/>
          </w:tcPr>
          <w:p w14:paraId="086EBD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b/>
                <w:bCs/>
                <w:color w:val="auto"/>
                <w:sz w:val="22"/>
                <w:szCs w:val="22"/>
                <w:lang w:val="en-US" w:eastAsia="zh-CN"/>
              </w:rPr>
              <w:t>优</w:t>
            </w:r>
          </w:p>
        </w:tc>
        <w:tc>
          <w:tcPr>
            <w:tcW w:w="942" w:type="pct"/>
            <w:tcBorders>
              <w:top w:val="nil"/>
              <w:left w:val="single" w:color="auto" w:sz="4" w:space="0"/>
              <w:bottom w:val="single" w:color="auto" w:sz="4" w:space="0"/>
              <w:right w:val="single" w:color="auto" w:sz="4" w:space="0"/>
            </w:tcBorders>
            <w:noWrap/>
            <w:vAlign w:val="center"/>
          </w:tcPr>
          <w:p w14:paraId="5A9B47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b w:val="0"/>
                <w:bCs w:val="0"/>
                <w:color w:val="auto"/>
                <w:sz w:val="22"/>
                <w:szCs w:val="22"/>
                <w:lang w:val="en-US" w:eastAsia="zh-CN"/>
              </w:rPr>
              <w:t>A</w:t>
            </w:r>
          </w:p>
        </w:tc>
        <w:tc>
          <w:tcPr>
            <w:tcW w:w="2534" w:type="pct"/>
            <w:tcBorders>
              <w:top w:val="nil"/>
              <w:left w:val="nil"/>
              <w:bottom w:val="single" w:color="auto" w:sz="4" w:space="0"/>
              <w:right w:val="single" w:color="auto" w:sz="4" w:space="0"/>
            </w:tcBorders>
            <w:noWrap/>
            <w:vAlign w:val="center"/>
          </w:tcPr>
          <w:p w14:paraId="370870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80（含）</w:t>
            </w:r>
            <w:r>
              <w:rPr>
                <w:rFonts w:hint="eastAsia" w:ascii="仿宋_GB2312" w:hAnsi="仿宋_GB2312" w:eastAsia="仿宋_GB2312" w:cs="仿宋_GB2312"/>
                <w:b w:val="0"/>
                <w:bCs w:val="0"/>
                <w:color w:val="auto"/>
                <w:sz w:val="22"/>
                <w:szCs w:val="22"/>
              </w:rPr>
              <w:t>分</w:t>
            </w:r>
            <w:r>
              <w:rPr>
                <w:rFonts w:hint="eastAsia" w:ascii="仿宋_GB2312" w:hAnsi="仿宋_GB2312" w:eastAsia="仿宋_GB2312" w:cs="仿宋_GB2312"/>
                <w:b w:val="0"/>
                <w:bCs w:val="0"/>
                <w:color w:val="auto"/>
                <w:sz w:val="22"/>
                <w:szCs w:val="22"/>
                <w:lang w:val="en-US" w:eastAsia="zh-CN"/>
              </w:rPr>
              <w:t>以上</w:t>
            </w:r>
          </w:p>
        </w:tc>
      </w:tr>
      <w:tr w14:paraId="03D2F3A1">
        <w:tblPrEx>
          <w:tblCellMar>
            <w:top w:w="0" w:type="dxa"/>
            <w:left w:w="108" w:type="dxa"/>
            <w:bottom w:w="0" w:type="dxa"/>
            <w:right w:w="108" w:type="dxa"/>
          </w:tblCellMar>
        </w:tblPrEx>
        <w:trPr>
          <w:trHeight w:val="567" w:hRule="atLeast"/>
          <w:jc w:val="center"/>
        </w:trPr>
        <w:tc>
          <w:tcPr>
            <w:tcW w:w="1523" w:type="pct"/>
            <w:vMerge w:val="continue"/>
            <w:tcBorders>
              <w:left w:val="single" w:color="auto" w:sz="4" w:space="0"/>
              <w:bottom w:val="single" w:color="auto" w:sz="4" w:space="0"/>
              <w:right w:val="single" w:color="auto" w:sz="4" w:space="0"/>
            </w:tcBorders>
            <w:noWrap/>
            <w:vAlign w:val="center"/>
          </w:tcPr>
          <w:p w14:paraId="5E34BA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auto"/>
                <w:sz w:val="22"/>
                <w:szCs w:val="22"/>
              </w:rPr>
            </w:pPr>
          </w:p>
        </w:tc>
        <w:tc>
          <w:tcPr>
            <w:tcW w:w="942" w:type="pct"/>
            <w:tcBorders>
              <w:top w:val="nil"/>
              <w:left w:val="single" w:color="auto" w:sz="4" w:space="0"/>
              <w:bottom w:val="single" w:color="auto" w:sz="4" w:space="0"/>
              <w:right w:val="single" w:color="auto" w:sz="4" w:space="0"/>
            </w:tcBorders>
            <w:noWrap/>
            <w:vAlign w:val="center"/>
          </w:tcPr>
          <w:p w14:paraId="1A1D6F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color w:val="auto"/>
                <w:sz w:val="22"/>
                <w:szCs w:val="22"/>
              </w:rPr>
              <w:t>A-</w:t>
            </w:r>
          </w:p>
        </w:tc>
        <w:tc>
          <w:tcPr>
            <w:tcW w:w="2534" w:type="pct"/>
            <w:tcBorders>
              <w:top w:val="nil"/>
              <w:left w:val="nil"/>
              <w:bottom w:val="single" w:color="auto" w:sz="4" w:space="0"/>
              <w:right w:val="single" w:color="auto" w:sz="4" w:space="0"/>
            </w:tcBorders>
            <w:noWrap/>
            <w:vAlign w:val="center"/>
          </w:tcPr>
          <w:p w14:paraId="1670D0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color w:val="auto"/>
                <w:sz w:val="22"/>
                <w:szCs w:val="22"/>
                <w:lang w:val="en-US" w:eastAsia="zh-CN"/>
              </w:rPr>
              <w:t>72（含）</w:t>
            </w:r>
            <w:r>
              <w:rPr>
                <w:rFonts w:hint="eastAsia" w:ascii="仿宋_GB2312" w:hAnsi="仿宋_GB2312" w:eastAsia="仿宋_GB2312" w:cs="仿宋_GB2312"/>
                <w:b w:val="0"/>
                <w:bCs w:val="0"/>
                <w:color w:val="auto"/>
                <w:sz w:val="22"/>
                <w:szCs w:val="22"/>
                <w:lang w:eastAsia="zh-CN"/>
              </w:rPr>
              <w:t>～</w:t>
            </w:r>
            <w:r>
              <w:rPr>
                <w:rFonts w:hint="eastAsia" w:ascii="仿宋_GB2312" w:hAnsi="仿宋_GB2312" w:eastAsia="仿宋_GB2312" w:cs="仿宋_GB2312"/>
                <w:b w:val="0"/>
                <w:bCs w:val="0"/>
                <w:color w:val="auto"/>
                <w:sz w:val="22"/>
                <w:szCs w:val="22"/>
                <w:lang w:val="en-US" w:eastAsia="zh-CN"/>
              </w:rPr>
              <w:t>80</w:t>
            </w:r>
            <w:r>
              <w:rPr>
                <w:rFonts w:hint="eastAsia" w:ascii="仿宋_GB2312" w:hAnsi="仿宋_GB2312" w:eastAsia="仿宋_GB2312" w:cs="仿宋_GB2312"/>
                <w:b w:val="0"/>
                <w:bCs w:val="0"/>
                <w:color w:val="auto"/>
                <w:sz w:val="22"/>
                <w:szCs w:val="22"/>
              </w:rPr>
              <w:t>分</w:t>
            </w:r>
          </w:p>
        </w:tc>
      </w:tr>
      <w:tr w14:paraId="233BEE5A">
        <w:tblPrEx>
          <w:tblCellMar>
            <w:top w:w="0" w:type="dxa"/>
            <w:left w:w="108" w:type="dxa"/>
            <w:bottom w:w="0" w:type="dxa"/>
            <w:right w:w="108" w:type="dxa"/>
          </w:tblCellMar>
        </w:tblPrEx>
        <w:trPr>
          <w:trHeight w:val="567" w:hRule="atLeast"/>
          <w:jc w:val="center"/>
        </w:trPr>
        <w:tc>
          <w:tcPr>
            <w:tcW w:w="1523" w:type="pct"/>
            <w:vMerge w:val="restart"/>
            <w:tcBorders>
              <w:top w:val="nil"/>
              <w:left w:val="single" w:color="auto" w:sz="4" w:space="0"/>
              <w:right w:val="single" w:color="auto" w:sz="4" w:space="0"/>
            </w:tcBorders>
            <w:noWrap/>
            <w:vAlign w:val="center"/>
          </w:tcPr>
          <w:p w14:paraId="66D444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lang w:eastAsia="zh-CN"/>
              </w:rPr>
              <w:t>良</w:t>
            </w:r>
          </w:p>
        </w:tc>
        <w:tc>
          <w:tcPr>
            <w:tcW w:w="942" w:type="pct"/>
            <w:tcBorders>
              <w:top w:val="single" w:color="auto" w:sz="4" w:space="0"/>
              <w:left w:val="single" w:color="auto" w:sz="4" w:space="0"/>
              <w:bottom w:val="single" w:color="auto" w:sz="4" w:space="0"/>
              <w:right w:val="single" w:color="auto" w:sz="4" w:space="0"/>
            </w:tcBorders>
            <w:noWrap/>
            <w:vAlign w:val="center"/>
          </w:tcPr>
          <w:p w14:paraId="29AB4F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color w:val="auto"/>
                <w:sz w:val="22"/>
                <w:szCs w:val="22"/>
              </w:rPr>
              <w:t>B+</w:t>
            </w:r>
          </w:p>
        </w:tc>
        <w:tc>
          <w:tcPr>
            <w:tcW w:w="2534" w:type="pct"/>
            <w:tcBorders>
              <w:top w:val="single" w:color="auto" w:sz="4" w:space="0"/>
              <w:left w:val="single" w:color="auto" w:sz="4" w:space="0"/>
              <w:bottom w:val="single" w:color="auto" w:sz="4" w:space="0"/>
              <w:right w:val="single" w:color="auto" w:sz="4" w:space="0"/>
            </w:tcBorders>
            <w:noWrap/>
            <w:vAlign w:val="center"/>
          </w:tcPr>
          <w:p w14:paraId="359F67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70（含）</w:t>
            </w:r>
            <w:r>
              <w:rPr>
                <w:rFonts w:hint="eastAsia" w:ascii="仿宋_GB2312" w:hAnsi="仿宋_GB2312" w:eastAsia="仿宋_GB2312" w:cs="仿宋_GB2312"/>
                <w:b w:val="0"/>
                <w:bCs w:val="0"/>
                <w:color w:val="auto"/>
                <w:sz w:val="22"/>
                <w:szCs w:val="22"/>
                <w:lang w:eastAsia="zh-CN"/>
              </w:rPr>
              <w:t>～</w:t>
            </w:r>
            <w:r>
              <w:rPr>
                <w:rFonts w:hint="eastAsia" w:ascii="仿宋_GB2312" w:hAnsi="仿宋_GB2312" w:eastAsia="仿宋_GB2312" w:cs="仿宋_GB2312"/>
                <w:b w:val="0"/>
                <w:bCs w:val="0"/>
                <w:color w:val="auto"/>
                <w:sz w:val="22"/>
                <w:szCs w:val="22"/>
                <w:lang w:val="en-US" w:eastAsia="zh-CN"/>
              </w:rPr>
              <w:t>72</w:t>
            </w:r>
            <w:r>
              <w:rPr>
                <w:rFonts w:hint="eastAsia" w:ascii="仿宋_GB2312" w:hAnsi="仿宋_GB2312" w:eastAsia="仿宋_GB2312" w:cs="仿宋_GB2312"/>
                <w:b w:val="0"/>
                <w:bCs w:val="0"/>
                <w:color w:val="auto"/>
                <w:sz w:val="22"/>
                <w:szCs w:val="22"/>
              </w:rPr>
              <w:t>分</w:t>
            </w:r>
          </w:p>
        </w:tc>
      </w:tr>
      <w:tr w14:paraId="753097F6">
        <w:tblPrEx>
          <w:tblCellMar>
            <w:top w:w="0" w:type="dxa"/>
            <w:left w:w="108" w:type="dxa"/>
            <w:bottom w:w="0" w:type="dxa"/>
            <w:right w:w="108" w:type="dxa"/>
          </w:tblCellMar>
        </w:tblPrEx>
        <w:trPr>
          <w:trHeight w:val="567" w:hRule="atLeast"/>
          <w:jc w:val="center"/>
        </w:trPr>
        <w:tc>
          <w:tcPr>
            <w:tcW w:w="1523" w:type="pct"/>
            <w:vMerge w:val="continue"/>
            <w:tcBorders>
              <w:left w:val="single" w:color="auto" w:sz="4" w:space="0"/>
              <w:right w:val="single" w:color="auto" w:sz="4" w:space="0"/>
            </w:tcBorders>
            <w:noWrap/>
            <w:vAlign w:val="center"/>
          </w:tcPr>
          <w:p w14:paraId="295821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auto"/>
                <w:sz w:val="22"/>
                <w:szCs w:val="22"/>
                <w:lang w:eastAsia="zh-CN"/>
              </w:rPr>
            </w:pPr>
          </w:p>
        </w:tc>
        <w:tc>
          <w:tcPr>
            <w:tcW w:w="942" w:type="pct"/>
            <w:tcBorders>
              <w:top w:val="single" w:color="auto" w:sz="4" w:space="0"/>
              <w:left w:val="single" w:color="auto" w:sz="4" w:space="0"/>
              <w:bottom w:val="single" w:color="auto" w:sz="4" w:space="0"/>
              <w:right w:val="single" w:color="auto" w:sz="4" w:space="0"/>
            </w:tcBorders>
            <w:noWrap/>
            <w:vAlign w:val="center"/>
          </w:tcPr>
          <w:p w14:paraId="56511F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color w:val="auto"/>
                <w:sz w:val="22"/>
                <w:szCs w:val="22"/>
                <w:lang w:val="en-US" w:eastAsia="zh-CN"/>
              </w:rPr>
              <w:t>B</w:t>
            </w:r>
          </w:p>
        </w:tc>
        <w:tc>
          <w:tcPr>
            <w:tcW w:w="2534" w:type="pct"/>
            <w:tcBorders>
              <w:top w:val="single" w:color="auto" w:sz="4" w:space="0"/>
              <w:left w:val="single" w:color="auto" w:sz="4" w:space="0"/>
              <w:bottom w:val="single" w:color="auto" w:sz="4" w:space="0"/>
              <w:right w:val="single" w:color="auto" w:sz="4" w:space="0"/>
            </w:tcBorders>
            <w:noWrap/>
            <w:vAlign w:val="center"/>
          </w:tcPr>
          <w:p w14:paraId="189F7D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67.5（含）</w:t>
            </w:r>
            <w:r>
              <w:rPr>
                <w:rFonts w:hint="eastAsia" w:ascii="仿宋_GB2312" w:hAnsi="仿宋_GB2312" w:eastAsia="仿宋_GB2312" w:cs="仿宋_GB2312"/>
                <w:b w:val="0"/>
                <w:bCs w:val="0"/>
                <w:color w:val="auto"/>
                <w:sz w:val="22"/>
                <w:szCs w:val="22"/>
                <w:lang w:eastAsia="zh-CN"/>
              </w:rPr>
              <w:t>～</w:t>
            </w:r>
            <w:r>
              <w:rPr>
                <w:rFonts w:hint="eastAsia" w:ascii="仿宋_GB2312" w:hAnsi="仿宋_GB2312" w:eastAsia="仿宋_GB2312" w:cs="仿宋_GB2312"/>
                <w:b w:val="0"/>
                <w:bCs w:val="0"/>
                <w:color w:val="auto"/>
                <w:sz w:val="22"/>
                <w:szCs w:val="22"/>
                <w:lang w:val="en-US" w:eastAsia="zh-CN"/>
              </w:rPr>
              <w:t>70</w:t>
            </w:r>
            <w:r>
              <w:rPr>
                <w:rFonts w:hint="eastAsia" w:ascii="仿宋_GB2312" w:hAnsi="仿宋_GB2312" w:eastAsia="仿宋_GB2312" w:cs="仿宋_GB2312"/>
                <w:b w:val="0"/>
                <w:bCs w:val="0"/>
                <w:color w:val="auto"/>
                <w:sz w:val="22"/>
                <w:szCs w:val="22"/>
              </w:rPr>
              <w:t>分</w:t>
            </w:r>
          </w:p>
        </w:tc>
      </w:tr>
      <w:tr w14:paraId="11D7AE03">
        <w:tblPrEx>
          <w:tblCellMar>
            <w:top w:w="0" w:type="dxa"/>
            <w:left w:w="108" w:type="dxa"/>
            <w:bottom w:w="0" w:type="dxa"/>
            <w:right w:w="108" w:type="dxa"/>
          </w:tblCellMar>
        </w:tblPrEx>
        <w:trPr>
          <w:trHeight w:val="567" w:hRule="atLeast"/>
          <w:jc w:val="center"/>
        </w:trPr>
        <w:tc>
          <w:tcPr>
            <w:tcW w:w="1523" w:type="pct"/>
            <w:vMerge w:val="continue"/>
            <w:tcBorders>
              <w:left w:val="single" w:color="auto" w:sz="4" w:space="0"/>
              <w:bottom w:val="single" w:color="auto" w:sz="4" w:space="0"/>
              <w:right w:val="single" w:color="auto" w:sz="4" w:space="0"/>
            </w:tcBorders>
            <w:noWrap/>
            <w:vAlign w:val="center"/>
          </w:tcPr>
          <w:p w14:paraId="0C0BE7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auto"/>
                <w:sz w:val="22"/>
                <w:szCs w:val="22"/>
              </w:rPr>
            </w:pPr>
          </w:p>
        </w:tc>
        <w:tc>
          <w:tcPr>
            <w:tcW w:w="942" w:type="pct"/>
            <w:tcBorders>
              <w:top w:val="single" w:color="auto" w:sz="4" w:space="0"/>
              <w:left w:val="single" w:color="auto" w:sz="4" w:space="0"/>
              <w:bottom w:val="single" w:color="auto" w:sz="4" w:space="0"/>
              <w:right w:val="single" w:color="auto" w:sz="4" w:space="0"/>
            </w:tcBorders>
            <w:noWrap/>
            <w:vAlign w:val="center"/>
          </w:tcPr>
          <w:p w14:paraId="2DAB7E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color w:val="auto"/>
                <w:sz w:val="22"/>
                <w:szCs w:val="22"/>
              </w:rPr>
              <w:t>B-</w:t>
            </w:r>
          </w:p>
        </w:tc>
        <w:tc>
          <w:tcPr>
            <w:tcW w:w="2534" w:type="pct"/>
            <w:tcBorders>
              <w:top w:val="single" w:color="auto" w:sz="4" w:space="0"/>
              <w:left w:val="nil"/>
              <w:bottom w:val="single" w:color="auto" w:sz="4" w:space="0"/>
              <w:right w:val="single" w:color="auto" w:sz="4" w:space="0"/>
            </w:tcBorders>
            <w:noWrap/>
            <w:vAlign w:val="center"/>
          </w:tcPr>
          <w:p w14:paraId="6C3D45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color w:val="auto"/>
                <w:sz w:val="22"/>
                <w:szCs w:val="22"/>
                <w:lang w:val="en-US" w:eastAsia="zh-CN"/>
              </w:rPr>
              <w:t>65（含）</w:t>
            </w:r>
            <w:r>
              <w:rPr>
                <w:rFonts w:hint="eastAsia" w:ascii="仿宋_GB2312" w:hAnsi="仿宋_GB2312" w:eastAsia="仿宋_GB2312" w:cs="仿宋_GB2312"/>
                <w:b w:val="0"/>
                <w:bCs w:val="0"/>
                <w:color w:val="auto"/>
                <w:sz w:val="22"/>
                <w:szCs w:val="22"/>
                <w:lang w:eastAsia="zh-CN"/>
              </w:rPr>
              <w:t>～</w:t>
            </w:r>
            <w:r>
              <w:rPr>
                <w:rFonts w:hint="eastAsia" w:ascii="仿宋_GB2312" w:hAnsi="仿宋_GB2312" w:eastAsia="仿宋_GB2312" w:cs="仿宋_GB2312"/>
                <w:b w:val="0"/>
                <w:bCs w:val="0"/>
                <w:color w:val="auto"/>
                <w:sz w:val="22"/>
                <w:szCs w:val="22"/>
                <w:lang w:val="en-US" w:eastAsia="zh-CN"/>
              </w:rPr>
              <w:t>67.5</w:t>
            </w:r>
            <w:r>
              <w:rPr>
                <w:rFonts w:hint="eastAsia" w:ascii="仿宋_GB2312" w:hAnsi="仿宋_GB2312" w:eastAsia="仿宋_GB2312" w:cs="仿宋_GB2312"/>
                <w:b w:val="0"/>
                <w:bCs w:val="0"/>
                <w:color w:val="auto"/>
                <w:sz w:val="22"/>
                <w:szCs w:val="22"/>
              </w:rPr>
              <w:t>分</w:t>
            </w:r>
          </w:p>
        </w:tc>
      </w:tr>
      <w:tr w14:paraId="4EBA50BD">
        <w:tblPrEx>
          <w:tblCellMar>
            <w:top w:w="0" w:type="dxa"/>
            <w:left w:w="108" w:type="dxa"/>
            <w:bottom w:w="0" w:type="dxa"/>
            <w:right w:w="108" w:type="dxa"/>
          </w:tblCellMar>
        </w:tblPrEx>
        <w:trPr>
          <w:trHeight w:val="567" w:hRule="atLeast"/>
          <w:jc w:val="center"/>
        </w:trPr>
        <w:tc>
          <w:tcPr>
            <w:tcW w:w="1523" w:type="pct"/>
            <w:vMerge w:val="restart"/>
            <w:tcBorders>
              <w:top w:val="nil"/>
              <w:left w:val="single" w:color="auto" w:sz="4" w:space="0"/>
              <w:right w:val="single" w:color="auto" w:sz="4" w:space="0"/>
            </w:tcBorders>
            <w:noWrap/>
            <w:vAlign w:val="center"/>
          </w:tcPr>
          <w:p w14:paraId="550B48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中</w:t>
            </w:r>
          </w:p>
        </w:tc>
        <w:tc>
          <w:tcPr>
            <w:tcW w:w="942" w:type="pct"/>
            <w:tcBorders>
              <w:top w:val="nil"/>
              <w:left w:val="single" w:color="auto" w:sz="4" w:space="0"/>
              <w:bottom w:val="single" w:color="auto" w:sz="4" w:space="0"/>
              <w:right w:val="single" w:color="auto" w:sz="4" w:space="0"/>
            </w:tcBorders>
            <w:noWrap/>
            <w:vAlign w:val="center"/>
          </w:tcPr>
          <w:p w14:paraId="33CFC4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color w:val="auto"/>
                <w:sz w:val="22"/>
                <w:szCs w:val="22"/>
              </w:rPr>
              <w:t>C+</w:t>
            </w:r>
          </w:p>
        </w:tc>
        <w:tc>
          <w:tcPr>
            <w:tcW w:w="2534" w:type="pct"/>
            <w:tcBorders>
              <w:top w:val="nil"/>
              <w:left w:val="nil"/>
              <w:bottom w:val="single" w:color="auto" w:sz="4" w:space="0"/>
              <w:right w:val="single" w:color="auto" w:sz="4" w:space="0"/>
            </w:tcBorders>
            <w:noWrap/>
            <w:vAlign w:val="center"/>
          </w:tcPr>
          <w:p w14:paraId="2C8CA1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63（含）</w:t>
            </w:r>
            <w:r>
              <w:rPr>
                <w:rFonts w:hint="eastAsia" w:ascii="仿宋_GB2312" w:hAnsi="仿宋_GB2312" w:eastAsia="仿宋_GB2312" w:cs="仿宋_GB2312"/>
                <w:b w:val="0"/>
                <w:bCs w:val="0"/>
                <w:color w:val="auto"/>
                <w:sz w:val="22"/>
                <w:szCs w:val="22"/>
                <w:lang w:eastAsia="zh-CN"/>
              </w:rPr>
              <w:t>～</w:t>
            </w:r>
            <w:r>
              <w:rPr>
                <w:rFonts w:hint="eastAsia" w:ascii="仿宋_GB2312" w:hAnsi="仿宋_GB2312" w:eastAsia="仿宋_GB2312" w:cs="仿宋_GB2312"/>
                <w:b w:val="0"/>
                <w:bCs w:val="0"/>
                <w:color w:val="auto"/>
                <w:sz w:val="22"/>
                <w:szCs w:val="22"/>
                <w:lang w:val="en-US" w:eastAsia="zh-CN"/>
              </w:rPr>
              <w:t>65</w:t>
            </w:r>
            <w:r>
              <w:rPr>
                <w:rFonts w:hint="eastAsia" w:ascii="仿宋_GB2312" w:hAnsi="仿宋_GB2312" w:eastAsia="仿宋_GB2312" w:cs="仿宋_GB2312"/>
                <w:b w:val="0"/>
                <w:bCs w:val="0"/>
                <w:color w:val="auto"/>
                <w:sz w:val="22"/>
                <w:szCs w:val="22"/>
              </w:rPr>
              <w:t>分</w:t>
            </w:r>
          </w:p>
        </w:tc>
      </w:tr>
      <w:tr w14:paraId="739E67C3">
        <w:tblPrEx>
          <w:tblCellMar>
            <w:top w:w="0" w:type="dxa"/>
            <w:left w:w="108" w:type="dxa"/>
            <w:bottom w:w="0" w:type="dxa"/>
            <w:right w:w="108" w:type="dxa"/>
          </w:tblCellMar>
        </w:tblPrEx>
        <w:trPr>
          <w:trHeight w:val="567" w:hRule="atLeast"/>
          <w:jc w:val="center"/>
        </w:trPr>
        <w:tc>
          <w:tcPr>
            <w:tcW w:w="1523" w:type="pct"/>
            <w:vMerge w:val="continue"/>
            <w:tcBorders>
              <w:left w:val="single" w:color="auto" w:sz="4" w:space="0"/>
              <w:right w:val="single" w:color="auto" w:sz="4" w:space="0"/>
            </w:tcBorders>
            <w:noWrap/>
            <w:vAlign w:val="center"/>
          </w:tcPr>
          <w:p w14:paraId="21244B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auto"/>
                <w:sz w:val="22"/>
                <w:szCs w:val="22"/>
              </w:rPr>
            </w:pPr>
          </w:p>
        </w:tc>
        <w:tc>
          <w:tcPr>
            <w:tcW w:w="942" w:type="pct"/>
            <w:tcBorders>
              <w:top w:val="nil"/>
              <w:left w:val="single" w:color="auto" w:sz="4" w:space="0"/>
              <w:bottom w:val="single" w:color="auto" w:sz="4" w:space="0"/>
              <w:right w:val="single" w:color="auto" w:sz="4" w:space="0"/>
            </w:tcBorders>
            <w:noWrap/>
            <w:vAlign w:val="center"/>
          </w:tcPr>
          <w:p w14:paraId="4E30BA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C</w:t>
            </w:r>
          </w:p>
        </w:tc>
        <w:tc>
          <w:tcPr>
            <w:tcW w:w="2534" w:type="pct"/>
            <w:tcBorders>
              <w:top w:val="nil"/>
              <w:left w:val="nil"/>
              <w:bottom w:val="single" w:color="auto" w:sz="4" w:space="0"/>
              <w:right w:val="single" w:color="auto" w:sz="4" w:space="0"/>
            </w:tcBorders>
            <w:noWrap/>
            <w:vAlign w:val="center"/>
          </w:tcPr>
          <w:p w14:paraId="649666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color w:val="auto"/>
                <w:sz w:val="22"/>
                <w:szCs w:val="22"/>
              </w:rPr>
              <w:t>6</w:t>
            </w:r>
            <w:r>
              <w:rPr>
                <w:rFonts w:hint="eastAsia" w:ascii="仿宋_GB2312" w:hAnsi="仿宋_GB2312" w:eastAsia="仿宋_GB2312" w:cs="仿宋_GB2312"/>
                <w:b w:val="0"/>
                <w:bCs w:val="0"/>
                <w:color w:val="auto"/>
                <w:sz w:val="22"/>
                <w:szCs w:val="22"/>
                <w:lang w:val="en-US" w:eastAsia="zh-CN"/>
              </w:rPr>
              <w:t>1.5（含）</w:t>
            </w:r>
            <w:r>
              <w:rPr>
                <w:rFonts w:hint="eastAsia" w:ascii="仿宋_GB2312" w:hAnsi="仿宋_GB2312" w:eastAsia="仿宋_GB2312" w:cs="仿宋_GB2312"/>
                <w:b w:val="0"/>
                <w:bCs w:val="0"/>
                <w:color w:val="auto"/>
                <w:sz w:val="22"/>
                <w:szCs w:val="22"/>
                <w:lang w:eastAsia="zh-CN"/>
              </w:rPr>
              <w:t>～</w:t>
            </w:r>
            <w:r>
              <w:rPr>
                <w:rFonts w:hint="eastAsia" w:ascii="仿宋_GB2312" w:hAnsi="仿宋_GB2312" w:eastAsia="仿宋_GB2312" w:cs="仿宋_GB2312"/>
                <w:b w:val="0"/>
                <w:bCs w:val="0"/>
                <w:color w:val="auto"/>
                <w:sz w:val="22"/>
                <w:szCs w:val="22"/>
                <w:lang w:val="en-US" w:eastAsia="zh-CN"/>
              </w:rPr>
              <w:t>63</w:t>
            </w:r>
            <w:r>
              <w:rPr>
                <w:rFonts w:hint="eastAsia" w:ascii="仿宋_GB2312" w:hAnsi="仿宋_GB2312" w:eastAsia="仿宋_GB2312" w:cs="仿宋_GB2312"/>
                <w:b w:val="0"/>
                <w:bCs w:val="0"/>
                <w:color w:val="auto"/>
                <w:sz w:val="22"/>
                <w:szCs w:val="22"/>
              </w:rPr>
              <w:t>分</w:t>
            </w:r>
          </w:p>
        </w:tc>
      </w:tr>
      <w:tr w14:paraId="2AF6799E">
        <w:tblPrEx>
          <w:tblCellMar>
            <w:top w:w="0" w:type="dxa"/>
            <w:left w:w="108" w:type="dxa"/>
            <w:bottom w:w="0" w:type="dxa"/>
            <w:right w:w="108" w:type="dxa"/>
          </w:tblCellMar>
        </w:tblPrEx>
        <w:trPr>
          <w:trHeight w:val="567" w:hRule="atLeast"/>
          <w:jc w:val="center"/>
        </w:trPr>
        <w:tc>
          <w:tcPr>
            <w:tcW w:w="1523" w:type="pct"/>
            <w:vMerge w:val="continue"/>
            <w:tcBorders>
              <w:left w:val="single" w:color="auto" w:sz="4" w:space="0"/>
              <w:bottom w:val="single" w:color="auto" w:sz="4" w:space="0"/>
              <w:right w:val="single" w:color="auto" w:sz="4" w:space="0"/>
            </w:tcBorders>
            <w:noWrap/>
            <w:vAlign w:val="center"/>
          </w:tcPr>
          <w:p w14:paraId="134400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auto"/>
                <w:sz w:val="22"/>
                <w:szCs w:val="22"/>
              </w:rPr>
            </w:pPr>
          </w:p>
        </w:tc>
        <w:tc>
          <w:tcPr>
            <w:tcW w:w="942" w:type="pct"/>
            <w:tcBorders>
              <w:top w:val="nil"/>
              <w:left w:val="single" w:color="auto" w:sz="4" w:space="0"/>
              <w:bottom w:val="single" w:color="auto" w:sz="4" w:space="0"/>
              <w:right w:val="single" w:color="auto" w:sz="4" w:space="0"/>
            </w:tcBorders>
            <w:noWrap/>
            <w:vAlign w:val="center"/>
          </w:tcPr>
          <w:p w14:paraId="230E78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color w:val="auto"/>
                <w:sz w:val="22"/>
                <w:szCs w:val="22"/>
              </w:rPr>
              <w:t>C-</w:t>
            </w:r>
          </w:p>
        </w:tc>
        <w:tc>
          <w:tcPr>
            <w:tcW w:w="2534" w:type="pct"/>
            <w:tcBorders>
              <w:top w:val="nil"/>
              <w:left w:val="nil"/>
              <w:bottom w:val="single" w:color="auto" w:sz="4" w:space="0"/>
              <w:right w:val="single" w:color="auto" w:sz="4" w:space="0"/>
            </w:tcBorders>
            <w:noWrap/>
            <w:vAlign w:val="center"/>
          </w:tcPr>
          <w:p w14:paraId="24E374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color w:val="auto"/>
                <w:sz w:val="22"/>
                <w:szCs w:val="22"/>
                <w:lang w:val="en-US" w:eastAsia="zh-CN"/>
              </w:rPr>
              <w:t>60（含）</w:t>
            </w:r>
            <w:r>
              <w:rPr>
                <w:rFonts w:hint="eastAsia" w:ascii="仿宋_GB2312" w:hAnsi="仿宋_GB2312" w:eastAsia="仿宋_GB2312" w:cs="仿宋_GB2312"/>
                <w:b w:val="0"/>
                <w:bCs w:val="0"/>
                <w:color w:val="auto"/>
                <w:sz w:val="22"/>
                <w:szCs w:val="22"/>
                <w:lang w:eastAsia="zh-CN"/>
              </w:rPr>
              <w:t>～</w:t>
            </w:r>
            <w:r>
              <w:rPr>
                <w:rFonts w:hint="eastAsia" w:ascii="仿宋_GB2312" w:hAnsi="仿宋_GB2312" w:eastAsia="仿宋_GB2312" w:cs="仿宋_GB2312"/>
                <w:b w:val="0"/>
                <w:bCs w:val="0"/>
                <w:color w:val="auto"/>
                <w:sz w:val="22"/>
                <w:szCs w:val="22"/>
                <w:lang w:val="en-US" w:eastAsia="zh-CN"/>
              </w:rPr>
              <w:t>61.5</w:t>
            </w:r>
            <w:r>
              <w:rPr>
                <w:rFonts w:hint="eastAsia" w:ascii="仿宋_GB2312" w:hAnsi="仿宋_GB2312" w:eastAsia="仿宋_GB2312" w:cs="仿宋_GB2312"/>
                <w:b w:val="0"/>
                <w:bCs w:val="0"/>
                <w:color w:val="auto"/>
                <w:sz w:val="22"/>
                <w:szCs w:val="22"/>
              </w:rPr>
              <w:t>分</w:t>
            </w:r>
          </w:p>
        </w:tc>
      </w:tr>
      <w:tr w14:paraId="3734481B">
        <w:tblPrEx>
          <w:tblCellMar>
            <w:top w:w="0" w:type="dxa"/>
            <w:left w:w="108" w:type="dxa"/>
            <w:bottom w:w="0" w:type="dxa"/>
            <w:right w:w="108" w:type="dxa"/>
          </w:tblCellMar>
        </w:tblPrEx>
        <w:trPr>
          <w:trHeight w:val="567" w:hRule="atLeast"/>
          <w:jc w:val="center"/>
        </w:trPr>
        <w:tc>
          <w:tcPr>
            <w:tcW w:w="1523" w:type="pct"/>
            <w:tcBorders>
              <w:top w:val="single" w:color="auto" w:sz="4" w:space="0"/>
              <w:left w:val="single" w:color="auto" w:sz="4" w:space="0"/>
              <w:bottom w:val="single" w:color="auto" w:sz="4" w:space="0"/>
              <w:right w:val="single" w:color="auto" w:sz="4" w:space="0"/>
            </w:tcBorders>
            <w:noWrap/>
            <w:vAlign w:val="center"/>
          </w:tcPr>
          <w:p w14:paraId="445B0A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差</w:t>
            </w:r>
          </w:p>
        </w:tc>
        <w:tc>
          <w:tcPr>
            <w:tcW w:w="942" w:type="pct"/>
            <w:tcBorders>
              <w:top w:val="single" w:color="auto" w:sz="4" w:space="0"/>
              <w:left w:val="single" w:color="auto" w:sz="4" w:space="0"/>
              <w:bottom w:val="single" w:color="auto" w:sz="4" w:space="0"/>
              <w:right w:val="single" w:color="auto" w:sz="4" w:space="0"/>
            </w:tcBorders>
            <w:noWrap/>
            <w:vAlign w:val="center"/>
          </w:tcPr>
          <w:p w14:paraId="3DF90E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D</w:t>
            </w:r>
          </w:p>
        </w:tc>
        <w:tc>
          <w:tcPr>
            <w:tcW w:w="2534" w:type="pct"/>
            <w:tcBorders>
              <w:top w:val="single" w:color="auto" w:sz="4" w:space="0"/>
              <w:left w:val="nil"/>
              <w:bottom w:val="single" w:color="auto" w:sz="4" w:space="0"/>
              <w:right w:val="single" w:color="auto" w:sz="4" w:space="0"/>
            </w:tcBorders>
            <w:noWrap/>
            <w:vAlign w:val="center"/>
          </w:tcPr>
          <w:p w14:paraId="499EC5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color w:val="auto"/>
                <w:sz w:val="22"/>
                <w:szCs w:val="22"/>
              </w:rPr>
              <w:t>6</w:t>
            </w:r>
            <w:r>
              <w:rPr>
                <w:rFonts w:hint="eastAsia" w:ascii="仿宋_GB2312" w:hAnsi="仿宋_GB2312" w:eastAsia="仿宋_GB2312" w:cs="仿宋_GB2312"/>
                <w:b w:val="0"/>
                <w:bCs w:val="0"/>
                <w:color w:val="auto"/>
                <w:sz w:val="22"/>
                <w:szCs w:val="22"/>
                <w:lang w:val="en-US" w:eastAsia="zh-CN"/>
              </w:rPr>
              <w:t>0</w:t>
            </w:r>
            <w:r>
              <w:rPr>
                <w:rFonts w:hint="eastAsia" w:ascii="仿宋_GB2312" w:hAnsi="仿宋_GB2312" w:eastAsia="仿宋_GB2312" w:cs="仿宋_GB2312"/>
                <w:b w:val="0"/>
                <w:bCs w:val="0"/>
                <w:color w:val="auto"/>
                <w:sz w:val="22"/>
                <w:szCs w:val="22"/>
              </w:rPr>
              <w:t>分以下</w:t>
            </w:r>
          </w:p>
        </w:tc>
      </w:tr>
    </w:tbl>
    <w:p w14:paraId="39F0409E">
      <w:pPr>
        <w:widowControl/>
        <w:spacing w:before="100" w:beforeAutospacing="1" w:after="100" w:afterAutospacing="1" w:line="560" w:lineRule="exact"/>
        <w:ind w:firstLine="420" w:firstLineChars="200"/>
        <w:jc w:val="left"/>
        <w:rPr>
          <w:rFonts w:eastAsia="宋体"/>
          <w:color w:val="auto"/>
          <w:sz w:val="21"/>
        </w:rPr>
      </w:pPr>
    </w:p>
    <w:p w14:paraId="28E7F350">
      <w:pPr>
        <w:rPr>
          <w:color w:val="auto"/>
        </w:rPr>
      </w:pPr>
    </w:p>
    <w:p w14:paraId="6A3A3AD4">
      <w:pPr>
        <w:rPr>
          <w:color w:val="auto"/>
        </w:rPr>
      </w:pPr>
    </w:p>
    <w:p w14:paraId="6C427C18">
      <w:pPr>
        <w:rPr>
          <w:color w:val="auto"/>
        </w:rPr>
      </w:pPr>
    </w:p>
    <w:p w14:paraId="5F174171">
      <w:pPr>
        <w:rPr>
          <w:color w:val="auto"/>
        </w:rPr>
      </w:pPr>
    </w:p>
    <w:sectPr>
      <w:pgSz w:w="11906" w:h="16838"/>
      <w:pgMar w:top="1701" w:right="1588" w:bottom="1701" w:left="1474" w:header="851" w:footer="1134" w:gutter="0"/>
      <w:pgNumType w:fmt="numberInDash"/>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3008">
    <w:pPr>
      <w:pStyle w:val="7"/>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CC4DC4">
                          <w:pPr>
                            <w:pStyle w:val="7"/>
                            <w:ind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5CC4DC4">
                    <w:pPr>
                      <w:pStyle w:val="7"/>
                      <w:ind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22CD2"/>
    <w:multiLevelType w:val="multilevel"/>
    <w:tmpl w:val="E3B22CD2"/>
    <w:lvl w:ilvl="0" w:tentative="0">
      <w:start w:val="1"/>
      <w:numFmt w:val="chineseCounting"/>
      <w:pStyle w:val="4"/>
      <w:suff w:val="nothing"/>
      <w:lvlText w:val="第%1章 "/>
      <w:lvlJc w:val="left"/>
      <w:pPr>
        <w:tabs>
          <w:tab w:val="left" w:pos="0"/>
        </w:tabs>
        <w:ind w:left="0" w:firstLine="0"/>
      </w:pPr>
      <w:rPr>
        <w:rFonts w:hint="eastAsia" w:ascii="宋体" w:hAnsi="宋体" w:eastAsia="黑体" w:cs="宋体"/>
        <w:b w:val="0"/>
        <w:sz w:val="32"/>
      </w:rPr>
    </w:lvl>
    <w:lvl w:ilvl="1" w:tentative="0">
      <w:start w:val="1"/>
      <w:numFmt w:val="chineseCounting"/>
      <w:lvlRestart w:val="0"/>
      <w:suff w:val="nothing"/>
      <w:lvlText w:val="第%2条 "/>
      <w:lvlJc w:val="left"/>
      <w:pPr>
        <w:tabs>
          <w:tab w:val="left" w:pos="0"/>
        </w:tabs>
        <w:ind w:left="0" w:firstLine="40"/>
      </w:pPr>
      <w:rPr>
        <w:rFonts w:hint="eastAsia" w:ascii="宋体" w:hAnsi="宋体" w:eastAsia="宋体" w:cs="宋体"/>
        <w:b/>
        <w:sz w:val="32"/>
        <w:szCs w:val="30"/>
      </w:rPr>
    </w:lvl>
    <w:lvl w:ilvl="2" w:tentative="0">
      <w:start w:val="1"/>
      <w:numFmt w:val="japaneseCounting"/>
      <w:suff w:val="nothing"/>
      <w:lvlText w:val="（%3）"/>
      <w:lvlJc w:val="left"/>
      <w:pPr>
        <w:tabs>
          <w:tab w:val="left" w:pos="1661"/>
        </w:tabs>
        <w:ind w:left="1661" w:firstLine="40"/>
      </w:pPr>
      <w:rPr>
        <w:rFonts w:ascii="Arial" w:hAnsi="Arial" w:eastAsia="仿宋_GB2312" w:cs="Times New Roman"/>
        <w:sz w:val="30"/>
        <w:lang w:val="en-US"/>
      </w:rPr>
    </w:lvl>
    <w:lvl w:ilvl="3" w:tentative="0">
      <w:start w:val="1"/>
      <w:numFmt w:val="none"/>
      <w:lvlRestart w:val="0"/>
      <w:suff w:val="nothing"/>
      <w:lvlText w:val=""/>
      <w:lvlJc w:val="left"/>
      <w:pPr>
        <w:ind w:left="0" w:firstLine="402"/>
      </w:pPr>
      <w:rPr>
        <w:rFonts w:hint="eastAsia" w:ascii="宋体" w:hAnsi="宋体" w:eastAsia="宋体" w:cs="宋体"/>
      </w:rPr>
    </w:lvl>
    <w:lvl w:ilvl="4" w:tentative="0">
      <w:start w:val="1"/>
      <w:numFmt w:val="none"/>
      <w:lvlRestart w:val="0"/>
      <w:suff w:val="nothing"/>
      <w:lvlText w:val=""/>
      <w:lvlJc w:val="left"/>
      <w:pPr>
        <w:ind w:left="0" w:firstLine="402"/>
      </w:pPr>
      <w:rPr>
        <w:rFonts w:hint="eastAsia" w:ascii="宋体" w:hAnsi="宋体" w:eastAsia="宋体" w:cs="宋体"/>
      </w:rPr>
    </w:lvl>
    <w:lvl w:ilvl="5" w:tentative="0">
      <w:start w:val="1"/>
      <w:numFmt w:val="none"/>
      <w:lvlRestart w:val="0"/>
      <w:suff w:val="nothing"/>
      <w:lvlText w:val=""/>
      <w:lvlJc w:val="left"/>
      <w:pPr>
        <w:ind w:left="0" w:firstLine="402"/>
      </w:pPr>
      <w:rPr>
        <w:rFonts w:hint="eastAsia" w:ascii="宋体" w:hAnsi="宋体" w:eastAsia="宋体" w:cs="宋体"/>
      </w:rPr>
    </w:lvl>
    <w:lvl w:ilvl="6" w:tentative="0">
      <w:start w:val="1"/>
      <w:numFmt w:val="none"/>
      <w:lvlRestart w:val="0"/>
      <w:suff w:val="nothing"/>
      <w:lvlText w:val=""/>
      <w:lvlJc w:val="left"/>
      <w:pPr>
        <w:ind w:left="0" w:firstLine="402"/>
      </w:pPr>
      <w:rPr>
        <w:rFonts w:hint="eastAsia" w:ascii="宋体" w:hAnsi="宋体" w:eastAsia="宋体" w:cs="宋体"/>
      </w:rPr>
    </w:lvl>
    <w:lvl w:ilvl="7" w:tentative="0">
      <w:start w:val="1"/>
      <w:numFmt w:val="none"/>
      <w:lvlRestart w:val="0"/>
      <w:suff w:val="nothing"/>
      <w:lvlText w:val=""/>
      <w:lvlJc w:val="left"/>
      <w:pPr>
        <w:ind w:left="0" w:firstLine="402"/>
      </w:pPr>
      <w:rPr>
        <w:rFonts w:hint="eastAsia" w:ascii="宋体" w:hAnsi="宋体" w:eastAsia="宋体" w:cs="宋体"/>
      </w:rPr>
    </w:lvl>
    <w:lvl w:ilvl="8" w:tentative="0">
      <w:start w:val="1"/>
      <w:numFmt w:val="none"/>
      <w:lvlRestart w:val="0"/>
      <w:suff w:val="nothing"/>
      <w:lvlText w:val=""/>
      <w:lvlJc w:val="left"/>
      <w:pPr>
        <w:ind w:left="0" w:firstLine="402"/>
      </w:pPr>
      <w:rPr>
        <w:rFonts w:hint="eastAsia" w:ascii="宋体" w:hAnsi="宋体" w:eastAsia="宋体" w:cs="宋体"/>
      </w:rPr>
    </w:lvl>
  </w:abstractNum>
  <w:abstractNum w:abstractNumId="1">
    <w:nsid w:val="5DD34159"/>
    <w:multiLevelType w:val="singleLevel"/>
    <w:tmpl w:val="5DD34159"/>
    <w:lvl w:ilvl="0" w:tentative="0">
      <w:start w:val="1"/>
      <w:numFmt w:val="chineseCounting"/>
      <w:pStyle w:val="2"/>
      <w:suff w:val="nothing"/>
      <w:lvlText w:val="（%1）"/>
      <w:lvlJc w:val="left"/>
      <w:pPr>
        <w:ind w:firstLine="42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xw">
    <w15:presenceInfo w15:providerId="None" w15:userId="wx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FF7"/>
    <w:rsid w:val="00020710"/>
    <w:rsid w:val="0005040A"/>
    <w:rsid w:val="000616E2"/>
    <w:rsid w:val="00093586"/>
    <w:rsid w:val="000C7392"/>
    <w:rsid w:val="000E4E5C"/>
    <w:rsid w:val="000F4D73"/>
    <w:rsid w:val="00125323"/>
    <w:rsid w:val="001368AF"/>
    <w:rsid w:val="00142FF1"/>
    <w:rsid w:val="00153674"/>
    <w:rsid w:val="00161F55"/>
    <w:rsid w:val="0017053F"/>
    <w:rsid w:val="001946D1"/>
    <w:rsid w:val="001A4AD3"/>
    <w:rsid w:val="001F4DCA"/>
    <w:rsid w:val="0023686A"/>
    <w:rsid w:val="00270B40"/>
    <w:rsid w:val="00285ECE"/>
    <w:rsid w:val="00294F56"/>
    <w:rsid w:val="002A2280"/>
    <w:rsid w:val="002F3440"/>
    <w:rsid w:val="00321007"/>
    <w:rsid w:val="00330D0B"/>
    <w:rsid w:val="0037315C"/>
    <w:rsid w:val="00383CAF"/>
    <w:rsid w:val="00392587"/>
    <w:rsid w:val="003D00D4"/>
    <w:rsid w:val="003D46A2"/>
    <w:rsid w:val="00412C9F"/>
    <w:rsid w:val="00420307"/>
    <w:rsid w:val="00443D3F"/>
    <w:rsid w:val="00445659"/>
    <w:rsid w:val="004B324F"/>
    <w:rsid w:val="004F6247"/>
    <w:rsid w:val="00504C37"/>
    <w:rsid w:val="00512A05"/>
    <w:rsid w:val="00515845"/>
    <w:rsid w:val="00535DFB"/>
    <w:rsid w:val="0058026E"/>
    <w:rsid w:val="00580ED3"/>
    <w:rsid w:val="005B6DFE"/>
    <w:rsid w:val="005C47AA"/>
    <w:rsid w:val="005E1820"/>
    <w:rsid w:val="005E5650"/>
    <w:rsid w:val="00601A95"/>
    <w:rsid w:val="00643756"/>
    <w:rsid w:val="00646004"/>
    <w:rsid w:val="006554C1"/>
    <w:rsid w:val="006832CC"/>
    <w:rsid w:val="006A33A5"/>
    <w:rsid w:val="006A740A"/>
    <w:rsid w:val="006F2CBC"/>
    <w:rsid w:val="00716977"/>
    <w:rsid w:val="00732183"/>
    <w:rsid w:val="007345D9"/>
    <w:rsid w:val="00777D19"/>
    <w:rsid w:val="00793836"/>
    <w:rsid w:val="007A18EA"/>
    <w:rsid w:val="007B4E2E"/>
    <w:rsid w:val="007C2C43"/>
    <w:rsid w:val="007E6633"/>
    <w:rsid w:val="007E6D04"/>
    <w:rsid w:val="00825104"/>
    <w:rsid w:val="008326F7"/>
    <w:rsid w:val="008560CD"/>
    <w:rsid w:val="00856E14"/>
    <w:rsid w:val="0088098D"/>
    <w:rsid w:val="0089720B"/>
    <w:rsid w:val="008A6ED1"/>
    <w:rsid w:val="009304DA"/>
    <w:rsid w:val="00945F8D"/>
    <w:rsid w:val="009703E6"/>
    <w:rsid w:val="009A2E45"/>
    <w:rsid w:val="00A00794"/>
    <w:rsid w:val="00A00C9F"/>
    <w:rsid w:val="00A16B2C"/>
    <w:rsid w:val="00A72BB7"/>
    <w:rsid w:val="00A906B5"/>
    <w:rsid w:val="00AA4E42"/>
    <w:rsid w:val="00B03CFF"/>
    <w:rsid w:val="00B26FF7"/>
    <w:rsid w:val="00B41845"/>
    <w:rsid w:val="00B73FC1"/>
    <w:rsid w:val="00B831FA"/>
    <w:rsid w:val="00B9463B"/>
    <w:rsid w:val="00BA08E3"/>
    <w:rsid w:val="00BB127B"/>
    <w:rsid w:val="00BF0179"/>
    <w:rsid w:val="00C624C9"/>
    <w:rsid w:val="00C67E1E"/>
    <w:rsid w:val="00CA025F"/>
    <w:rsid w:val="00CD64FE"/>
    <w:rsid w:val="00CF7697"/>
    <w:rsid w:val="00D05732"/>
    <w:rsid w:val="00D35228"/>
    <w:rsid w:val="00D42CA4"/>
    <w:rsid w:val="00D73717"/>
    <w:rsid w:val="00D82A73"/>
    <w:rsid w:val="00D97FCE"/>
    <w:rsid w:val="00DA1615"/>
    <w:rsid w:val="00DC0CF1"/>
    <w:rsid w:val="00E01E1A"/>
    <w:rsid w:val="00E038A6"/>
    <w:rsid w:val="00E12A8B"/>
    <w:rsid w:val="00E525E4"/>
    <w:rsid w:val="00E55B20"/>
    <w:rsid w:val="00E6230B"/>
    <w:rsid w:val="00E6235F"/>
    <w:rsid w:val="00EB1E4E"/>
    <w:rsid w:val="00EC212E"/>
    <w:rsid w:val="00EC40E6"/>
    <w:rsid w:val="00EC4460"/>
    <w:rsid w:val="00ED15B0"/>
    <w:rsid w:val="00EF252F"/>
    <w:rsid w:val="00EF7F68"/>
    <w:rsid w:val="00F3735A"/>
    <w:rsid w:val="00FA12E9"/>
    <w:rsid w:val="00FB5696"/>
    <w:rsid w:val="00FB5DE3"/>
    <w:rsid w:val="00FC76A7"/>
    <w:rsid w:val="00FC7CBE"/>
    <w:rsid w:val="00FD5CC3"/>
    <w:rsid w:val="0DFAEFCD"/>
    <w:rsid w:val="10FD2845"/>
    <w:rsid w:val="12FF4B59"/>
    <w:rsid w:val="1367EB03"/>
    <w:rsid w:val="16F7B0D3"/>
    <w:rsid w:val="175B20AC"/>
    <w:rsid w:val="177FEF4F"/>
    <w:rsid w:val="17D5D99D"/>
    <w:rsid w:val="19296F14"/>
    <w:rsid w:val="19FF7D6F"/>
    <w:rsid w:val="19FF89DC"/>
    <w:rsid w:val="1C79BF65"/>
    <w:rsid w:val="1DF62164"/>
    <w:rsid w:val="1FD7B66C"/>
    <w:rsid w:val="1FEE54C3"/>
    <w:rsid w:val="1FFD6953"/>
    <w:rsid w:val="25796EB0"/>
    <w:rsid w:val="26F70AAB"/>
    <w:rsid w:val="26FF2852"/>
    <w:rsid w:val="296B1763"/>
    <w:rsid w:val="2BBF3457"/>
    <w:rsid w:val="2BC842E0"/>
    <w:rsid w:val="2BEDBAAD"/>
    <w:rsid w:val="2D93E178"/>
    <w:rsid w:val="2DFEE6E1"/>
    <w:rsid w:val="2E5AD88F"/>
    <w:rsid w:val="2EA3B57F"/>
    <w:rsid w:val="2F0F2906"/>
    <w:rsid w:val="2F4B432E"/>
    <w:rsid w:val="2F771C29"/>
    <w:rsid w:val="2F7B6CAB"/>
    <w:rsid w:val="32F682A8"/>
    <w:rsid w:val="33CBDA42"/>
    <w:rsid w:val="348777A0"/>
    <w:rsid w:val="356B5812"/>
    <w:rsid w:val="35AD6A32"/>
    <w:rsid w:val="35B505E7"/>
    <w:rsid w:val="35CF2CF0"/>
    <w:rsid w:val="35F58D4F"/>
    <w:rsid w:val="36D735B1"/>
    <w:rsid w:val="37DFD675"/>
    <w:rsid w:val="3ABF8FD5"/>
    <w:rsid w:val="3ADE370B"/>
    <w:rsid w:val="3B9A3053"/>
    <w:rsid w:val="3CFDAA44"/>
    <w:rsid w:val="3D0FAD14"/>
    <w:rsid w:val="3DCBB70C"/>
    <w:rsid w:val="3E7FDCE5"/>
    <w:rsid w:val="3EDFDEE8"/>
    <w:rsid w:val="3F36B32F"/>
    <w:rsid w:val="3F7FE4C6"/>
    <w:rsid w:val="3FAFF068"/>
    <w:rsid w:val="3FBDA11C"/>
    <w:rsid w:val="3FDF5048"/>
    <w:rsid w:val="3FFCC559"/>
    <w:rsid w:val="45D93B20"/>
    <w:rsid w:val="464AF03E"/>
    <w:rsid w:val="46BBB2AE"/>
    <w:rsid w:val="47E6C3C6"/>
    <w:rsid w:val="47FD82CF"/>
    <w:rsid w:val="496EDD98"/>
    <w:rsid w:val="49F25DC4"/>
    <w:rsid w:val="4BFF5C06"/>
    <w:rsid w:val="4DFF9C7C"/>
    <w:rsid w:val="4F4F3A4A"/>
    <w:rsid w:val="4F5FA77C"/>
    <w:rsid w:val="4F8E7195"/>
    <w:rsid w:val="4FFFFDE5"/>
    <w:rsid w:val="517B8860"/>
    <w:rsid w:val="518FEC90"/>
    <w:rsid w:val="5379A87D"/>
    <w:rsid w:val="53EDFFE4"/>
    <w:rsid w:val="53FDFFF4"/>
    <w:rsid w:val="557789F1"/>
    <w:rsid w:val="55BBFE83"/>
    <w:rsid w:val="567DC276"/>
    <w:rsid w:val="577E36B5"/>
    <w:rsid w:val="57FFECC2"/>
    <w:rsid w:val="597E03E7"/>
    <w:rsid w:val="5A966B58"/>
    <w:rsid w:val="5BEE5F86"/>
    <w:rsid w:val="5BFB5326"/>
    <w:rsid w:val="5BFF4E27"/>
    <w:rsid w:val="5C6F7FBE"/>
    <w:rsid w:val="5CBF309E"/>
    <w:rsid w:val="5DAEF783"/>
    <w:rsid w:val="5DBEC7E8"/>
    <w:rsid w:val="5E4F7A99"/>
    <w:rsid w:val="5EBFEE33"/>
    <w:rsid w:val="5F379F83"/>
    <w:rsid w:val="5F7EE4BD"/>
    <w:rsid w:val="5F7F107E"/>
    <w:rsid w:val="5F96B3B9"/>
    <w:rsid w:val="5FA589FB"/>
    <w:rsid w:val="5FB785AB"/>
    <w:rsid w:val="5FD2DF7D"/>
    <w:rsid w:val="5FDED84B"/>
    <w:rsid w:val="5FFA71EC"/>
    <w:rsid w:val="5FFD20C8"/>
    <w:rsid w:val="5FFD9FCD"/>
    <w:rsid w:val="5FFDC656"/>
    <w:rsid w:val="5FFE67ED"/>
    <w:rsid w:val="5FFF3806"/>
    <w:rsid w:val="5FFF415A"/>
    <w:rsid w:val="5FFFA5DB"/>
    <w:rsid w:val="5FFFF304"/>
    <w:rsid w:val="61717E1F"/>
    <w:rsid w:val="62EF1A40"/>
    <w:rsid w:val="635F86BA"/>
    <w:rsid w:val="64FDD6C1"/>
    <w:rsid w:val="65FF2D4E"/>
    <w:rsid w:val="67DF8E66"/>
    <w:rsid w:val="67FF889F"/>
    <w:rsid w:val="68F80309"/>
    <w:rsid w:val="6A9FC8C8"/>
    <w:rsid w:val="6AB9C50D"/>
    <w:rsid w:val="6AFD2562"/>
    <w:rsid w:val="6B73252A"/>
    <w:rsid w:val="6B7627B0"/>
    <w:rsid w:val="6BB90A4F"/>
    <w:rsid w:val="6BDF1733"/>
    <w:rsid w:val="6BF96579"/>
    <w:rsid w:val="6BFA8B0C"/>
    <w:rsid w:val="6EE79A9D"/>
    <w:rsid w:val="6EEFAAD0"/>
    <w:rsid w:val="6EF9CB2D"/>
    <w:rsid w:val="6F3F2CD0"/>
    <w:rsid w:val="6F7D26B2"/>
    <w:rsid w:val="6F7F7DB2"/>
    <w:rsid w:val="6F87B9D7"/>
    <w:rsid w:val="6F9A5DAD"/>
    <w:rsid w:val="6FB3927E"/>
    <w:rsid w:val="6FC08285"/>
    <w:rsid w:val="6FCBAE21"/>
    <w:rsid w:val="6FD3CA17"/>
    <w:rsid w:val="6FD9D5FA"/>
    <w:rsid w:val="6FE70018"/>
    <w:rsid w:val="6FED86E2"/>
    <w:rsid w:val="6FEFAA94"/>
    <w:rsid w:val="6FF5F36F"/>
    <w:rsid w:val="6FF64A39"/>
    <w:rsid w:val="6FF7BC05"/>
    <w:rsid w:val="6FFDAE43"/>
    <w:rsid w:val="6FFE7385"/>
    <w:rsid w:val="6FFFF719"/>
    <w:rsid w:val="7194898E"/>
    <w:rsid w:val="728277B6"/>
    <w:rsid w:val="72AF6667"/>
    <w:rsid w:val="73AFEF33"/>
    <w:rsid w:val="73BF6B48"/>
    <w:rsid w:val="73D29710"/>
    <w:rsid w:val="73D9F10A"/>
    <w:rsid w:val="73EF0F0E"/>
    <w:rsid w:val="73F9EE9D"/>
    <w:rsid w:val="73FDBE79"/>
    <w:rsid w:val="73FE009E"/>
    <w:rsid w:val="73FF9F87"/>
    <w:rsid w:val="74DF0E70"/>
    <w:rsid w:val="75FFFB5F"/>
    <w:rsid w:val="767BC1B5"/>
    <w:rsid w:val="76BD580A"/>
    <w:rsid w:val="76DB7145"/>
    <w:rsid w:val="76DBA993"/>
    <w:rsid w:val="76F90D6C"/>
    <w:rsid w:val="76FA8E7F"/>
    <w:rsid w:val="76FD77DA"/>
    <w:rsid w:val="776BFE8D"/>
    <w:rsid w:val="777E54ED"/>
    <w:rsid w:val="777F1F05"/>
    <w:rsid w:val="77AE6D95"/>
    <w:rsid w:val="77B678AC"/>
    <w:rsid w:val="77B8AB20"/>
    <w:rsid w:val="77BB4276"/>
    <w:rsid w:val="77DDD5ED"/>
    <w:rsid w:val="77F5AB17"/>
    <w:rsid w:val="77F70CB9"/>
    <w:rsid w:val="77F7E571"/>
    <w:rsid w:val="77FFB215"/>
    <w:rsid w:val="77FFF129"/>
    <w:rsid w:val="783B3015"/>
    <w:rsid w:val="78C90582"/>
    <w:rsid w:val="78DD0E9E"/>
    <w:rsid w:val="78FF42D6"/>
    <w:rsid w:val="791F1908"/>
    <w:rsid w:val="794331EA"/>
    <w:rsid w:val="79DBD834"/>
    <w:rsid w:val="79FF9006"/>
    <w:rsid w:val="7A474642"/>
    <w:rsid w:val="7AFF177D"/>
    <w:rsid w:val="7AFFF21F"/>
    <w:rsid w:val="7B2607D5"/>
    <w:rsid w:val="7B2D86BC"/>
    <w:rsid w:val="7B7AAD24"/>
    <w:rsid w:val="7B7BE956"/>
    <w:rsid w:val="7B9763C5"/>
    <w:rsid w:val="7B9F37AB"/>
    <w:rsid w:val="7BA375D9"/>
    <w:rsid w:val="7BBD7CB4"/>
    <w:rsid w:val="7BDFF3CE"/>
    <w:rsid w:val="7BE15C76"/>
    <w:rsid w:val="7BF70B05"/>
    <w:rsid w:val="7BFD3075"/>
    <w:rsid w:val="7BFFD255"/>
    <w:rsid w:val="7C7F4A77"/>
    <w:rsid w:val="7C9A4E3B"/>
    <w:rsid w:val="7CD34145"/>
    <w:rsid w:val="7CEA8A3E"/>
    <w:rsid w:val="7CFF81C5"/>
    <w:rsid w:val="7D6E7357"/>
    <w:rsid w:val="7DDFF5D9"/>
    <w:rsid w:val="7DEBBCA4"/>
    <w:rsid w:val="7DFDA2BB"/>
    <w:rsid w:val="7DFF4F15"/>
    <w:rsid w:val="7E6B29B1"/>
    <w:rsid w:val="7E758453"/>
    <w:rsid w:val="7EBFE5F1"/>
    <w:rsid w:val="7EE3DADA"/>
    <w:rsid w:val="7EEF6280"/>
    <w:rsid w:val="7EEFA7B3"/>
    <w:rsid w:val="7EF78B28"/>
    <w:rsid w:val="7EF7BE03"/>
    <w:rsid w:val="7EFE1D31"/>
    <w:rsid w:val="7EFEC56A"/>
    <w:rsid w:val="7EFF22F8"/>
    <w:rsid w:val="7F3735A7"/>
    <w:rsid w:val="7F3DD598"/>
    <w:rsid w:val="7F63C9B7"/>
    <w:rsid w:val="7F6519FE"/>
    <w:rsid w:val="7F7F2415"/>
    <w:rsid w:val="7F974820"/>
    <w:rsid w:val="7FBB48B9"/>
    <w:rsid w:val="7FBB884E"/>
    <w:rsid w:val="7FBF3B93"/>
    <w:rsid w:val="7FDB67CB"/>
    <w:rsid w:val="7FDF33B8"/>
    <w:rsid w:val="7FDFA536"/>
    <w:rsid w:val="7FE44B14"/>
    <w:rsid w:val="7FE7960E"/>
    <w:rsid w:val="7FF41682"/>
    <w:rsid w:val="7FF6A289"/>
    <w:rsid w:val="7FFBA834"/>
    <w:rsid w:val="7FFBEB5D"/>
    <w:rsid w:val="7FFE95EC"/>
    <w:rsid w:val="7FFECE15"/>
    <w:rsid w:val="7FFFA2AA"/>
    <w:rsid w:val="7FFFA43D"/>
    <w:rsid w:val="8976211E"/>
    <w:rsid w:val="89FD8C0D"/>
    <w:rsid w:val="8E39A52D"/>
    <w:rsid w:val="8F3A6F7E"/>
    <w:rsid w:val="8FFAE40E"/>
    <w:rsid w:val="8FFF1E77"/>
    <w:rsid w:val="94DF3E2C"/>
    <w:rsid w:val="96FF5CB7"/>
    <w:rsid w:val="97FFC06E"/>
    <w:rsid w:val="99F7ABBC"/>
    <w:rsid w:val="9AFECDA9"/>
    <w:rsid w:val="9BBFE013"/>
    <w:rsid w:val="9BF78641"/>
    <w:rsid w:val="9F779EA8"/>
    <w:rsid w:val="9FAE4AD9"/>
    <w:rsid w:val="9FBE63B8"/>
    <w:rsid w:val="9FF14E86"/>
    <w:rsid w:val="9FFD3190"/>
    <w:rsid w:val="9FFFAD0F"/>
    <w:rsid w:val="A5F2E265"/>
    <w:rsid w:val="A77E6AF5"/>
    <w:rsid w:val="ABF7719D"/>
    <w:rsid w:val="ADFB76B5"/>
    <w:rsid w:val="AEBDD374"/>
    <w:rsid w:val="AEF37DF1"/>
    <w:rsid w:val="AF7EF641"/>
    <w:rsid w:val="AF7FE529"/>
    <w:rsid w:val="AFBE5FA3"/>
    <w:rsid w:val="AFEB0204"/>
    <w:rsid w:val="AFFCA9B6"/>
    <w:rsid w:val="B3FF4382"/>
    <w:rsid w:val="B5DB6F0D"/>
    <w:rsid w:val="B5FF32C3"/>
    <w:rsid w:val="B77F4E2A"/>
    <w:rsid w:val="B77FBF31"/>
    <w:rsid w:val="B7B942B3"/>
    <w:rsid w:val="B7EBD8C1"/>
    <w:rsid w:val="B7FF53A6"/>
    <w:rsid w:val="BA6E34C1"/>
    <w:rsid w:val="BADB90A3"/>
    <w:rsid w:val="BB29B855"/>
    <w:rsid w:val="BBE73709"/>
    <w:rsid w:val="BBEE8B38"/>
    <w:rsid w:val="BBFF2CB3"/>
    <w:rsid w:val="BC3BC5C7"/>
    <w:rsid w:val="BCAF0C86"/>
    <w:rsid w:val="BDDFE8B6"/>
    <w:rsid w:val="BDF76C29"/>
    <w:rsid w:val="BDF79AB5"/>
    <w:rsid w:val="BDFB66E6"/>
    <w:rsid w:val="BE6FABA7"/>
    <w:rsid w:val="BE7B8EC7"/>
    <w:rsid w:val="BEB64270"/>
    <w:rsid w:val="BEE7CF26"/>
    <w:rsid w:val="BEF7D0E2"/>
    <w:rsid w:val="BF1B4AF9"/>
    <w:rsid w:val="BF4E3188"/>
    <w:rsid w:val="BF73D1F8"/>
    <w:rsid w:val="BFFA188B"/>
    <w:rsid w:val="BFFBCBE8"/>
    <w:rsid w:val="BFFF5DDF"/>
    <w:rsid w:val="C7FB55E7"/>
    <w:rsid w:val="C7FB674C"/>
    <w:rsid w:val="C9D92D5B"/>
    <w:rsid w:val="CEFE10D7"/>
    <w:rsid w:val="CFAFC4C5"/>
    <w:rsid w:val="CFBAC7D5"/>
    <w:rsid w:val="CFF5E8E9"/>
    <w:rsid w:val="CFFB30D2"/>
    <w:rsid w:val="CFFBCE8C"/>
    <w:rsid w:val="D33D560B"/>
    <w:rsid w:val="D37F1209"/>
    <w:rsid w:val="D3D7597F"/>
    <w:rsid w:val="D5FE0478"/>
    <w:rsid w:val="D6377157"/>
    <w:rsid w:val="D6BFEBBA"/>
    <w:rsid w:val="D72B00A8"/>
    <w:rsid w:val="D73B0B4E"/>
    <w:rsid w:val="D77F3DB0"/>
    <w:rsid w:val="D77FE7C0"/>
    <w:rsid w:val="D7A36E6F"/>
    <w:rsid w:val="D7CC9509"/>
    <w:rsid w:val="D7D1D6C2"/>
    <w:rsid w:val="D7DF2EBF"/>
    <w:rsid w:val="D7FFA9A9"/>
    <w:rsid w:val="D98EED82"/>
    <w:rsid w:val="DBABCBDD"/>
    <w:rsid w:val="DBBCF9C1"/>
    <w:rsid w:val="DBE54F08"/>
    <w:rsid w:val="DC7543D9"/>
    <w:rsid w:val="DCFF039D"/>
    <w:rsid w:val="DD2F71B9"/>
    <w:rsid w:val="DD9E2E39"/>
    <w:rsid w:val="DD9E48FD"/>
    <w:rsid w:val="DDAF28C3"/>
    <w:rsid w:val="DDBF68D3"/>
    <w:rsid w:val="DDCF4B54"/>
    <w:rsid w:val="DDFBAA99"/>
    <w:rsid w:val="DDFFB7BC"/>
    <w:rsid w:val="DDFFD8B8"/>
    <w:rsid w:val="DE6F713E"/>
    <w:rsid w:val="DEBD0F6B"/>
    <w:rsid w:val="DEBD9394"/>
    <w:rsid w:val="DED73B18"/>
    <w:rsid w:val="DEFD44D3"/>
    <w:rsid w:val="DF3AB5C6"/>
    <w:rsid w:val="DF5B8331"/>
    <w:rsid w:val="DF5F2649"/>
    <w:rsid w:val="DF6FC10F"/>
    <w:rsid w:val="DF7BE73C"/>
    <w:rsid w:val="DFB70061"/>
    <w:rsid w:val="DFF316E1"/>
    <w:rsid w:val="DFF5D3A9"/>
    <w:rsid w:val="E2EB6C4F"/>
    <w:rsid w:val="E4FF9AB8"/>
    <w:rsid w:val="E597625C"/>
    <w:rsid w:val="E6F7C222"/>
    <w:rsid w:val="E79FBFB8"/>
    <w:rsid w:val="E7F3AC81"/>
    <w:rsid w:val="E7F535FB"/>
    <w:rsid w:val="E7FB4D0D"/>
    <w:rsid w:val="E7FF5AF7"/>
    <w:rsid w:val="E97F3FD2"/>
    <w:rsid w:val="E9C45B0D"/>
    <w:rsid w:val="EA5F73CD"/>
    <w:rsid w:val="EA8EA45C"/>
    <w:rsid w:val="EAECFFA6"/>
    <w:rsid w:val="EAEED082"/>
    <w:rsid w:val="EBCFCB63"/>
    <w:rsid w:val="EBD931FB"/>
    <w:rsid w:val="EBEFA1F2"/>
    <w:rsid w:val="ED596A57"/>
    <w:rsid w:val="EDB03A84"/>
    <w:rsid w:val="EDE71F1B"/>
    <w:rsid w:val="EDFBED54"/>
    <w:rsid w:val="EDFCC516"/>
    <w:rsid w:val="EF7D8DBE"/>
    <w:rsid w:val="EFB51D36"/>
    <w:rsid w:val="EFDFA92A"/>
    <w:rsid w:val="EFE0BCC3"/>
    <w:rsid w:val="EFF933E3"/>
    <w:rsid w:val="EFFADF4C"/>
    <w:rsid w:val="EFFAF0DF"/>
    <w:rsid w:val="F1BC64A6"/>
    <w:rsid w:val="F1FED163"/>
    <w:rsid w:val="F2B6DAA0"/>
    <w:rsid w:val="F35F28D7"/>
    <w:rsid w:val="F37F55F4"/>
    <w:rsid w:val="F3A63EC8"/>
    <w:rsid w:val="F3FB3A26"/>
    <w:rsid w:val="F3FE1A12"/>
    <w:rsid w:val="F3FF4421"/>
    <w:rsid w:val="F3FF9A5F"/>
    <w:rsid w:val="F471F044"/>
    <w:rsid w:val="F4EF7AEC"/>
    <w:rsid w:val="F56953B8"/>
    <w:rsid w:val="F5BFD155"/>
    <w:rsid w:val="F5DBF2CB"/>
    <w:rsid w:val="F5DF793E"/>
    <w:rsid w:val="F5F37CA7"/>
    <w:rsid w:val="F5F749CB"/>
    <w:rsid w:val="F6735322"/>
    <w:rsid w:val="F6E40349"/>
    <w:rsid w:val="F6FD633E"/>
    <w:rsid w:val="F768DEBC"/>
    <w:rsid w:val="F7BECBF4"/>
    <w:rsid w:val="F7BF8923"/>
    <w:rsid w:val="F7D78297"/>
    <w:rsid w:val="F7DEFEC3"/>
    <w:rsid w:val="F7E71338"/>
    <w:rsid w:val="F7EFA58E"/>
    <w:rsid w:val="F7F76814"/>
    <w:rsid w:val="F7FC1DB1"/>
    <w:rsid w:val="F7FF238F"/>
    <w:rsid w:val="F7FFD030"/>
    <w:rsid w:val="F8DFD945"/>
    <w:rsid w:val="F95FE3AA"/>
    <w:rsid w:val="F97E1820"/>
    <w:rsid w:val="F98FD31B"/>
    <w:rsid w:val="F9DFA7D2"/>
    <w:rsid w:val="F9EF8A60"/>
    <w:rsid w:val="F9FF4DD4"/>
    <w:rsid w:val="FBBFE90B"/>
    <w:rsid w:val="FBD2A318"/>
    <w:rsid w:val="FBEE9A18"/>
    <w:rsid w:val="FBEF3BBF"/>
    <w:rsid w:val="FBEF4F0D"/>
    <w:rsid w:val="FBF32B12"/>
    <w:rsid w:val="FBF3A905"/>
    <w:rsid w:val="FBFF88C8"/>
    <w:rsid w:val="FBFFEE11"/>
    <w:rsid w:val="FBFFF108"/>
    <w:rsid w:val="FCCF85D9"/>
    <w:rsid w:val="FD6BF757"/>
    <w:rsid w:val="FDB7E799"/>
    <w:rsid w:val="FDCB5A5D"/>
    <w:rsid w:val="FDD6FC1D"/>
    <w:rsid w:val="FDDB23D3"/>
    <w:rsid w:val="FDDDDE18"/>
    <w:rsid w:val="FDEDA4A2"/>
    <w:rsid w:val="FDF756DD"/>
    <w:rsid w:val="FDFF7027"/>
    <w:rsid w:val="FE1FB838"/>
    <w:rsid w:val="FE2ADA11"/>
    <w:rsid w:val="FE7FC22A"/>
    <w:rsid w:val="FE9A2319"/>
    <w:rsid w:val="FEAFD820"/>
    <w:rsid w:val="FEBDEBB6"/>
    <w:rsid w:val="FEBF623C"/>
    <w:rsid w:val="FEDD0D72"/>
    <w:rsid w:val="FEDE3D2B"/>
    <w:rsid w:val="FEEF6D1C"/>
    <w:rsid w:val="FEFDB9ED"/>
    <w:rsid w:val="FEFED792"/>
    <w:rsid w:val="FEFF700C"/>
    <w:rsid w:val="FF3B62AD"/>
    <w:rsid w:val="FF3F425B"/>
    <w:rsid w:val="FF5D2A4F"/>
    <w:rsid w:val="FF6E3DD8"/>
    <w:rsid w:val="FF6F9C4C"/>
    <w:rsid w:val="FF8E6247"/>
    <w:rsid w:val="FF9BFA7D"/>
    <w:rsid w:val="FFAD260D"/>
    <w:rsid w:val="FFAFF885"/>
    <w:rsid w:val="FFB5F43E"/>
    <w:rsid w:val="FFBAF2C7"/>
    <w:rsid w:val="FFBCFEC6"/>
    <w:rsid w:val="FFBF19A4"/>
    <w:rsid w:val="FFBF7483"/>
    <w:rsid w:val="FFCED8DE"/>
    <w:rsid w:val="FFCF895A"/>
    <w:rsid w:val="FFCFDF50"/>
    <w:rsid w:val="FFD51B91"/>
    <w:rsid w:val="FFDB40B3"/>
    <w:rsid w:val="FFDFFDBD"/>
    <w:rsid w:val="FFE404D4"/>
    <w:rsid w:val="FFE7B7BE"/>
    <w:rsid w:val="FFEA7BC5"/>
    <w:rsid w:val="FFED1D3D"/>
    <w:rsid w:val="FFEE7B01"/>
    <w:rsid w:val="FFF18F9F"/>
    <w:rsid w:val="FFF5F825"/>
    <w:rsid w:val="FFF67339"/>
    <w:rsid w:val="FFFB1A53"/>
    <w:rsid w:val="FFFB4D91"/>
    <w:rsid w:val="FFFBB548"/>
    <w:rsid w:val="FFFD08F3"/>
    <w:rsid w:val="FFFDC509"/>
    <w:rsid w:val="FFFE895E"/>
    <w:rsid w:val="FFFF9B79"/>
    <w:rsid w:val="FFFFAF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spacing w:before="0" w:beforeAutospacing="1" w:after="0" w:afterAutospacing="1" w:line="700" w:lineRule="exact"/>
      <w:ind w:firstLine="0" w:firstLineChars="0"/>
      <w:jc w:val="center"/>
      <w:outlineLvl w:val="0"/>
    </w:pPr>
    <w:rPr>
      <w:rFonts w:hint="eastAsia" w:ascii="宋体" w:hAnsi="宋体" w:eastAsia="方正小标宋简体" w:cs="宋体"/>
      <w:kern w:val="44"/>
      <w:sz w:val="44"/>
      <w:szCs w:val="44"/>
      <w:lang w:bidi="ar"/>
    </w:rPr>
  </w:style>
  <w:style w:type="paragraph" w:styleId="4">
    <w:name w:val="heading 2"/>
    <w:basedOn w:val="1"/>
    <w:next w:val="1"/>
    <w:unhideWhenUsed/>
    <w:qFormat/>
    <w:uiPriority w:val="0"/>
    <w:pPr>
      <w:keepNext/>
      <w:keepLines/>
      <w:numPr>
        <w:ilvl w:val="0"/>
        <w:numId w:val="1"/>
      </w:numPr>
      <w:adjustRightInd w:val="0"/>
      <w:snapToGrid w:val="0"/>
      <w:spacing w:before="50" w:beforeLines="50" w:after="50" w:afterLines="50" w:line="360" w:lineRule="auto"/>
      <w:ind w:firstLineChars="0"/>
      <w:jc w:val="center"/>
      <w:outlineLvl w:val="1"/>
    </w:pPr>
    <w:rPr>
      <w:rFonts w:ascii="Arial" w:hAnsi="Arial" w:eastAsia="黑体"/>
    </w:rPr>
  </w:style>
  <w:style w:type="paragraph" w:styleId="5">
    <w:name w:val="heading 4"/>
    <w:basedOn w:val="1"/>
    <w:next w:val="1"/>
    <w:link w:val="2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numPr>
        <w:ilvl w:val="0"/>
        <w:numId w:val="2"/>
      </w:numPr>
      <w:spacing w:before="120" w:after="120"/>
      <w:textAlignment w:val="baseline"/>
    </w:pPr>
    <w:rPr>
      <w:rFonts w:ascii="Cambria" w:hAnsi="Cambria" w:eastAsia="楷体"/>
      <w:szCs w:val="24"/>
    </w:rPr>
  </w:style>
  <w:style w:type="paragraph" w:styleId="6">
    <w:name w:val="annotation text"/>
    <w:basedOn w:val="1"/>
    <w:link w:val="15"/>
    <w:qFormat/>
    <w:uiPriority w:val="0"/>
    <w:pPr>
      <w:jc w:val="left"/>
    </w:p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annotation subject"/>
    <w:basedOn w:val="6"/>
    <w:next w:val="6"/>
    <w:link w:val="18"/>
    <w:qFormat/>
    <w:uiPriority w:val="0"/>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character" w:customStyle="1" w:styleId="15">
    <w:name w:val="批注文字 字符"/>
    <w:basedOn w:val="13"/>
    <w:link w:val="6"/>
    <w:qFormat/>
    <w:uiPriority w:val="0"/>
    <w:rPr>
      <w:rFonts w:ascii="Calibri" w:hAnsi="Calibri"/>
      <w:kern w:val="2"/>
      <w:sz w:val="21"/>
      <w:szCs w:val="24"/>
    </w:rPr>
  </w:style>
  <w:style w:type="character" w:customStyle="1" w:styleId="16">
    <w:name w:val="页脚 字符"/>
    <w:basedOn w:val="13"/>
    <w:link w:val="7"/>
    <w:qFormat/>
    <w:uiPriority w:val="0"/>
    <w:rPr>
      <w:rFonts w:ascii="Calibri" w:hAnsi="Calibri"/>
      <w:kern w:val="2"/>
      <w:sz w:val="18"/>
      <w:szCs w:val="18"/>
    </w:rPr>
  </w:style>
  <w:style w:type="character" w:customStyle="1" w:styleId="17">
    <w:name w:val="页眉 字符"/>
    <w:basedOn w:val="13"/>
    <w:link w:val="8"/>
    <w:qFormat/>
    <w:uiPriority w:val="0"/>
    <w:rPr>
      <w:rFonts w:ascii="Calibri" w:hAnsi="Calibri"/>
      <w:kern w:val="2"/>
      <w:sz w:val="18"/>
      <w:szCs w:val="18"/>
    </w:rPr>
  </w:style>
  <w:style w:type="character" w:customStyle="1" w:styleId="18">
    <w:name w:val="批注主题 字符"/>
    <w:basedOn w:val="15"/>
    <w:link w:val="10"/>
    <w:qFormat/>
    <w:uiPriority w:val="0"/>
    <w:rPr>
      <w:rFonts w:ascii="Calibri" w:hAnsi="Calibri"/>
      <w:b/>
      <w:bCs/>
      <w:kern w:val="2"/>
      <w:sz w:val="21"/>
      <w:szCs w:val="24"/>
    </w:rPr>
  </w:style>
  <w:style w:type="paragraph" w:customStyle="1" w:styleId="19">
    <w:name w:val="Revision"/>
    <w:semiHidden/>
    <w:qFormat/>
    <w:uiPriority w:val="99"/>
    <w:rPr>
      <w:rFonts w:ascii="Calibri" w:hAnsi="Calibri" w:eastAsia="宋体" w:cs="Times New Roman"/>
      <w:kern w:val="2"/>
      <w:sz w:val="21"/>
      <w:szCs w:val="24"/>
      <w:lang w:val="en-US" w:eastAsia="zh-CN" w:bidi="ar-SA"/>
    </w:rPr>
  </w:style>
  <w:style w:type="paragraph" w:styleId="20">
    <w:name w:val="List Paragraph"/>
    <w:basedOn w:val="1"/>
    <w:qFormat/>
    <w:uiPriority w:val="99"/>
    <w:pPr>
      <w:ind w:firstLine="420" w:firstLineChars="200"/>
    </w:pPr>
  </w:style>
  <w:style w:type="character" w:customStyle="1" w:styleId="21">
    <w:name w:val="标题 4 Char"/>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6803</Words>
  <Characters>6932</Characters>
  <Lines>1</Lines>
  <Paragraphs>1</Paragraphs>
  <TotalTime>8</TotalTime>
  <ScaleCrop>false</ScaleCrop>
  <LinksUpToDate>false</LinksUpToDate>
  <CharactersWithSpaces>6991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2020-06-06T09:52:00Z</dcterms:created>
  <dc:creator>uos</dc:creator>
  <cp:lastModifiedBy>uos</cp:lastModifiedBy>
  <cp:lastPrinted>2025-04-07T19:39:00Z</cp:lastPrinted>
  <dcterms:modified xsi:type="dcterms:W3CDTF">2025-07-14T14:48:26Z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D0004072D6B70C353AA874682D6E19AA_43</vt:lpwstr>
  </property>
</Properties>
</file>