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46" w:rsidRPr="001F31A3" w:rsidRDefault="00CA1744" w:rsidP="0069577F">
      <w:pPr>
        <w:spacing w:beforeLines="50" w:before="156" w:afterLines="50" w:after="156" w:line="360" w:lineRule="auto"/>
        <w:ind w:firstLineChars="0" w:firstLine="0"/>
        <w:jc w:val="center"/>
        <w:outlineLvl w:val="0"/>
        <w:rPr>
          <w:rFonts w:ascii="方正小标宋简体" w:eastAsia="方正小标宋简体" w:hAnsi="方正小标宋简体"/>
          <w:bCs/>
          <w:sz w:val="44"/>
          <w:szCs w:val="44"/>
        </w:rPr>
      </w:pPr>
      <w:bookmarkStart w:id="0" w:name="_Toc104283965"/>
      <w:bookmarkStart w:id="1" w:name="_Toc104284230"/>
      <w:bookmarkStart w:id="2" w:name="_Toc103951117"/>
      <w:bookmarkStart w:id="3" w:name="_Toc1367956153"/>
      <w:bookmarkStart w:id="4" w:name="_Toc103375146"/>
      <w:bookmarkStart w:id="5" w:name="_Toc830654005"/>
      <w:bookmarkStart w:id="6" w:name="_Toc103615561"/>
      <w:bookmarkStart w:id="7" w:name="_Toc103970393"/>
      <w:bookmarkStart w:id="8" w:name="_Toc103951204"/>
      <w:bookmarkStart w:id="9" w:name="_Toc103373560"/>
      <w:bookmarkStart w:id="10" w:name="_Toc103619188"/>
      <w:bookmarkStart w:id="11" w:name="_Toc104026905"/>
      <w:bookmarkStart w:id="12" w:name="_Toc103375011"/>
      <w:bookmarkStart w:id="13" w:name="_Toc103970059"/>
      <w:bookmarkStart w:id="14" w:name="_Toc81484666"/>
      <w:bookmarkStart w:id="15" w:name="_Toc515962800"/>
      <w:r w:rsidRPr="001F31A3">
        <w:rPr>
          <w:rFonts w:ascii="方正小标宋简体" w:eastAsia="方正小标宋简体" w:hAnsi="方正小标宋简体" w:hint="eastAsia"/>
          <w:bCs/>
          <w:sz w:val="44"/>
          <w:szCs w:val="44"/>
        </w:rPr>
        <w:t>北京市城市更新条例</w:t>
      </w:r>
      <w:bookmarkEnd w:id="0"/>
      <w:bookmarkEnd w:id="1"/>
      <w:bookmarkEnd w:id="2"/>
      <w:bookmarkEnd w:id="3"/>
      <w:bookmarkEnd w:id="4"/>
      <w:bookmarkEnd w:id="5"/>
      <w:bookmarkEnd w:id="6"/>
      <w:bookmarkEnd w:id="7"/>
      <w:bookmarkEnd w:id="8"/>
      <w:bookmarkEnd w:id="9"/>
      <w:bookmarkEnd w:id="10"/>
      <w:bookmarkEnd w:id="11"/>
      <w:bookmarkEnd w:id="12"/>
      <w:bookmarkEnd w:id="13"/>
    </w:p>
    <w:p w:rsidR="00A62746" w:rsidRPr="001F31A3" w:rsidRDefault="00CA1744" w:rsidP="0069577F">
      <w:pPr>
        <w:spacing w:beforeLines="50" w:before="156" w:afterLines="50" w:after="156" w:line="360" w:lineRule="auto"/>
        <w:ind w:firstLineChars="0" w:firstLine="0"/>
        <w:jc w:val="center"/>
        <w:outlineLvl w:val="0"/>
        <w:rPr>
          <w:rFonts w:ascii="仿宋" w:hAnsi="仿宋" w:cs="Arial"/>
          <w:bCs/>
          <w:iCs/>
          <w:color w:val="000000"/>
          <w:szCs w:val="32"/>
        </w:rPr>
      </w:pPr>
      <w:bookmarkStart w:id="16" w:name="_Toc104284231"/>
      <w:bookmarkStart w:id="17" w:name="_Toc104026906"/>
      <w:bookmarkStart w:id="18" w:name="_Toc1614886695"/>
      <w:bookmarkStart w:id="19" w:name="_Toc103951118"/>
      <w:bookmarkStart w:id="20" w:name="_Toc103615562"/>
      <w:bookmarkStart w:id="21" w:name="_Toc104283966"/>
      <w:bookmarkStart w:id="22" w:name="_Toc103970060"/>
      <w:bookmarkStart w:id="23" w:name="_Toc103951205"/>
      <w:bookmarkStart w:id="24" w:name="_Toc103375012"/>
      <w:bookmarkStart w:id="25" w:name="_Toc103619189"/>
      <w:bookmarkStart w:id="26" w:name="_Toc103375147"/>
      <w:bookmarkStart w:id="27" w:name="_Toc103373561"/>
      <w:bookmarkStart w:id="28" w:name="_Toc1865113923"/>
      <w:bookmarkStart w:id="29" w:name="_Toc103970394"/>
      <w:r w:rsidRPr="001F31A3">
        <w:rPr>
          <w:rFonts w:ascii="仿宋" w:hAnsi="仿宋" w:cs="Arial" w:hint="eastAsia"/>
          <w:bCs/>
          <w:iCs/>
          <w:color w:val="000000"/>
          <w:szCs w:val="32"/>
        </w:rPr>
        <w:t>（</w:t>
      </w:r>
      <w:r w:rsidR="00E178B7" w:rsidRPr="001F31A3">
        <w:rPr>
          <w:rFonts w:ascii="仿宋" w:hAnsi="仿宋" w:cs="Arial" w:hint="eastAsia"/>
          <w:bCs/>
          <w:iCs/>
          <w:color w:val="000000"/>
          <w:szCs w:val="32"/>
        </w:rPr>
        <w:t>征求意见稿</w:t>
      </w:r>
      <w:r w:rsidRPr="001F31A3">
        <w:rPr>
          <w:rFonts w:ascii="仿宋" w:hAnsi="仿宋" w:cs="Arial" w:hint="eastAsia"/>
          <w:bCs/>
          <w:iCs/>
          <w:color w:val="000000"/>
          <w:szCs w:val="32"/>
        </w:rPr>
        <w:t>）</w:t>
      </w:r>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p>
    <w:bookmarkEnd w:id="15"/>
    <w:p w:rsidR="00E178B7" w:rsidRPr="0069577F" w:rsidRDefault="00E178B7" w:rsidP="00E178B7">
      <w:pPr>
        <w:pStyle w:val="a0"/>
        <w:ind w:firstLine="640"/>
        <w:rPr>
          <w:rFonts w:ascii="仿宋" w:hAnsi="仿宋" w:cs="Arial"/>
          <w:bCs/>
          <w:iCs/>
          <w:color w:val="000000"/>
          <w:szCs w:val="32"/>
        </w:rPr>
      </w:pPr>
      <w:r w:rsidRPr="0069577F">
        <w:rPr>
          <w:rFonts w:ascii="仿宋" w:hAnsi="仿宋" w:cs="Arial" w:hint="eastAsia"/>
          <w:bCs/>
          <w:iCs/>
          <w:color w:val="000000"/>
          <w:szCs w:val="32"/>
        </w:rPr>
        <w:t>第一</w:t>
      </w:r>
      <w:proofErr w:type="gramStart"/>
      <w:r w:rsidRPr="0069577F">
        <w:rPr>
          <w:rFonts w:ascii="仿宋" w:hAnsi="仿宋" w:cs="Arial" w:hint="eastAsia"/>
          <w:bCs/>
          <w:iCs/>
          <w:color w:val="000000"/>
          <w:szCs w:val="32"/>
        </w:rPr>
        <w:t xml:space="preserve">章　　</w:t>
      </w:r>
      <w:proofErr w:type="gramEnd"/>
      <w:r w:rsidRPr="0069577F">
        <w:rPr>
          <w:rFonts w:ascii="仿宋" w:hAnsi="仿宋" w:cs="Arial" w:hint="eastAsia"/>
          <w:bCs/>
          <w:iCs/>
          <w:color w:val="000000"/>
          <w:szCs w:val="32"/>
        </w:rPr>
        <w:t>总则</w:t>
      </w:r>
    </w:p>
    <w:p w:rsidR="00E178B7" w:rsidRPr="0069577F" w:rsidRDefault="00E178B7" w:rsidP="00E178B7">
      <w:pPr>
        <w:ind w:firstLine="640"/>
        <w:rPr>
          <w:rFonts w:ascii="仿宋" w:hAnsi="仿宋" w:cs="Arial"/>
          <w:bCs/>
          <w:iCs/>
          <w:color w:val="000000"/>
          <w:szCs w:val="32"/>
        </w:rPr>
      </w:pPr>
      <w:r w:rsidRPr="0069577F">
        <w:rPr>
          <w:rFonts w:ascii="仿宋" w:hAnsi="仿宋" w:cs="Arial" w:hint="eastAsia"/>
          <w:bCs/>
          <w:iCs/>
          <w:color w:val="000000"/>
          <w:szCs w:val="32"/>
        </w:rPr>
        <w:t>第二</w:t>
      </w:r>
      <w:proofErr w:type="gramStart"/>
      <w:r w:rsidRPr="0069577F">
        <w:rPr>
          <w:rFonts w:ascii="仿宋" w:hAnsi="仿宋" w:cs="Arial" w:hint="eastAsia"/>
          <w:bCs/>
          <w:iCs/>
          <w:color w:val="000000"/>
          <w:szCs w:val="32"/>
        </w:rPr>
        <w:t xml:space="preserve">章　　</w:t>
      </w:r>
      <w:proofErr w:type="gramEnd"/>
      <w:r w:rsidRPr="0069577F">
        <w:rPr>
          <w:rFonts w:ascii="仿宋" w:hAnsi="仿宋" w:cs="Arial" w:hint="eastAsia"/>
          <w:bCs/>
          <w:iCs/>
          <w:color w:val="000000"/>
          <w:szCs w:val="32"/>
        </w:rPr>
        <w:t>城市更新规划与导则</w:t>
      </w:r>
    </w:p>
    <w:p w:rsidR="00E178B7" w:rsidRPr="0069577F" w:rsidRDefault="00E178B7" w:rsidP="00E178B7">
      <w:pPr>
        <w:pStyle w:val="a0"/>
        <w:ind w:firstLine="640"/>
        <w:rPr>
          <w:rFonts w:ascii="仿宋" w:hAnsi="仿宋" w:cs="Arial"/>
          <w:bCs/>
          <w:iCs/>
          <w:color w:val="000000"/>
          <w:szCs w:val="32"/>
        </w:rPr>
      </w:pPr>
      <w:r w:rsidRPr="0069577F">
        <w:rPr>
          <w:rFonts w:ascii="仿宋" w:hAnsi="仿宋" w:cs="Arial" w:hint="eastAsia"/>
          <w:bCs/>
          <w:iCs/>
          <w:color w:val="000000"/>
          <w:szCs w:val="32"/>
        </w:rPr>
        <w:t>第三</w:t>
      </w:r>
      <w:proofErr w:type="gramStart"/>
      <w:r w:rsidRPr="0069577F">
        <w:rPr>
          <w:rFonts w:ascii="仿宋" w:hAnsi="仿宋" w:cs="Arial" w:hint="eastAsia"/>
          <w:bCs/>
          <w:iCs/>
          <w:color w:val="000000"/>
          <w:szCs w:val="32"/>
        </w:rPr>
        <w:t xml:space="preserve">章　　</w:t>
      </w:r>
      <w:proofErr w:type="gramEnd"/>
      <w:r w:rsidRPr="0069577F">
        <w:rPr>
          <w:rFonts w:ascii="仿宋" w:hAnsi="仿宋" w:cs="Arial" w:hint="eastAsia"/>
          <w:bCs/>
          <w:iCs/>
          <w:color w:val="000000"/>
          <w:szCs w:val="32"/>
        </w:rPr>
        <w:t>城市更新规划和土地保障</w:t>
      </w:r>
    </w:p>
    <w:p w:rsidR="00E178B7" w:rsidRPr="0069577F" w:rsidRDefault="00E178B7" w:rsidP="00E178B7">
      <w:pPr>
        <w:ind w:firstLine="640"/>
        <w:rPr>
          <w:rFonts w:ascii="仿宋" w:hAnsi="仿宋" w:cs="Arial"/>
          <w:bCs/>
          <w:iCs/>
          <w:color w:val="000000"/>
          <w:szCs w:val="32"/>
        </w:rPr>
      </w:pPr>
      <w:r w:rsidRPr="0069577F">
        <w:rPr>
          <w:rFonts w:ascii="仿宋" w:hAnsi="仿宋" w:cs="Arial" w:hint="eastAsia"/>
          <w:bCs/>
          <w:iCs/>
          <w:color w:val="000000"/>
          <w:szCs w:val="32"/>
        </w:rPr>
        <w:t>第四</w:t>
      </w:r>
      <w:proofErr w:type="gramStart"/>
      <w:r w:rsidRPr="0069577F">
        <w:rPr>
          <w:rFonts w:ascii="仿宋" w:hAnsi="仿宋" w:cs="Arial" w:hint="eastAsia"/>
          <w:bCs/>
          <w:iCs/>
          <w:color w:val="000000"/>
          <w:szCs w:val="32"/>
        </w:rPr>
        <w:t xml:space="preserve">章　　</w:t>
      </w:r>
      <w:proofErr w:type="gramEnd"/>
      <w:r w:rsidRPr="0069577F">
        <w:rPr>
          <w:rFonts w:ascii="仿宋" w:hAnsi="仿宋" w:cs="Arial" w:hint="eastAsia"/>
          <w:bCs/>
          <w:iCs/>
          <w:color w:val="000000"/>
          <w:szCs w:val="32"/>
        </w:rPr>
        <w:t>城市更新主体</w:t>
      </w:r>
    </w:p>
    <w:p w:rsidR="00E178B7" w:rsidRPr="0069577F" w:rsidRDefault="00E178B7" w:rsidP="00E178B7">
      <w:pPr>
        <w:pStyle w:val="a0"/>
        <w:ind w:firstLine="640"/>
        <w:rPr>
          <w:rFonts w:ascii="仿宋" w:hAnsi="仿宋" w:cs="Arial"/>
          <w:bCs/>
          <w:iCs/>
          <w:color w:val="000000"/>
          <w:szCs w:val="32"/>
        </w:rPr>
      </w:pPr>
      <w:r w:rsidRPr="0069577F">
        <w:rPr>
          <w:rFonts w:ascii="仿宋" w:hAnsi="仿宋" w:cs="Arial" w:hint="eastAsia"/>
          <w:bCs/>
          <w:iCs/>
          <w:color w:val="000000"/>
          <w:szCs w:val="32"/>
        </w:rPr>
        <w:t>第五</w:t>
      </w:r>
      <w:proofErr w:type="gramStart"/>
      <w:r w:rsidRPr="0069577F">
        <w:rPr>
          <w:rFonts w:ascii="仿宋" w:hAnsi="仿宋" w:cs="Arial" w:hint="eastAsia"/>
          <w:bCs/>
          <w:iCs/>
          <w:color w:val="000000"/>
          <w:szCs w:val="32"/>
        </w:rPr>
        <w:t xml:space="preserve">章　　</w:t>
      </w:r>
      <w:proofErr w:type="gramEnd"/>
      <w:r w:rsidRPr="0069577F">
        <w:rPr>
          <w:rFonts w:ascii="仿宋" w:hAnsi="仿宋" w:cs="Arial" w:hint="eastAsia"/>
          <w:bCs/>
          <w:iCs/>
          <w:color w:val="000000"/>
          <w:szCs w:val="32"/>
        </w:rPr>
        <w:t>城市更新实施</w:t>
      </w:r>
    </w:p>
    <w:p w:rsidR="00E178B7" w:rsidRPr="0069577F" w:rsidRDefault="00E178B7" w:rsidP="00E178B7">
      <w:pPr>
        <w:ind w:firstLine="640"/>
        <w:rPr>
          <w:rFonts w:ascii="仿宋" w:hAnsi="仿宋" w:cs="Arial"/>
          <w:bCs/>
          <w:iCs/>
          <w:color w:val="000000"/>
          <w:szCs w:val="32"/>
        </w:rPr>
      </w:pPr>
      <w:r w:rsidRPr="0069577F">
        <w:rPr>
          <w:rFonts w:ascii="仿宋" w:hAnsi="仿宋" w:cs="Arial" w:hint="eastAsia"/>
          <w:bCs/>
          <w:iCs/>
          <w:color w:val="000000"/>
          <w:szCs w:val="32"/>
        </w:rPr>
        <w:t>第六</w:t>
      </w:r>
      <w:proofErr w:type="gramStart"/>
      <w:r w:rsidRPr="0069577F">
        <w:rPr>
          <w:rFonts w:ascii="仿宋" w:hAnsi="仿宋" w:cs="Arial" w:hint="eastAsia"/>
          <w:bCs/>
          <w:iCs/>
          <w:color w:val="000000"/>
          <w:szCs w:val="32"/>
        </w:rPr>
        <w:t xml:space="preserve">章　　</w:t>
      </w:r>
      <w:proofErr w:type="gramEnd"/>
      <w:r w:rsidRPr="0069577F">
        <w:rPr>
          <w:rFonts w:ascii="仿宋" w:hAnsi="仿宋" w:cs="Arial" w:hint="eastAsia"/>
          <w:bCs/>
          <w:iCs/>
          <w:color w:val="000000"/>
          <w:szCs w:val="32"/>
        </w:rPr>
        <w:t>监督管理</w:t>
      </w:r>
    </w:p>
    <w:p w:rsidR="00E178B7" w:rsidRPr="0069577F" w:rsidRDefault="00E178B7" w:rsidP="00E178B7">
      <w:pPr>
        <w:pStyle w:val="a0"/>
        <w:ind w:firstLine="640"/>
        <w:rPr>
          <w:rFonts w:ascii="仿宋" w:hAnsi="仿宋" w:cs="Arial"/>
          <w:bCs/>
          <w:iCs/>
          <w:color w:val="000000"/>
          <w:szCs w:val="32"/>
        </w:rPr>
      </w:pPr>
      <w:r w:rsidRPr="0069577F">
        <w:rPr>
          <w:rFonts w:ascii="仿宋" w:hAnsi="仿宋" w:cs="Arial" w:hint="eastAsia"/>
          <w:bCs/>
          <w:iCs/>
          <w:color w:val="000000"/>
          <w:szCs w:val="32"/>
        </w:rPr>
        <w:t>第七</w:t>
      </w:r>
      <w:proofErr w:type="gramStart"/>
      <w:r w:rsidRPr="0069577F">
        <w:rPr>
          <w:rFonts w:ascii="仿宋" w:hAnsi="仿宋" w:cs="Arial" w:hint="eastAsia"/>
          <w:bCs/>
          <w:iCs/>
          <w:color w:val="000000"/>
          <w:szCs w:val="32"/>
        </w:rPr>
        <w:t xml:space="preserve">章　　</w:t>
      </w:r>
      <w:proofErr w:type="gramEnd"/>
      <w:r w:rsidRPr="0069577F">
        <w:rPr>
          <w:rFonts w:ascii="仿宋" w:hAnsi="仿宋" w:cs="Arial" w:hint="eastAsia"/>
          <w:bCs/>
          <w:iCs/>
          <w:color w:val="000000"/>
          <w:szCs w:val="32"/>
        </w:rPr>
        <w:t>法律责任</w:t>
      </w:r>
    </w:p>
    <w:p w:rsidR="00E178B7" w:rsidRDefault="00E178B7" w:rsidP="00E178B7">
      <w:pPr>
        <w:ind w:firstLine="640"/>
        <w:rPr>
          <w:rFonts w:ascii="仿宋" w:hAnsi="仿宋" w:cs="Arial"/>
          <w:bCs/>
          <w:iCs/>
          <w:color w:val="000000"/>
          <w:szCs w:val="32"/>
        </w:rPr>
      </w:pPr>
      <w:r w:rsidRPr="0069577F">
        <w:rPr>
          <w:rFonts w:ascii="仿宋" w:hAnsi="仿宋" w:cs="Arial" w:hint="eastAsia"/>
          <w:bCs/>
          <w:iCs/>
          <w:color w:val="000000"/>
          <w:szCs w:val="32"/>
        </w:rPr>
        <w:t>第八</w:t>
      </w:r>
      <w:proofErr w:type="gramStart"/>
      <w:r w:rsidRPr="0069577F">
        <w:rPr>
          <w:rFonts w:ascii="仿宋" w:hAnsi="仿宋" w:cs="Arial" w:hint="eastAsia"/>
          <w:bCs/>
          <w:iCs/>
          <w:color w:val="000000"/>
          <w:szCs w:val="32"/>
        </w:rPr>
        <w:t xml:space="preserve">章　　</w:t>
      </w:r>
      <w:proofErr w:type="gramEnd"/>
      <w:r w:rsidRPr="0069577F">
        <w:rPr>
          <w:rFonts w:ascii="仿宋" w:hAnsi="仿宋" w:cs="Arial" w:hint="eastAsia"/>
          <w:bCs/>
          <w:iCs/>
          <w:color w:val="000000"/>
          <w:szCs w:val="32"/>
        </w:rPr>
        <w:t>附则</w:t>
      </w:r>
    </w:p>
    <w:p w:rsidR="0069577F" w:rsidRPr="0069577F" w:rsidRDefault="0069577F" w:rsidP="0069577F">
      <w:pPr>
        <w:pStyle w:val="a0"/>
        <w:ind w:firstLine="640"/>
        <w:jc w:val="center"/>
        <w:rPr>
          <w:rFonts w:ascii="仿宋" w:hAnsi="仿宋" w:cs="Arial"/>
          <w:bCs/>
          <w:iCs/>
          <w:color w:val="000000"/>
          <w:szCs w:val="32"/>
        </w:rPr>
      </w:pPr>
      <w:r w:rsidRPr="0069577F">
        <w:rPr>
          <w:rFonts w:ascii="仿宋" w:hAnsi="仿宋" w:cs="Arial" w:hint="eastAsia"/>
          <w:bCs/>
          <w:iCs/>
          <w:color w:val="000000"/>
          <w:szCs w:val="32"/>
        </w:rPr>
        <w:t>第一章　总则</w:t>
      </w:r>
    </w:p>
    <w:p w:rsidR="00A62746" w:rsidRDefault="0069577F">
      <w:pPr>
        <w:pStyle w:val="a0"/>
        <w:ind w:firstLine="640"/>
        <w:rPr>
          <w:rFonts w:ascii="仿宋" w:hAnsi="仿宋" w:cs="Arial"/>
          <w:bCs/>
          <w:iCs/>
          <w:color w:val="000000"/>
          <w:szCs w:val="32"/>
        </w:rPr>
      </w:pPr>
      <w:bookmarkStart w:id="30" w:name="_____4"/>
      <w:bookmarkEnd w:id="30"/>
      <w:r>
        <w:rPr>
          <w:rFonts w:ascii="仿宋" w:hAnsi="仿宋" w:cs="Arial" w:hint="eastAsia"/>
          <w:bCs/>
          <w:iCs/>
          <w:color w:val="000000"/>
          <w:szCs w:val="32"/>
        </w:rPr>
        <w:t xml:space="preserve">第一条　</w:t>
      </w:r>
      <w:r w:rsidR="00CA1744">
        <w:rPr>
          <w:rFonts w:ascii="仿宋" w:hAnsi="仿宋" w:cs="Arial" w:hint="eastAsia"/>
          <w:bCs/>
          <w:iCs/>
          <w:color w:val="000000"/>
          <w:szCs w:val="32"/>
        </w:rPr>
        <w:t>为了落实北京城市总体规划，做好首都城市更新工作，完善城市功能，改善人居环境，加强历史文化保护传承，转变城市建设方式，推动城市高质量发展，以首善标准建设国际一流的</w:t>
      </w:r>
      <w:proofErr w:type="gramStart"/>
      <w:r w:rsidR="00CA1744">
        <w:rPr>
          <w:rFonts w:ascii="仿宋" w:hAnsi="仿宋" w:cs="Arial" w:hint="eastAsia"/>
          <w:bCs/>
          <w:iCs/>
          <w:color w:val="000000"/>
          <w:szCs w:val="32"/>
        </w:rPr>
        <w:t>和谐宜</w:t>
      </w:r>
      <w:proofErr w:type="gramEnd"/>
      <w:r w:rsidR="00CA1744">
        <w:rPr>
          <w:rFonts w:ascii="仿宋" w:hAnsi="仿宋" w:cs="Arial" w:hint="eastAsia"/>
          <w:bCs/>
          <w:iCs/>
          <w:color w:val="000000"/>
          <w:szCs w:val="32"/>
        </w:rPr>
        <w:t>居之都，根据有关法律、法规，结合本市实际，制定本条例。</w:t>
      </w:r>
    </w:p>
    <w:p w:rsidR="00A62746" w:rsidRDefault="00B872F1">
      <w:pPr>
        <w:ind w:firstLine="640"/>
        <w:rPr>
          <w:rFonts w:ascii="仿宋" w:hAnsi="仿宋" w:cs="Arial"/>
          <w:bCs/>
          <w:iCs/>
          <w:color w:val="000000"/>
          <w:szCs w:val="32"/>
        </w:rPr>
      </w:pPr>
      <w:bookmarkStart w:id="31" w:name="_____6"/>
      <w:bookmarkStart w:id="32" w:name="_Toc81486284"/>
      <w:bookmarkStart w:id="33" w:name="_Toc81484669"/>
      <w:bookmarkStart w:id="34" w:name="_Toc81486408"/>
      <w:bookmarkStart w:id="35" w:name="_Toc1828061145"/>
      <w:bookmarkStart w:id="36" w:name="_Toc97901664"/>
      <w:bookmarkStart w:id="37" w:name="_Toc13808"/>
      <w:bookmarkEnd w:id="31"/>
      <w:r>
        <w:rPr>
          <w:rFonts w:ascii="仿宋" w:hAnsi="仿宋" w:cs="Arial" w:hint="eastAsia"/>
          <w:bCs/>
          <w:iCs/>
          <w:color w:val="000000"/>
          <w:szCs w:val="32"/>
        </w:rPr>
        <w:t xml:space="preserve">第二条　</w:t>
      </w:r>
      <w:r w:rsidR="00CA1744">
        <w:rPr>
          <w:rFonts w:ascii="仿宋" w:hAnsi="仿宋" w:cs="Arial" w:hint="eastAsia"/>
          <w:bCs/>
          <w:iCs/>
          <w:color w:val="000000"/>
          <w:szCs w:val="32"/>
        </w:rPr>
        <w:t>本市行政区域内的城市更新活动及其监督管理，适用本条例。</w:t>
      </w:r>
    </w:p>
    <w:p w:rsidR="00A62746" w:rsidRDefault="00CA1744">
      <w:pPr>
        <w:ind w:firstLine="640"/>
        <w:rPr>
          <w:rFonts w:ascii="仿宋" w:hAnsi="仿宋" w:cs="Arial"/>
          <w:bCs/>
          <w:iCs/>
          <w:color w:val="000000"/>
          <w:szCs w:val="32"/>
        </w:rPr>
      </w:pPr>
      <w:r>
        <w:rPr>
          <w:rFonts w:ascii="仿宋" w:hAnsi="仿宋" w:cs="Arial" w:hint="eastAsia"/>
          <w:bCs/>
          <w:iCs/>
          <w:color w:val="000000"/>
          <w:szCs w:val="32"/>
        </w:rPr>
        <w:t>本条例所称城市更新，是指对本市建成区内城市空间形态和城市功能的持续完善和优化调整，具体包括：</w:t>
      </w:r>
    </w:p>
    <w:p w:rsidR="00A62746" w:rsidRDefault="00CA1744">
      <w:pPr>
        <w:ind w:firstLine="640"/>
        <w:rPr>
          <w:rFonts w:ascii="仿宋" w:hAnsi="仿宋" w:cs="Arial"/>
          <w:bCs/>
          <w:iCs/>
          <w:color w:val="000000"/>
          <w:szCs w:val="32"/>
        </w:rPr>
      </w:pPr>
      <w:r>
        <w:rPr>
          <w:rFonts w:ascii="仿宋" w:hAnsi="仿宋" w:cs="Arial" w:hint="eastAsia"/>
          <w:bCs/>
          <w:iCs/>
          <w:color w:val="000000"/>
          <w:szCs w:val="32"/>
        </w:rPr>
        <w:t>（一）以保障老旧平房院落、危旧楼房、老旧小区等房屋安全，提升居住品质为主的居住类城市更新；</w:t>
      </w:r>
    </w:p>
    <w:p w:rsidR="00A62746" w:rsidRDefault="00CA1744">
      <w:pPr>
        <w:ind w:firstLine="640"/>
        <w:rPr>
          <w:rFonts w:ascii="仿宋" w:hAnsi="仿宋" w:cs="Arial"/>
          <w:bCs/>
          <w:iCs/>
          <w:color w:val="000000"/>
          <w:szCs w:val="32"/>
        </w:rPr>
      </w:pPr>
      <w:r>
        <w:rPr>
          <w:rFonts w:ascii="仿宋" w:hAnsi="仿宋" w:cs="Arial" w:hint="eastAsia"/>
          <w:bCs/>
          <w:iCs/>
          <w:color w:val="000000"/>
          <w:szCs w:val="32"/>
        </w:rPr>
        <w:lastRenderedPageBreak/>
        <w:t>（二）以推动老旧厂房、低效产业园区、老旧低效楼宇、传统商业设施等存量空间资源提质增效为主的产业类城市更新；</w:t>
      </w:r>
    </w:p>
    <w:p w:rsidR="00A62746" w:rsidRDefault="00CA1744">
      <w:pPr>
        <w:ind w:firstLine="640"/>
        <w:rPr>
          <w:rFonts w:ascii="仿宋" w:hAnsi="仿宋" w:cs="Arial"/>
          <w:bCs/>
          <w:iCs/>
          <w:color w:val="000000"/>
          <w:szCs w:val="32"/>
        </w:rPr>
      </w:pPr>
      <w:r>
        <w:rPr>
          <w:rFonts w:ascii="仿宋" w:hAnsi="仿宋" w:cs="Arial" w:hint="eastAsia"/>
          <w:bCs/>
          <w:iCs/>
          <w:color w:val="000000"/>
          <w:szCs w:val="32"/>
        </w:rPr>
        <w:t>（三）以更新改造老旧市政基础设施、公共服务设施、公共安全设施，保障安全、补足短板为主的设施类城市更新；</w:t>
      </w:r>
    </w:p>
    <w:p w:rsidR="00A62746" w:rsidRDefault="00CA1744">
      <w:pPr>
        <w:ind w:firstLine="640"/>
        <w:rPr>
          <w:rFonts w:ascii="仿宋" w:hAnsi="仿宋" w:cs="Arial"/>
          <w:bCs/>
          <w:iCs/>
          <w:color w:val="000000"/>
          <w:szCs w:val="32"/>
        </w:rPr>
      </w:pPr>
      <w:r>
        <w:rPr>
          <w:rFonts w:ascii="仿宋" w:hAnsi="仿宋" w:cs="Arial" w:hint="eastAsia"/>
          <w:bCs/>
          <w:iCs/>
          <w:color w:val="000000"/>
          <w:szCs w:val="32"/>
        </w:rPr>
        <w:t>（四）以提升绿色空间、滨水空间、慢行系统等环境品质为主的公共空间类城市更新；</w:t>
      </w:r>
    </w:p>
    <w:p w:rsidR="00A62746" w:rsidRDefault="00CA1744">
      <w:pPr>
        <w:pStyle w:val="a0"/>
        <w:ind w:firstLine="640"/>
        <w:rPr>
          <w:rFonts w:ascii="仿宋" w:hAnsi="仿宋" w:cs="Arial"/>
          <w:bCs/>
          <w:iCs/>
          <w:color w:val="000000"/>
          <w:szCs w:val="32"/>
        </w:rPr>
      </w:pPr>
      <w:r>
        <w:rPr>
          <w:rFonts w:hint="eastAsia"/>
        </w:rPr>
        <w:t>（五）以统筹存量资源配置，优化功能布局，实现片区可持续发展的区域综合性城市更新；</w:t>
      </w:r>
    </w:p>
    <w:p w:rsidR="00A62746" w:rsidRDefault="00CA1744">
      <w:pPr>
        <w:pStyle w:val="a0"/>
        <w:ind w:firstLine="640"/>
      </w:pPr>
      <w:r>
        <w:rPr>
          <w:rFonts w:hint="eastAsia"/>
        </w:rPr>
        <w:t>（六）市人民政府确定的其他城市更新活动。</w:t>
      </w:r>
    </w:p>
    <w:p w:rsidR="00A62746" w:rsidRDefault="00CA1744">
      <w:pPr>
        <w:ind w:firstLine="640"/>
      </w:pPr>
      <w:r>
        <w:rPr>
          <w:rFonts w:hint="eastAsia"/>
          <w:szCs w:val="32"/>
        </w:rPr>
        <w:t>城市更新活动不包括土地储备、房地产一级开发等项目。</w:t>
      </w:r>
    </w:p>
    <w:p w:rsidR="00A62746" w:rsidRDefault="00B872F1">
      <w:pPr>
        <w:ind w:firstLine="640"/>
        <w:rPr>
          <w:rFonts w:ascii="仿宋" w:hAnsi="仿宋" w:cs="Arial"/>
          <w:bCs/>
          <w:iCs/>
          <w:color w:val="000000"/>
          <w:szCs w:val="32"/>
        </w:rPr>
      </w:pPr>
      <w:bookmarkStart w:id="38" w:name="_Toc81485396"/>
      <w:bookmarkStart w:id="39" w:name="_Toc81485397"/>
      <w:bookmarkStart w:id="40" w:name="_Toc81485398"/>
      <w:bookmarkStart w:id="41" w:name="_Toc81485394"/>
      <w:bookmarkStart w:id="42" w:name="_Toc81474688"/>
      <w:bookmarkStart w:id="43" w:name="_Toc81484670"/>
      <w:bookmarkStart w:id="44" w:name="_Toc81485393"/>
      <w:bookmarkStart w:id="45" w:name="_Toc101007776"/>
      <w:bookmarkStart w:id="46" w:name="_Toc81484169"/>
      <w:bookmarkStart w:id="47" w:name="_Toc81484675"/>
      <w:bookmarkStart w:id="48" w:name="_Toc81484672"/>
      <w:bookmarkStart w:id="49" w:name="_Toc81474692"/>
      <w:bookmarkStart w:id="50" w:name="_Toc81484475"/>
      <w:bookmarkStart w:id="51" w:name="_Toc81484478"/>
      <w:bookmarkStart w:id="52" w:name="_Toc81484174"/>
      <w:bookmarkStart w:id="53" w:name="_Toc81484172"/>
      <w:bookmarkStart w:id="54" w:name="_Toc81484180"/>
      <w:bookmarkStart w:id="55" w:name="_Toc81484674"/>
      <w:bookmarkStart w:id="56" w:name="_Toc101008114"/>
      <w:bookmarkStart w:id="57" w:name="_Toc81485395"/>
      <w:bookmarkStart w:id="58" w:name="_Toc81484681"/>
      <w:bookmarkStart w:id="59" w:name="_Toc81484479"/>
      <w:bookmarkStart w:id="60" w:name="_Toc81474689"/>
      <w:bookmarkStart w:id="61" w:name="_Toc81484170"/>
      <w:bookmarkStart w:id="62" w:name="_Toc81484671"/>
      <w:bookmarkStart w:id="63" w:name="_Toc81474691"/>
      <w:bookmarkStart w:id="64" w:name="_Toc81484477"/>
      <w:bookmarkStart w:id="65" w:name="_Toc81484173"/>
      <w:bookmarkStart w:id="66" w:name="_Toc81484476"/>
      <w:bookmarkStart w:id="67" w:name="_Toc81474690"/>
      <w:bookmarkStart w:id="68" w:name="_Toc81485404"/>
      <w:bookmarkStart w:id="69" w:name="_Toc81474699"/>
      <w:bookmarkStart w:id="70" w:name="_Toc81484171"/>
      <w:bookmarkStart w:id="71" w:name="_Toc81484673"/>
      <w:bookmarkStart w:id="72" w:name="_Toc81474693"/>
      <w:bookmarkStart w:id="73" w:name="_Toc81484474"/>
      <w:bookmarkStart w:id="74" w:name="_____8"/>
      <w:bookmarkStart w:id="75" w:name="_Toc81484485"/>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rFonts w:hint="eastAsia"/>
        </w:rPr>
        <w:t xml:space="preserve">第三条　</w:t>
      </w:r>
      <w:r w:rsidR="00CA1744">
        <w:rPr>
          <w:rFonts w:hint="eastAsia"/>
        </w:rPr>
        <w:t>本市城市更新坚持党的全面领导，坚持以人民为中心，坚持统筹发展与安全，坚持敬畏历史、敬畏文化、敬畏生态，</w:t>
      </w:r>
      <w:r w:rsidR="00CA1744">
        <w:rPr>
          <w:rFonts w:ascii="仿宋" w:hAnsi="仿宋" w:cs="Arial" w:hint="eastAsia"/>
          <w:bCs/>
          <w:iCs/>
          <w:color w:val="000000"/>
          <w:szCs w:val="32"/>
        </w:rPr>
        <w:t>坚持“留改拆”并举。</w:t>
      </w:r>
    </w:p>
    <w:p w:rsidR="00A62746" w:rsidRDefault="00CA1744">
      <w:pPr>
        <w:ind w:firstLine="640"/>
        <w:rPr>
          <w:rFonts w:ascii="仿宋" w:hAnsi="仿宋"/>
        </w:rPr>
      </w:pPr>
      <w:r>
        <w:rPr>
          <w:rFonts w:hint="eastAsia"/>
        </w:rPr>
        <w:t>本市城市更新遵循规划引领、有序推进，政府统筹、市场运作，科技赋能、绿色发展，问题导向、问需于民，多元参与、共治共享的原则。</w:t>
      </w:r>
    </w:p>
    <w:p w:rsidR="00A62746" w:rsidRDefault="00B872F1">
      <w:pPr>
        <w:ind w:firstLine="640"/>
      </w:pPr>
      <w:bookmarkStart w:id="76" w:name="_____14"/>
      <w:bookmarkStart w:id="77" w:name="_____12"/>
      <w:bookmarkStart w:id="78" w:name="_____10"/>
      <w:bookmarkEnd w:id="76"/>
      <w:bookmarkEnd w:id="77"/>
      <w:bookmarkEnd w:id="78"/>
      <w:r>
        <w:rPr>
          <w:rFonts w:hint="eastAsia"/>
        </w:rPr>
        <w:t xml:space="preserve">第四条　</w:t>
      </w:r>
      <w:r w:rsidR="00CA1744">
        <w:rPr>
          <w:rFonts w:hint="eastAsia"/>
        </w:rPr>
        <w:t>本市建立健全城市更新组织领导和工作协调机制。市人民政府负责统筹全市城市更新工作，研究、审议城市更新相关重大事项。在市住房城乡建设管理部门设立城市更新综合协调机构，负责城市更新日常工作。</w:t>
      </w:r>
    </w:p>
    <w:p w:rsidR="00A62746" w:rsidRDefault="00CA1744">
      <w:pPr>
        <w:ind w:firstLine="640"/>
      </w:pPr>
      <w:bookmarkStart w:id="79" w:name="_____18"/>
      <w:bookmarkStart w:id="80" w:name="_Toc81486413"/>
      <w:bookmarkStart w:id="81" w:name="_Toc81486289"/>
      <w:bookmarkStart w:id="82" w:name="_Toc81484686"/>
      <w:bookmarkEnd w:id="79"/>
      <w:r>
        <w:rPr>
          <w:rFonts w:hint="eastAsia"/>
        </w:rPr>
        <w:lastRenderedPageBreak/>
        <w:t>市住房城乡建设管理部门负责制定城市更新计划并督促实施，跟踪指导城市更新示范项目，建立维护城市更新信息系统，按照职责推进城市更新工作。</w:t>
      </w:r>
    </w:p>
    <w:p w:rsidR="00A62746" w:rsidRDefault="00CA1744">
      <w:pPr>
        <w:ind w:firstLine="640"/>
      </w:pPr>
      <w:r>
        <w:rPr>
          <w:rFonts w:hint="eastAsia"/>
        </w:rPr>
        <w:t>市规划自然资源管理部门负责</w:t>
      </w:r>
      <w:r w:rsidRPr="00B872F1">
        <w:rPr>
          <w:rFonts w:hint="eastAsia"/>
        </w:rPr>
        <w:t>组织编制市级城市更新专项规划</w:t>
      </w:r>
      <w:r>
        <w:rPr>
          <w:rFonts w:hint="eastAsia"/>
        </w:rPr>
        <w:t>，按照职责研究制定城市更新有关规划、土地政策。</w:t>
      </w:r>
    </w:p>
    <w:p w:rsidR="00A62746" w:rsidRDefault="00CA1744">
      <w:pPr>
        <w:ind w:firstLine="640"/>
      </w:pPr>
      <w:r>
        <w:rPr>
          <w:rFonts w:hint="eastAsia"/>
        </w:rPr>
        <w:t>市发展改革、财政、经济信息化、科技、商务、城市管理、交通、水务、园林绿化、消防、人防、国资、税务、金融监管、市场监管、政务服务、文物、文化旅游、民政、教育、卫生</w:t>
      </w:r>
      <w:r w:rsidR="00AE10F1">
        <w:rPr>
          <w:rFonts w:hint="eastAsia"/>
        </w:rPr>
        <w:t>健康</w:t>
      </w:r>
      <w:r>
        <w:rPr>
          <w:rFonts w:hint="eastAsia"/>
        </w:rPr>
        <w:t>、环保等部门，按照职责推进城市更新工作。</w:t>
      </w:r>
    </w:p>
    <w:bookmarkEnd w:id="80"/>
    <w:bookmarkEnd w:id="81"/>
    <w:bookmarkEnd w:id="82"/>
    <w:p w:rsidR="00A62746" w:rsidRDefault="00AE10F1">
      <w:pPr>
        <w:ind w:firstLine="640"/>
      </w:pPr>
      <w:r>
        <w:rPr>
          <w:rFonts w:hint="eastAsia"/>
        </w:rPr>
        <w:t xml:space="preserve">第五条　</w:t>
      </w:r>
      <w:r w:rsidR="00CA1744">
        <w:rPr>
          <w:rFonts w:hint="eastAsia"/>
        </w:rPr>
        <w:t>区人民政府（含北京经济技术开发区管委会，下同）负责统筹推进、组织协调和监督管理本辖区城市更新工作。区人民政府应当明确本区城市更新主管部门。区级职能部门应当按照职能分工推进实施城市更新工作。</w:t>
      </w:r>
    </w:p>
    <w:p w:rsidR="00A62746" w:rsidRDefault="00CA1744">
      <w:pPr>
        <w:ind w:firstLine="640"/>
        <w:rPr>
          <w:szCs w:val="32"/>
        </w:rPr>
      </w:pPr>
      <w:r>
        <w:rPr>
          <w:rFonts w:hint="eastAsia"/>
          <w:szCs w:val="32"/>
        </w:rPr>
        <w:t>街道办事处、乡镇人民政府应当充分发挥“吹哨报到”</w:t>
      </w:r>
      <w:r>
        <w:rPr>
          <w:rFonts w:hint="eastAsia"/>
          <w:szCs w:val="32"/>
        </w:rPr>
        <w:t xml:space="preserve"> </w:t>
      </w:r>
      <w:r>
        <w:rPr>
          <w:rFonts w:hint="eastAsia"/>
          <w:szCs w:val="32"/>
        </w:rPr>
        <w:t>“接诉即办”</w:t>
      </w:r>
      <w:r w:rsidR="00AE10F1">
        <w:rPr>
          <w:rFonts w:hint="eastAsia"/>
          <w:szCs w:val="32"/>
        </w:rPr>
        <w:t>等</w:t>
      </w:r>
      <w:r>
        <w:rPr>
          <w:rFonts w:hint="eastAsia"/>
          <w:szCs w:val="32"/>
        </w:rPr>
        <w:t>制度作用，负责</w:t>
      </w:r>
      <w:r>
        <w:rPr>
          <w:rFonts w:hint="eastAsia"/>
        </w:rPr>
        <w:t>统筹</w:t>
      </w:r>
      <w:r w:rsidR="009D78C5">
        <w:rPr>
          <w:rFonts w:hint="eastAsia"/>
        </w:rPr>
        <w:t>、</w:t>
      </w:r>
      <w:r>
        <w:rPr>
          <w:rFonts w:hint="eastAsia"/>
        </w:rPr>
        <w:t>支持</w:t>
      </w:r>
      <w:r w:rsidR="009D78C5">
        <w:rPr>
          <w:rFonts w:hint="eastAsia"/>
        </w:rPr>
        <w:t>、</w:t>
      </w:r>
      <w:r>
        <w:rPr>
          <w:rFonts w:hint="eastAsia"/>
        </w:rPr>
        <w:t>配合</w:t>
      </w:r>
      <w:r>
        <w:t>辖区</w:t>
      </w:r>
      <w:r>
        <w:rPr>
          <w:rFonts w:hint="eastAsia"/>
        </w:rPr>
        <w:t>内</w:t>
      </w:r>
      <w:r>
        <w:t>街区更新</w:t>
      </w:r>
      <w:r>
        <w:rPr>
          <w:rFonts w:hint="eastAsia"/>
        </w:rPr>
        <w:t>，</w:t>
      </w:r>
      <w:r w:rsidR="00BC20AC">
        <w:rPr>
          <w:rFonts w:hint="eastAsia"/>
          <w:szCs w:val="32"/>
        </w:rPr>
        <w:t>梳理整合</w:t>
      </w:r>
      <w:r>
        <w:rPr>
          <w:rFonts w:hint="eastAsia"/>
          <w:szCs w:val="32"/>
        </w:rPr>
        <w:t>辖区资源，搭建城市更新政府、居民、市场主体共建共治共享平台，调解更新项目纠纷。</w:t>
      </w:r>
    </w:p>
    <w:p w:rsidR="00A62746" w:rsidRDefault="00CA1744">
      <w:pPr>
        <w:ind w:firstLine="640"/>
      </w:pPr>
      <w:r>
        <w:rPr>
          <w:rFonts w:hint="eastAsia"/>
          <w:szCs w:val="32"/>
        </w:rPr>
        <w:t>居民委员会、村民委员会在街道办事处、乡镇人民政府的指导下开展具体工作，了解、反映居民、村民更新需求，组织居民、村民参与城市更新工作。</w:t>
      </w:r>
    </w:p>
    <w:p w:rsidR="00A62746" w:rsidRDefault="00421255">
      <w:pPr>
        <w:ind w:firstLine="640"/>
      </w:pPr>
      <w:bookmarkStart w:id="83" w:name="_____22"/>
      <w:bookmarkStart w:id="84" w:name="_Toc91682029"/>
      <w:bookmarkStart w:id="85" w:name="_Toc89969862"/>
      <w:bookmarkStart w:id="86" w:name="_____28"/>
      <w:bookmarkStart w:id="87" w:name="_____26"/>
      <w:bookmarkStart w:id="88" w:name="_____24"/>
      <w:bookmarkStart w:id="89" w:name="_Toc97054445"/>
      <w:bookmarkStart w:id="90" w:name="_Toc89969739"/>
      <w:bookmarkStart w:id="91" w:name="_____30"/>
      <w:bookmarkStart w:id="92" w:name="_Toc97054444"/>
      <w:bookmarkEnd w:id="83"/>
      <w:bookmarkEnd w:id="84"/>
      <w:bookmarkEnd w:id="85"/>
      <w:bookmarkEnd w:id="86"/>
      <w:bookmarkEnd w:id="87"/>
      <w:bookmarkEnd w:id="88"/>
      <w:bookmarkEnd w:id="89"/>
      <w:bookmarkEnd w:id="90"/>
      <w:bookmarkEnd w:id="91"/>
      <w:bookmarkEnd w:id="92"/>
      <w:r>
        <w:rPr>
          <w:rFonts w:hint="eastAsia"/>
        </w:rPr>
        <w:t xml:space="preserve">第六条　</w:t>
      </w:r>
      <w:r w:rsidR="00CA1744">
        <w:rPr>
          <w:rFonts w:hint="eastAsia"/>
        </w:rPr>
        <w:t>本市建立健全城市更新平等协商共治机制，坚持党建引领，完善、规范物业权利人、利害关系人依法</w:t>
      </w:r>
      <w:r w:rsidR="00CA1744">
        <w:rPr>
          <w:rFonts w:hint="eastAsia"/>
        </w:rPr>
        <w:lastRenderedPageBreak/>
        <w:t>参与城市更新的制度，保障公众在城市更新项目中的知情权、参与权和监督权。</w:t>
      </w:r>
    </w:p>
    <w:p w:rsidR="00A62746" w:rsidRDefault="00CA1744">
      <w:pPr>
        <w:ind w:firstLine="640"/>
      </w:pPr>
      <w:r>
        <w:rPr>
          <w:rFonts w:hint="eastAsia"/>
        </w:rPr>
        <w:t>物业权利人是其持有物业</w:t>
      </w:r>
      <w:r w:rsidR="00421255">
        <w:rPr>
          <w:rFonts w:hint="eastAsia"/>
        </w:rPr>
        <w:t>的</w:t>
      </w:r>
      <w:r>
        <w:rPr>
          <w:rFonts w:hint="eastAsia"/>
        </w:rPr>
        <w:t>更新责任人，应当依法开展城市更新活动。</w:t>
      </w:r>
    </w:p>
    <w:p w:rsidR="00A62746" w:rsidRDefault="00CA1744">
      <w:pPr>
        <w:pStyle w:val="a0"/>
        <w:ind w:firstLine="640"/>
      </w:pPr>
      <w:r>
        <w:rPr>
          <w:rFonts w:hint="eastAsia"/>
        </w:rPr>
        <w:t>鼓励社会资本参与城市更新活动，依法保障其合法权益。</w:t>
      </w:r>
    </w:p>
    <w:p w:rsidR="00A62746" w:rsidRDefault="00DC37B3">
      <w:pPr>
        <w:ind w:firstLine="640"/>
        <w:rPr>
          <w:bCs/>
          <w:iCs/>
        </w:rPr>
      </w:pPr>
      <w:r>
        <w:rPr>
          <w:rFonts w:hint="eastAsia"/>
        </w:rPr>
        <w:t xml:space="preserve">第七条　</w:t>
      </w:r>
      <w:r w:rsidR="00CA1744">
        <w:rPr>
          <w:rFonts w:hint="eastAsia"/>
        </w:rPr>
        <w:t>本市设立城市更新专家委员会（以下简称专家委员会）。专家委员会按照本条例的规定，开展城市更新有关活动的论证工作，提供咨询意见。专家委员会由相关方面专业人士组成，具体组成办法和工作规则由市住房城乡建设管理部门另行制定。</w:t>
      </w:r>
    </w:p>
    <w:p w:rsidR="00A62746" w:rsidRDefault="00CA1744">
      <w:pPr>
        <w:ind w:firstLine="640"/>
        <w:rPr>
          <w:szCs w:val="32"/>
        </w:rPr>
      </w:pPr>
      <w:r>
        <w:rPr>
          <w:rFonts w:hint="eastAsia"/>
          <w:szCs w:val="32"/>
        </w:rPr>
        <w:t>建立责任规划师参与制度，发挥技术咨询服务、公众意见征集等作用，并作为</w:t>
      </w:r>
      <w:proofErr w:type="gramStart"/>
      <w:r>
        <w:rPr>
          <w:rFonts w:hint="eastAsia"/>
          <w:szCs w:val="32"/>
        </w:rPr>
        <w:t>独立第三</w:t>
      </w:r>
      <w:proofErr w:type="gramEnd"/>
      <w:r>
        <w:rPr>
          <w:rFonts w:hint="eastAsia"/>
          <w:szCs w:val="32"/>
        </w:rPr>
        <w:t>方人员，对项目实施方案</w:t>
      </w:r>
      <w:proofErr w:type="gramStart"/>
      <w:r>
        <w:rPr>
          <w:rFonts w:hint="eastAsia"/>
          <w:szCs w:val="32"/>
        </w:rPr>
        <w:t>研</w:t>
      </w:r>
      <w:proofErr w:type="gramEnd"/>
      <w:r>
        <w:rPr>
          <w:rFonts w:hint="eastAsia"/>
          <w:szCs w:val="32"/>
        </w:rPr>
        <w:t>提意见，监督项目实施。</w:t>
      </w:r>
    </w:p>
    <w:p w:rsidR="00D905E6" w:rsidRDefault="00CA1744">
      <w:pPr>
        <w:ind w:firstLine="640"/>
        <w:rPr>
          <w:szCs w:val="32"/>
        </w:rPr>
      </w:pPr>
      <w:r>
        <w:rPr>
          <w:rFonts w:hint="eastAsia"/>
          <w:szCs w:val="32"/>
        </w:rPr>
        <w:t>实行建筑师负责制，充分发挥规划设计工作的引领作用和专业技术优势，统筹考虑建设质量、工期和成本等因素，确保城市更新项目的品质提升。</w:t>
      </w:r>
      <w:bookmarkStart w:id="93" w:name="_Toc97054453"/>
      <w:bookmarkStart w:id="94" w:name="_Toc97054454"/>
      <w:bookmarkStart w:id="95" w:name="_Toc97901672"/>
      <w:bookmarkEnd w:id="93"/>
      <w:bookmarkEnd w:id="94"/>
    </w:p>
    <w:p w:rsidR="00A62746" w:rsidRDefault="00D905E6">
      <w:pPr>
        <w:ind w:firstLine="640"/>
        <w:rPr>
          <w:szCs w:val="32"/>
        </w:rPr>
      </w:pPr>
      <w:r w:rsidRPr="00D905E6">
        <w:rPr>
          <w:rFonts w:hint="eastAsia"/>
          <w:szCs w:val="32"/>
        </w:rPr>
        <w:t>研发城市更新技术和产品体系，完善城市更新设计标准。</w:t>
      </w:r>
    </w:p>
    <w:p w:rsidR="00A62746" w:rsidRDefault="008161C9">
      <w:pPr>
        <w:pStyle w:val="a0"/>
        <w:ind w:firstLine="640"/>
      </w:pPr>
      <w:bookmarkStart w:id="96" w:name="_Toc611318349"/>
      <w:bookmarkStart w:id="97" w:name="_Toc18234"/>
      <w:r>
        <w:rPr>
          <w:rFonts w:hint="eastAsia"/>
        </w:rPr>
        <w:t xml:space="preserve">第八条　</w:t>
      </w:r>
      <w:r w:rsidR="00CA1744">
        <w:rPr>
          <w:rFonts w:hint="eastAsia"/>
        </w:rPr>
        <w:t>本市建立统一的城市更新信息系统，完善数据共享机制，充分利用信息化、数字化、智能化的新技术开展城市更新工作。</w:t>
      </w:r>
    </w:p>
    <w:p w:rsidR="00A62746" w:rsidRDefault="00CA1744">
      <w:pPr>
        <w:ind w:firstLine="640"/>
      </w:pPr>
      <w:r>
        <w:rPr>
          <w:rFonts w:hint="eastAsia"/>
        </w:rPr>
        <w:t>城市更新专项规划、导则、更新计划、实施主体选定、实施方案以及有关技术标准、政策措施等，应当通过城市更新信息系统向社会公布。</w:t>
      </w:r>
    </w:p>
    <w:p w:rsidR="00A62746" w:rsidRDefault="00CA1744">
      <w:pPr>
        <w:ind w:firstLine="640"/>
      </w:pPr>
      <w:r>
        <w:rPr>
          <w:rFonts w:hint="eastAsia"/>
        </w:rPr>
        <w:lastRenderedPageBreak/>
        <w:t>市、区人民政府及其有关部门依托城市更新信息系统，对城市更新活动进行统筹推进、监督管理，为城市更新项目的实施提供服务保障。</w:t>
      </w:r>
    </w:p>
    <w:p w:rsidR="00A62746" w:rsidRDefault="008161C9">
      <w:pPr>
        <w:ind w:firstLine="640"/>
        <w:rPr>
          <w:szCs w:val="32"/>
        </w:rPr>
      </w:pPr>
      <w:r>
        <w:rPr>
          <w:rFonts w:hint="eastAsia"/>
          <w:szCs w:val="32"/>
        </w:rPr>
        <w:t xml:space="preserve">第九条　</w:t>
      </w:r>
      <w:r w:rsidR="00CA1744">
        <w:rPr>
          <w:rFonts w:hint="eastAsia"/>
          <w:szCs w:val="32"/>
        </w:rPr>
        <w:t>坚持小规模、渐进式、可持续的原则，统筹推进首都功能核心区城市更新，促进老城整体保护。</w:t>
      </w:r>
    </w:p>
    <w:p w:rsidR="00A62746" w:rsidRDefault="00CA1744">
      <w:pPr>
        <w:ind w:firstLine="640"/>
        <w:rPr>
          <w:szCs w:val="32"/>
        </w:rPr>
      </w:pPr>
      <w:r>
        <w:rPr>
          <w:rFonts w:hint="eastAsia"/>
          <w:szCs w:val="32"/>
        </w:rPr>
        <w:t>城市更新专项规划、更新计划以及城市更新项目实施遇有涉及首都功能的重大事项，应当依照相关规定经首都规划建设委员会审议，向党中央、国务院请示报告。</w:t>
      </w:r>
    </w:p>
    <w:p w:rsidR="00A62746" w:rsidRDefault="00CA1744">
      <w:pPr>
        <w:ind w:firstLine="640"/>
        <w:rPr>
          <w:szCs w:val="32"/>
        </w:rPr>
      </w:pPr>
      <w:r>
        <w:rPr>
          <w:rFonts w:hint="eastAsia"/>
          <w:szCs w:val="32"/>
        </w:rPr>
        <w:t>在京中央单位、驻京部队应当履行在城市更新活动中物业权利人的主体责任，安排相应的更新资金，按照规划要求开展更新活动。</w:t>
      </w:r>
    </w:p>
    <w:p w:rsidR="00A62746" w:rsidRPr="008161C9" w:rsidRDefault="00CA1744" w:rsidP="008161C9">
      <w:pPr>
        <w:pStyle w:val="a0"/>
        <w:ind w:firstLine="640"/>
        <w:jc w:val="center"/>
        <w:rPr>
          <w:rFonts w:ascii="仿宋" w:hAnsi="仿宋" w:cs="Arial"/>
          <w:bCs/>
          <w:iCs/>
          <w:color w:val="000000"/>
          <w:szCs w:val="32"/>
        </w:rPr>
      </w:pPr>
      <w:bookmarkStart w:id="98" w:name="_Toc97054577"/>
      <w:bookmarkStart w:id="99" w:name="_____110"/>
      <w:bookmarkStart w:id="100" w:name="_____108"/>
      <w:bookmarkStart w:id="101" w:name="_Toc97054576"/>
      <w:bookmarkStart w:id="102" w:name="_Toc145068395"/>
      <w:bookmarkStart w:id="103" w:name="_Toc1246922011"/>
      <w:bookmarkEnd w:id="98"/>
      <w:bookmarkEnd w:id="99"/>
      <w:bookmarkEnd w:id="100"/>
      <w:bookmarkEnd w:id="101"/>
      <w:r w:rsidRPr="008161C9">
        <w:rPr>
          <w:rFonts w:ascii="仿宋" w:hAnsi="仿宋" w:cs="Arial" w:hint="eastAsia"/>
          <w:bCs/>
          <w:iCs/>
          <w:color w:val="000000"/>
          <w:szCs w:val="32"/>
        </w:rPr>
        <w:t xml:space="preserve">第二章 </w:t>
      </w:r>
      <w:r w:rsidRPr="008161C9">
        <w:rPr>
          <w:rFonts w:ascii="仿宋" w:hAnsi="仿宋" w:cs="Arial"/>
          <w:bCs/>
          <w:iCs/>
          <w:color w:val="000000"/>
          <w:szCs w:val="32"/>
        </w:rPr>
        <w:t>城市更新</w:t>
      </w:r>
      <w:bookmarkEnd w:id="96"/>
      <w:bookmarkEnd w:id="102"/>
      <w:r w:rsidRPr="008161C9">
        <w:rPr>
          <w:rFonts w:ascii="仿宋" w:hAnsi="仿宋" w:cs="Arial"/>
          <w:bCs/>
          <w:iCs/>
          <w:color w:val="000000"/>
          <w:szCs w:val="32"/>
        </w:rPr>
        <w:t>规划与</w:t>
      </w:r>
      <w:r w:rsidRPr="008161C9">
        <w:rPr>
          <w:rFonts w:ascii="仿宋" w:hAnsi="仿宋" w:cs="Arial" w:hint="eastAsia"/>
          <w:bCs/>
          <w:iCs/>
          <w:color w:val="000000"/>
          <w:szCs w:val="32"/>
        </w:rPr>
        <w:t>导则</w:t>
      </w:r>
      <w:bookmarkEnd w:id="103"/>
    </w:p>
    <w:p w:rsidR="00A62746" w:rsidRDefault="008161C9">
      <w:pPr>
        <w:widowControl w:val="0"/>
        <w:suppressAutoHyphens/>
        <w:spacing w:line="560" w:lineRule="exact"/>
        <w:ind w:firstLine="640"/>
      </w:pPr>
      <w:bookmarkStart w:id="104" w:name="_Toc103970411"/>
      <w:bookmarkStart w:id="105" w:name="_Toc103970081"/>
      <w:bookmarkStart w:id="106" w:name="_Toc103970080"/>
      <w:bookmarkStart w:id="107" w:name="_Toc103970419"/>
      <w:bookmarkStart w:id="108" w:name="_Toc103970073"/>
      <w:bookmarkStart w:id="109" w:name="_____36"/>
      <w:bookmarkStart w:id="110" w:name="_Toc103970075"/>
      <w:bookmarkStart w:id="111" w:name="_Toc103970078"/>
      <w:bookmarkStart w:id="112" w:name="_Toc103970408"/>
      <w:bookmarkStart w:id="113" w:name="_____34"/>
      <w:bookmarkStart w:id="114" w:name="_____42"/>
      <w:bookmarkStart w:id="115" w:name="_Toc103970076"/>
      <w:bookmarkStart w:id="116" w:name="_Toc103970416"/>
      <w:bookmarkStart w:id="117" w:name="_Toc103970415"/>
      <w:bookmarkStart w:id="118" w:name="_Toc103970074"/>
      <w:bookmarkStart w:id="119" w:name="_Toc103970083"/>
      <w:bookmarkStart w:id="120" w:name="_Toc103970410"/>
      <w:bookmarkStart w:id="121" w:name="_Toc103970082"/>
      <w:bookmarkStart w:id="122" w:name="_Toc103970085"/>
      <w:bookmarkStart w:id="123" w:name="_Toc103970084"/>
      <w:bookmarkStart w:id="124" w:name="_Toc103970407"/>
      <w:bookmarkStart w:id="125" w:name="_Toc103970413"/>
      <w:bookmarkStart w:id="126" w:name="_Toc103970412"/>
      <w:bookmarkStart w:id="127" w:name="_Toc103970077"/>
      <w:bookmarkStart w:id="128" w:name="_Toc103970079"/>
      <w:bookmarkStart w:id="129" w:name="_Toc103970414"/>
      <w:bookmarkStart w:id="130" w:name="_Toc103970409"/>
      <w:bookmarkStart w:id="131" w:name="_Toc103970418"/>
      <w:bookmarkStart w:id="132" w:name="_Toc103970417"/>
      <w:bookmarkStart w:id="133" w:name="_Toc470258262"/>
      <w:bookmarkStart w:id="134" w:name="_Toc322507010"/>
      <w:bookmarkStart w:id="135" w:name="_Toc26893"/>
      <w:bookmarkStart w:id="136" w:name="_Toc97901678"/>
      <w:bookmarkStart w:id="137" w:name="_Toc1692071488"/>
      <w:bookmarkStart w:id="138" w:name="_Toc1021675325"/>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hint="eastAsia"/>
        </w:rPr>
        <w:t xml:space="preserve">第十条　</w:t>
      </w:r>
      <w:r w:rsidR="00CA1744">
        <w:rPr>
          <w:rFonts w:hint="eastAsia"/>
        </w:rPr>
        <w:t>本市城市更新落实北京城市总体规划，以首都发展为统领，按照“三级三类”的国土空间规划体系要求，保障首都功能、改善民生福祉、加强生态保护、传承历史文化、提升治理能力、激发城市活力，实现高质量发展。</w:t>
      </w:r>
    </w:p>
    <w:p w:rsidR="00A62746" w:rsidRDefault="00CA1744">
      <w:pPr>
        <w:widowControl w:val="0"/>
        <w:suppressAutoHyphens/>
        <w:spacing w:line="560" w:lineRule="exact"/>
        <w:ind w:firstLine="640"/>
      </w:pPr>
      <w:r>
        <w:rPr>
          <w:rFonts w:hint="eastAsia"/>
        </w:rPr>
        <w:t>通过城市更新专项规划和控制性详细规划对资源和任务进行时空统筹和区域统筹，引领项目实施，推进城市更新工作。</w:t>
      </w:r>
    </w:p>
    <w:p w:rsidR="00A62746" w:rsidRDefault="008161C9">
      <w:pPr>
        <w:widowControl w:val="0"/>
        <w:suppressAutoHyphens/>
        <w:spacing w:line="560" w:lineRule="exact"/>
        <w:ind w:firstLine="640"/>
      </w:pPr>
      <w:r>
        <w:rPr>
          <w:rFonts w:hint="eastAsia"/>
        </w:rPr>
        <w:t xml:space="preserve">第十一条　</w:t>
      </w:r>
      <w:r w:rsidR="00CA1744">
        <w:rPr>
          <w:rFonts w:hint="eastAsia"/>
        </w:rPr>
        <w:t>城市更新专项规划是指导本市城市更新工作的总体安排，经批准后纳入控制性详细规划。市级城市更新专项规划由市规划自然资源管理部门负责组织编制，区级城市更新专项规划由区人民政府结合本辖区情况组织</w:t>
      </w:r>
      <w:r w:rsidR="00CA1744">
        <w:rPr>
          <w:rFonts w:hint="eastAsia"/>
        </w:rPr>
        <w:lastRenderedPageBreak/>
        <w:t>编制。</w:t>
      </w:r>
    </w:p>
    <w:p w:rsidR="00A62746" w:rsidRDefault="00CA1744">
      <w:pPr>
        <w:widowControl w:val="0"/>
        <w:suppressAutoHyphens/>
        <w:spacing w:line="560" w:lineRule="exact"/>
        <w:ind w:firstLine="640"/>
      </w:pPr>
      <w:r>
        <w:rPr>
          <w:rFonts w:hint="eastAsia"/>
        </w:rPr>
        <w:t>城市更新专项规划提出更新目标、明确组织体系、划定重点更新区域、完善更新保障机制。</w:t>
      </w:r>
    </w:p>
    <w:p w:rsidR="00A62746" w:rsidRDefault="008161C9">
      <w:pPr>
        <w:spacing w:after="72"/>
        <w:ind w:firstLine="640"/>
      </w:pPr>
      <w:r>
        <w:rPr>
          <w:rFonts w:hint="eastAsia"/>
        </w:rPr>
        <w:t xml:space="preserve">第十二条　</w:t>
      </w:r>
      <w:r w:rsidR="00CA1744">
        <w:rPr>
          <w:rFonts w:hint="eastAsia"/>
        </w:rPr>
        <w:t>市住房城乡建设、发展改革、经济信息化、科技、商务、城市管理、交通、水务、园林绿化等相关行业主管部门会同市规划自然资源管理部门分类制定更新导则，明确更新导向、技术标准、实施方案编制等要求，指导城市更新规范实施。</w:t>
      </w:r>
    </w:p>
    <w:p w:rsidR="00A62746" w:rsidRDefault="008161C9">
      <w:pPr>
        <w:ind w:firstLine="640"/>
      </w:pPr>
      <w:r w:rsidRPr="008161C9">
        <w:rPr>
          <w:rFonts w:hint="eastAsia"/>
        </w:rPr>
        <w:t xml:space="preserve">第十三条　</w:t>
      </w:r>
      <w:r w:rsidR="00CA1744" w:rsidRPr="008161C9">
        <w:rPr>
          <w:rFonts w:hint="eastAsia"/>
        </w:rPr>
        <w:t>控制性详细规划是城市更新项目实施的规划依据。区人民政府应</w:t>
      </w:r>
      <w:r>
        <w:rPr>
          <w:rFonts w:hint="eastAsia"/>
        </w:rPr>
        <w:t>当</w:t>
      </w:r>
      <w:r w:rsidR="00CA1744" w:rsidRPr="008161C9">
        <w:rPr>
          <w:rFonts w:hint="eastAsia"/>
        </w:rPr>
        <w:t>落实总</w:t>
      </w:r>
      <w:r>
        <w:rPr>
          <w:rFonts w:hint="eastAsia"/>
        </w:rPr>
        <w:t>体规划、分区规划要求，开展现状评估，合理确定城市更新规划范围，按照</w:t>
      </w:r>
      <w:r w:rsidR="00CA1744" w:rsidRPr="008161C9">
        <w:rPr>
          <w:rFonts w:hint="eastAsia"/>
        </w:rPr>
        <w:t>整体统筹原则组织编制控制性详细规划</w:t>
      </w:r>
      <w:r w:rsidR="00CA1744">
        <w:rPr>
          <w:rFonts w:hint="eastAsia"/>
        </w:rPr>
        <w:t>。</w:t>
      </w:r>
    </w:p>
    <w:p w:rsidR="00A62746" w:rsidRDefault="008161C9">
      <w:pPr>
        <w:ind w:firstLine="640"/>
      </w:pPr>
      <w:r>
        <w:rPr>
          <w:rFonts w:hint="eastAsia"/>
        </w:rPr>
        <w:t xml:space="preserve">第十四条　</w:t>
      </w:r>
      <w:r w:rsidR="00CA1744">
        <w:rPr>
          <w:rFonts w:hint="eastAsia"/>
        </w:rPr>
        <w:t>编制城市更新专项规划、控制性详细规划前应对街区现状进行评估，分类梳理规划范围内需要更新改造的建筑和空间信息，以及存量资源的分布、功能、规模等信息，自下而上查找问题，提出更新利用的引导方向和实施要求。涉及历史文化资源的，</w:t>
      </w:r>
      <w:r w:rsidR="00B67191">
        <w:rPr>
          <w:rFonts w:hint="eastAsia"/>
        </w:rPr>
        <w:t>应当</w:t>
      </w:r>
      <w:r w:rsidR="00CA1744">
        <w:rPr>
          <w:rFonts w:hint="eastAsia"/>
        </w:rPr>
        <w:t>开展历史文化资源调查评估。</w:t>
      </w:r>
    </w:p>
    <w:p w:rsidR="00A62746" w:rsidRDefault="00CA1744">
      <w:pPr>
        <w:ind w:firstLine="640"/>
      </w:pPr>
      <w:r>
        <w:rPr>
          <w:rFonts w:hint="eastAsia"/>
        </w:rPr>
        <w:t>居住环境差、存在重大安全隐患、市政基础设施薄弱以及现有土地用途、建筑物使用功能、产业结构不适应经济社会发展等情况的区域</w:t>
      </w:r>
      <w:r w:rsidR="00C16B80">
        <w:rPr>
          <w:rFonts w:hint="eastAsia"/>
        </w:rPr>
        <w:t>，</w:t>
      </w:r>
      <w:r>
        <w:rPr>
          <w:rFonts w:hint="eastAsia"/>
        </w:rPr>
        <w:t>优先进行城市更新。</w:t>
      </w:r>
    </w:p>
    <w:p w:rsidR="00A62746" w:rsidRDefault="00B64F35">
      <w:pPr>
        <w:ind w:firstLine="640"/>
      </w:pPr>
      <w:r>
        <w:rPr>
          <w:rFonts w:hint="eastAsia"/>
        </w:rPr>
        <w:t xml:space="preserve">第十五条　</w:t>
      </w:r>
      <w:r w:rsidR="00CA1744">
        <w:rPr>
          <w:rFonts w:hint="eastAsia"/>
        </w:rPr>
        <w:t>城市更新项目应当编制城市更新规划和实施方案（</w:t>
      </w:r>
      <w:r w:rsidR="007E723E">
        <w:rPr>
          <w:rFonts w:hint="eastAsia"/>
        </w:rPr>
        <w:t>以下简称实施方案）。实施方案应当</w:t>
      </w:r>
      <w:r w:rsidR="00CA1744">
        <w:rPr>
          <w:rFonts w:hint="eastAsia"/>
        </w:rPr>
        <w:t>依据控制性详细规划编制；也可与控制性详细规划同步编制，一并上报；重大的城市更新项目可先行编制实施方案，经市政府</w:t>
      </w:r>
      <w:r w:rsidR="00CA1744">
        <w:rPr>
          <w:rFonts w:hint="eastAsia"/>
        </w:rPr>
        <w:lastRenderedPageBreak/>
        <w:t>批准后纳入控制性详细规划。小规模、低风险、功能单一的城市更新项目可直接编制更新项目设计方案。</w:t>
      </w:r>
    </w:p>
    <w:p w:rsidR="00A62746" w:rsidRDefault="00D905E6">
      <w:pPr>
        <w:spacing w:line="560" w:lineRule="exact"/>
        <w:ind w:firstLine="640"/>
      </w:pPr>
      <w:bookmarkStart w:id="139" w:name="_Toc132847530"/>
      <w:bookmarkEnd w:id="133"/>
      <w:r>
        <w:rPr>
          <w:rFonts w:hint="eastAsia"/>
        </w:rPr>
        <w:t xml:space="preserve">第十六条　</w:t>
      </w:r>
      <w:r w:rsidR="00CA1744">
        <w:rPr>
          <w:rFonts w:hint="eastAsia"/>
        </w:rPr>
        <w:t>开展城市更新活动，应当遵循以下基本要求：</w:t>
      </w:r>
    </w:p>
    <w:p w:rsidR="00A62746" w:rsidRPr="00090A6C" w:rsidRDefault="00CA1744" w:rsidP="00090A6C">
      <w:pPr>
        <w:pStyle w:val="ac"/>
        <w:spacing w:line="560" w:lineRule="exact"/>
        <w:ind w:firstLine="640"/>
        <w:jc w:val="left"/>
        <w:rPr>
          <w:rFonts w:ascii="仿宋" w:hAnsi="仿宋" w:cs="Times New Roman"/>
          <w:b w:val="0"/>
          <w:bCs w:val="0"/>
          <w:kern w:val="0"/>
          <w:szCs w:val="28"/>
        </w:rPr>
      </w:pPr>
      <w:bookmarkStart w:id="140" w:name="_Toc271863842"/>
      <w:r w:rsidRPr="00090A6C">
        <w:rPr>
          <w:rFonts w:ascii="仿宋" w:hAnsi="仿宋" w:cs="Times New Roman" w:hint="eastAsia"/>
          <w:b w:val="0"/>
          <w:bCs w:val="0"/>
          <w:kern w:val="0"/>
          <w:szCs w:val="28"/>
        </w:rPr>
        <w:t>（一）</w:t>
      </w:r>
      <w:bookmarkStart w:id="141" w:name="_Toc101007797"/>
      <w:bookmarkStart w:id="142" w:name="_Toc101008135"/>
      <w:bookmarkStart w:id="143" w:name="_Toc101007799"/>
      <w:bookmarkStart w:id="144" w:name="_Toc101008137"/>
      <w:bookmarkStart w:id="145" w:name="_Toc1868091272"/>
      <w:bookmarkEnd w:id="139"/>
      <w:bookmarkEnd w:id="140"/>
      <w:bookmarkEnd w:id="141"/>
      <w:bookmarkEnd w:id="142"/>
      <w:bookmarkEnd w:id="143"/>
      <w:bookmarkEnd w:id="144"/>
      <w:r w:rsidR="0001038B">
        <w:rPr>
          <w:rFonts w:ascii="仿宋" w:hAnsi="仿宋" w:cs="Times New Roman" w:hint="eastAsia"/>
          <w:b w:val="0"/>
          <w:bCs w:val="0"/>
          <w:kern w:val="0"/>
          <w:szCs w:val="28"/>
        </w:rPr>
        <w:t>城市更新</w:t>
      </w:r>
      <w:r w:rsidRPr="00090A6C">
        <w:rPr>
          <w:rFonts w:ascii="仿宋" w:hAnsi="仿宋" w:cs="Times New Roman" w:hint="eastAsia"/>
          <w:b w:val="0"/>
          <w:bCs w:val="0"/>
          <w:kern w:val="0"/>
          <w:szCs w:val="28"/>
        </w:rPr>
        <w:t>应当与“疏解整治促提升”工作有效衔接。有违法建设的，应当在开展城市更新前先行拆除治理，并合理利用疏解腾退空间。</w:t>
      </w:r>
    </w:p>
    <w:p w:rsidR="00A62746" w:rsidRPr="00090A6C" w:rsidRDefault="00CA1744" w:rsidP="00090A6C">
      <w:pPr>
        <w:pStyle w:val="ac"/>
        <w:spacing w:line="560" w:lineRule="exact"/>
        <w:ind w:firstLine="640"/>
        <w:jc w:val="left"/>
        <w:rPr>
          <w:rFonts w:ascii="仿宋" w:hAnsi="仿宋" w:cs="Times New Roman"/>
          <w:b w:val="0"/>
          <w:bCs w:val="0"/>
          <w:kern w:val="0"/>
          <w:szCs w:val="28"/>
        </w:rPr>
      </w:pPr>
      <w:bookmarkStart w:id="146" w:name="_Toc2120737970"/>
      <w:bookmarkStart w:id="147" w:name="_Toc1442144409"/>
      <w:r w:rsidRPr="00090A6C">
        <w:rPr>
          <w:rFonts w:ascii="仿宋" w:hAnsi="仿宋" w:cs="Times New Roman" w:hint="eastAsia"/>
          <w:b w:val="0"/>
          <w:bCs w:val="0"/>
          <w:kern w:val="0"/>
          <w:szCs w:val="28"/>
        </w:rPr>
        <w:t>（二）</w:t>
      </w:r>
      <w:bookmarkEnd w:id="146"/>
      <w:bookmarkEnd w:id="147"/>
      <w:r w:rsidRPr="00090A6C">
        <w:rPr>
          <w:rFonts w:ascii="仿宋" w:hAnsi="仿宋" w:cs="Times New Roman" w:hint="eastAsia"/>
          <w:b w:val="0"/>
          <w:bCs w:val="0"/>
          <w:kern w:val="0"/>
          <w:szCs w:val="28"/>
        </w:rPr>
        <w:t>城市更新应当通过疏解腾退、功能置换、闲置资源改建等方式，完善区域功能，补齐公共服务、市政基础和公共安全设施短板。</w:t>
      </w:r>
    </w:p>
    <w:p w:rsidR="00A62746" w:rsidRPr="00090A6C" w:rsidRDefault="00CA1744" w:rsidP="00090A6C">
      <w:pPr>
        <w:pStyle w:val="ac"/>
        <w:spacing w:line="560" w:lineRule="exact"/>
        <w:ind w:firstLine="640"/>
        <w:jc w:val="left"/>
        <w:rPr>
          <w:rFonts w:ascii="仿宋" w:hAnsi="仿宋" w:cs="Times New Roman"/>
          <w:b w:val="0"/>
          <w:bCs w:val="0"/>
          <w:kern w:val="0"/>
          <w:szCs w:val="28"/>
        </w:rPr>
      </w:pPr>
      <w:bookmarkStart w:id="148" w:name="_Toc1408876165"/>
      <w:r w:rsidRPr="00090A6C">
        <w:rPr>
          <w:rFonts w:ascii="仿宋" w:hAnsi="仿宋" w:cs="Times New Roman" w:hint="eastAsia"/>
          <w:b w:val="0"/>
          <w:bCs w:val="0"/>
          <w:kern w:val="0"/>
          <w:szCs w:val="28"/>
        </w:rPr>
        <w:t>（三）</w:t>
      </w:r>
      <w:bookmarkEnd w:id="148"/>
      <w:r w:rsidRPr="00090A6C">
        <w:rPr>
          <w:rFonts w:ascii="仿宋" w:hAnsi="仿宋" w:cs="Times New Roman" w:hint="eastAsia"/>
          <w:b w:val="0"/>
          <w:bCs w:val="0"/>
          <w:kern w:val="0"/>
          <w:szCs w:val="28"/>
        </w:rPr>
        <w:t>加强既有建筑定期维护、安全管理、改扩建和拆除管理，落实产权人房屋安全主体责任，在更新时采取有效措施消除危险和严重抗震安全隐患。</w:t>
      </w:r>
    </w:p>
    <w:p w:rsidR="00A62746" w:rsidRPr="00090A6C" w:rsidRDefault="00CA1744">
      <w:pPr>
        <w:pStyle w:val="a0"/>
        <w:spacing w:line="560" w:lineRule="exact"/>
        <w:ind w:firstLine="640"/>
        <w:rPr>
          <w:rFonts w:ascii="仿宋" w:hAnsi="仿宋"/>
        </w:rPr>
      </w:pPr>
      <w:r w:rsidRPr="00090A6C">
        <w:rPr>
          <w:rFonts w:ascii="仿宋" w:hAnsi="仿宋" w:hint="eastAsia"/>
        </w:rPr>
        <w:t>严格控制大规模拆除、增建，拆建比应当符合国家及本市相关规定。</w:t>
      </w:r>
    </w:p>
    <w:p w:rsidR="00A62746" w:rsidRPr="00090A6C" w:rsidRDefault="00CA1744">
      <w:pPr>
        <w:pStyle w:val="a0"/>
        <w:spacing w:line="560" w:lineRule="exact"/>
        <w:ind w:firstLine="640"/>
        <w:rPr>
          <w:rFonts w:ascii="仿宋" w:hAnsi="仿宋"/>
        </w:rPr>
      </w:pPr>
      <w:r w:rsidRPr="00090A6C">
        <w:rPr>
          <w:rFonts w:ascii="仿宋" w:hAnsi="仿宋" w:hint="eastAsia"/>
        </w:rPr>
        <w:t>任何单位和个人在房屋改造过程中不得擅自损坏房屋建筑主体和承重结构。</w:t>
      </w:r>
    </w:p>
    <w:p w:rsidR="00A62746" w:rsidRPr="00090A6C" w:rsidRDefault="00CA1744" w:rsidP="00090A6C">
      <w:pPr>
        <w:pStyle w:val="ac"/>
        <w:spacing w:line="560" w:lineRule="exact"/>
        <w:ind w:firstLine="640"/>
        <w:jc w:val="left"/>
        <w:rPr>
          <w:rFonts w:ascii="仿宋" w:hAnsi="仿宋" w:cs="Times New Roman"/>
          <w:b w:val="0"/>
          <w:bCs w:val="0"/>
          <w:kern w:val="0"/>
          <w:szCs w:val="28"/>
        </w:rPr>
      </w:pPr>
      <w:bookmarkStart w:id="149" w:name="_Toc717995817"/>
      <w:r w:rsidRPr="00090A6C">
        <w:rPr>
          <w:rFonts w:ascii="仿宋" w:hAnsi="仿宋" w:cs="Times New Roman" w:hint="eastAsia"/>
          <w:b w:val="0"/>
          <w:bCs w:val="0"/>
          <w:kern w:val="0"/>
          <w:szCs w:val="28"/>
        </w:rPr>
        <w:t>（四）</w:t>
      </w:r>
      <w:bookmarkEnd w:id="145"/>
      <w:bookmarkEnd w:id="149"/>
      <w:r w:rsidRPr="00090A6C">
        <w:rPr>
          <w:rFonts w:ascii="仿宋" w:hAnsi="仿宋" w:cs="Times New Roman" w:hint="eastAsia"/>
          <w:b w:val="0"/>
          <w:bCs w:val="0"/>
          <w:kern w:val="0"/>
          <w:szCs w:val="28"/>
        </w:rPr>
        <w:t>严格落实城市风貌管控要求。城市更新过程中，不破坏地形地貌，</w:t>
      </w:r>
      <w:proofErr w:type="gramStart"/>
      <w:r w:rsidRPr="00090A6C">
        <w:rPr>
          <w:rFonts w:ascii="仿宋" w:hAnsi="仿宋" w:cs="Times New Roman" w:hint="eastAsia"/>
          <w:b w:val="0"/>
          <w:bCs w:val="0"/>
          <w:kern w:val="0"/>
          <w:szCs w:val="28"/>
        </w:rPr>
        <w:t>不伐移</w:t>
      </w:r>
      <w:proofErr w:type="gramEnd"/>
      <w:r w:rsidRPr="00090A6C">
        <w:rPr>
          <w:rFonts w:ascii="仿宋" w:hAnsi="仿宋" w:cs="Times New Roman" w:hint="eastAsia"/>
          <w:b w:val="0"/>
          <w:bCs w:val="0"/>
          <w:kern w:val="0"/>
          <w:szCs w:val="28"/>
        </w:rPr>
        <w:t>老树，不挖山填湖，不随意改变和侵占河湖水系，不随意改老地名。落实本市历史文化名城保护要求，挖掘历史文化和时代价值，延续历史文脉，留住乡愁记忆。</w:t>
      </w:r>
    </w:p>
    <w:p w:rsidR="00A62746" w:rsidRPr="00090A6C" w:rsidRDefault="00CA1744" w:rsidP="00090A6C">
      <w:pPr>
        <w:pStyle w:val="ac"/>
        <w:spacing w:line="560" w:lineRule="exact"/>
        <w:ind w:firstLine="640"/>
        <w:jc w:val="left"/>
        <w:rPr>
          <w:rFonts w:ascii="仿宋" w:hAnsi="仿宋" w:cs="Times New Roman"/>
          <w:b w:val="0"/>
          <w:bCs w:val="0"/>
          <w:kern w:val="0"/>
          <w:szCs w:val="28"/>
        </w:rPr>
      </w:pPr>
      <w:bookmarkStart w:id="150" w:name="_Toc416935860"/>
      <w:bookmarkStart w:id="151" w:name="_Toc1299815827"/>
      <w:r w:rsidRPr="00090A6C">
        <w:rPr>
          <w:rFonts w:ascii="仿宋" w:hAnsi="仿宋" w:cs="Times New Roman" w:hint="eastAsia"/>
          <w:b w:val="0"/>
          <w:bCs w:val="0"/>
          <w:kern w:val="0"/>
          <w:szCs w:val="28"/>
        </w:rPr>
        <w:lastRenderedPageBreak/>
        <w:t>（五）</w:t>
      </w:r>
      <w:bookmarkEnd w:id="150"/>
      <w:bookmarkEnd w:id="151"/>
      <w:r w:rsidRPr="00090A6C">
        <w:rPr>
          <w:rFonts w:ascii="仿宋" w:hAnsi="仿宋" w:cs="Times New Roman" w:hint="eastAsia"/>
          <w:b w:val="0"/>
          <w:bCs w:val="0"/>
          <w:kern w:val="0"/>
          <w:szCs w:val="28"/>
        </w:rPr>
        <w:t>城市更新应当落实本市绿色发展要求，开展既有建筑节能绿色化改造，提升建筑能效水平，发挥绿色建筑集约发展效应，打造绿色生态城区。</w:t>
      </w:r>
    </w:p>
    <w:p w:rsidR="00A62746" w:rsidRPr="00090A6C" w:rsidRDefault="00CA1744" w:rsidP="00090A6C">
      <w:pPr>
        <w:pStyle w:val="ac"/>
        <w:spacing w:line="560" w:lineRule="exact"/>
        <w:ind w:firstLine="640"/>
        <w:jc w:val="left"/>
        <w:rPr>
          <w:rFonts w:ascii="仿宋" w:hAnsi="仿宋" w:cs="Times New Roman"/>
          <w:b w:val="0"/>
          <w:bCs w:val="0"/>
          <w:kern w:val="0"/>
          <w:szCs w:val="28"/>
        </w:rPr>
      </w:pPr>
      <w:bookmarkStart w:id="152" w:name="_Toc942629072"/>
      <w:bookmarkStart w:id="153" w:name="_Toc525148053"/>
      <w:r w:rsidRPr="00090A6C">
        <w:rPr>
          <w:rFonts w:ascii="仿宋" w:hAnsi="仿宋" w:cs="Times New Roman" w:hint="eastAsia"/>
          <w:b w:val="0"/>
          <w:bCs w:val="0"/>
          <w:kern w:val="0"/>
          <w:szCs w:val="28"/>
        </w:rPr>
        <w:t>（六）</w:t>
      </w:r>
      <w:bookmarkEnd w:id="152"/>
      <w:bookmarkEnd w:id="153"/>
      <w:r w:rsidRPr="00090A6C">
        <w:rPr>
          <w:rFonts w:ascii="仿宋" w:hAnsi="仿宋" w:cs="Times New Roman" w:hint="eastAsia"/>
          <w:b w:val="0"/>
          <w:bCs w:val="0"/>
          <w:kern w:val="0"/>
          <w:szCs w:val="28"/>
        </w:rPr>
        <w:t>城市更新应当对项目地上地下空间进行综合统筹和一体化、集约化提升改造，提高城市空间资源利用效率。</w:t>
      </w:r>
    </w:p>
    <w:p w:rsidR="00A62746" w:rsidRPr="00090A6C" w:rsidRDefault="00CA1744" w:rsidP="00090A6C">
      <w:pPr>
        <w:pStyle w:val="ac"/>
        <w:spacing w:line="560" w:lineRule="exact"/>
        <w:ind w:firstLine="640"/>
        <w:jc w:val="left"/>
        <w:rPr>
          <w:rFonts w:ascii="仿宋" w:hAnsi="仿宋" w:cs="Times New Roman"/>
          <w:b w:val="0"/>
          <w:bCs w:val="0"/>
          <w:kern w:val="0"/>
          <w:szCs w:val="28"/>
        </w:rPr>
      </w:pPr>
      <w:bookmarkStart w:id="154" w:name="_Toc173981036"/>
      <w:bookmarkStart w:id="155" w:name="_Toc529204416"/>
      <w:r w:rsidRPr="00090A6C">
        <w:rPr>
          <w:rFonts w:ascii="仿宋" w:hAnsi="仿宋" w:cs="Times New Roman" w:hint="eastAsia"/>
          <w:b w:val="0"/>
          <w:bCs w:val="0"/>
          <w:kern w:val="0"/>
          <w:szCs w:val="28"/>
        </w:rPr>
        <w:t>（七）</w:t>
      </w:r>
      <w:bookmarkEnd w:id="154"/>
      <w:bookmarkEnd w:id="155"/>
      <w:r w:rsidRPr="00090A6C">
        <w:rPr>
          <w:rFonts w:ascii="仿宋" w:hAnsi="仿宋" w:cs="Times New Roman" w:hint="eastAsia"/>
          <w:b w:val="0"/>
          <w:bCs w:val="0"/>
          <w:kern w:val="0"/>
          <w:szCs w:val="28"/>
        </w:rPr>
        <w:t>城市更新应当落实海绵城市、韧性城市建设要求，提高城市防涝、防疫、防灾等能力。</w:t>
      </w:r>
    </w:p>
    <w:p w:rsidR="00A62746" w:rsidRPr="00090A6C" w:rsidRDefault="00CA1744" w:rsidP="00090A6C">
      <w:pPr>
        <w:pStyle w:val="ac"/>
        <w:spacing w:line="560" w:lineRule="exact"/>
        <w:ind w:firstLine="640"/>
        <w:jc w:val="left"/>
        <w:rPr>
          <w:rFonts w:ascii="仿宋" w:hAnsi="仿宋" w:cs="Times New Roman"/>
          <w:b w:val="0"/>
          <w:bCs w:val="0"/>
          <w:kern w:val="0"/>
          <w:szCs w:val="28"/>
        </w:rPr>
      </w:pPr>
      <w:bookmarkStart w:id="156" w:name="_Toc2113608498"/>
      <w:bookmarkStart w:id="157" w:name="_Toc1231149079"/>
      <w:r w:rsidRPr="00090A6C">
        <w:rPr>
          <w:rFonts w:ascii="仿宋" w:hAnsi="仿宋" w:cs="Times New Roman" w:hint="eastAsia"/>
          <w:b w:val="0"/>
          <w:bCs w:val="0"/>
          <w:kern w:val="0"/>
          <w:szCs w:val="28"/>
        </w:rPr>
        <w:t>（八）</w:t>
      </w:r>
      <w:bookmarkEnd w:id="156"/>
      <w:bookmarkEnd w:id="157"/>
      <w:r w:rsidRPr="00090A6C">
        <w:rPr>
          <w:rFonts w:ascii="仿宋" w:hAnsi="仿宋" w:cs="Times New Roman" w:hint="eastAsia"/>
          <w:b w:val="0"/>
          <w:bCs w:val="0"/>
          <w:kern w:val="0"/>
          <w:szCs w:val="28"/>
        </w:rPr>
        <w:t>城市更新应当选择先进适用的建筑技术，推动数字技术创新与集成应用，加强科技引领，推进智慧城市建设。</w:t>
      </w:r>
    </w:p>
    <w:p w:rsidR="00A62746" w:rsidRPr="00090A6C" w:rsidRDefault="00CA1744" w:rsidP="00090A6C">
      <w:pPr>
        <w:pStyle w:val="ac"/>
        <w:spacing w:line="560" w:lineRule="exact"/>
        <w:ind w:firstLine="640"/>
        <w:jc w:val="left"/>
        <w:rPr>
          <w:rFonts w:ascii="仿宋" w:hAnsi="仿宋" w:cs="Times New Roman"/>
          <w:b w:val="0"/>
          <w:bCs w:val="0"/>
          <w:kern w:val="0"/>
          <w:szCs w:val="28"/>
        </w:rPr>
      </w:pPr>
      <w:bookmarkStart w:id="158" w:name="_Toc101007808"/>
      <w:bookmarkStart w:id="159" w:name="_Toc101007806"/>
      <w:bookmarkStart w:id="160" w:name="_Toc101008145"/>
      <w:bookmarkStart w:id="161" w:name="_Toc101008146"/>
      <w:bookmarkStart w:id="162" w:name="_Toc101007807"/>
      <w:bookmarkStart w:id="163" w:name="_Toc101008144"/>
      <w:bookmarkStart w:id="164" w:name="_Toc607508008"/>
      <w:bookmarkStart w:id="165" w:name="_Toc1227179618"/>
      <w:bookmarkEnd w:id="158"/>
      <w:bookmarkEnd w:id="159"/>
      <w:bookmarkEnd w:id="160"/>
      <w:bookmarkEnd w:id="161"/>
      <w:bookmarkEnd w:id="162"/>
      <w:bookmarkEnd w:id="163"/>
      <w:r w:rsidRPr="00090A6C">
        <w:rPr>
          <w:rFonts w:ascii="仿宋" w:hAnsi="仿宋" w:cs="Times New Roman" w:hint="eastAsia"/>
          <w:b w:val="0"/>
          <w:bCs w:val="0"/>
          <w:kern w:val="0"/>
          <w:szCs w:val="28"/>
        </w:rPr>
        <w:t>（九）</w:t>
      </w:r>
      <w:bookmarkEnd w:id="164"/>
      <w:bookmarkEnd w:id="165"/>
      <w:r w:rsidR="0001038B" w:rsidRPr="00090A6C">
        <w:rPr>
          <w:rFonts w:ascii="仿宋" w:hAnsi="仿宋" w:cs="Times New Roman" w:hint="eastAsia"/>
          <w:b w:val="0"/>
          <w:bCs w:val="0"/>
          <w:kern w:val="0"/>
          <w:szCs w:val="28"/>
        </w:rPr>
        <w:t>城市更新应当</w:t>
      </w:r>
      <w:r w:rsidRPr="00090A6C">
        <w:rPr>
          <w:rFonts w:ascii="仿宋" w:hAnsi="仿宋" w:cs="Times New Roman" w:hint="eastAsia"/>
          <w:b w:val="0"/>
          <w:bCs w:val="0"/>
          <w:kern w:val="0"/>
          <w:szCs w:val="28"/>
        </w:rPr>
        <w:t>落实本市无障碍环境建设相关要求，持续推进</w:t>
      </w:r>
      <w:proofErr w:type="gramStart"/>
      <w:r w:rsidRPr="00090A6C">
        <w:rPr>
          <w:rFonts w:ascii="仿宋" w:hAnsi="仿宋" w:cs="Times New Roman" w:hint="eastAsia"/>
          <w:b w:val="0"/>
          <w:bCs w:val="0"/>
          <w:kern w:val="0"/>
          <w:szCs w:val="28"/>
        </w:rPr>
        <w:t>适</w:t>
      </w:r>
      <w:proofErr w:type="gramEnd"/>
      <w:r w:rsidRPr="00090A6C">
        <w:rPr>
          <w:rFonts w:ascii="仿宋" w:hAnsi="仿宋" w:cs="Times New Roman" w:hint="eastAsia"/>
          <w:b w:val="0"/>
          <w:bCs w:val="0"/>
          <w:kern w:val="0"/>
          <w:szCs w:val="28"/>
        </w:rPr>
        <w:t>老化城市、社区、住房改造与建设，系统打造城市</w:t>
      </w:r>
      <w:proofErr w:type="gramStart"/>
      <w:r w:rsidRPr="00090A6C">
        <w:rPr>
          <w:rFonts w:ascii="仿宋" w:hAnsi="仿宋" w:cs="Times New Roman" w:hint="eastAsia"/>
          <w:b w:val="0"/>
          <w:bCs w:val="0"/>
          <w:kern w:val="0"/>
          <w:szCs w:val="28"/>
        </w:rPr>
        <w:t>适</w:t>
      </w:r>
      <w:proofErr w:type="gramEnd"/>
      <w:r w:rsidRPr="00090A6C">
        <w:rPr>
          <w:rFonts w:ascii="仿宋" w:hAnsi="仿宋" w:cs="Times New Roman" w:hint="eastAsia"/>
          <w:b w:val="0"/>
          <w:bCs w:val="0"/>
          <w:kern w:val="0"/>
          <w:szCs w:val="28"/>
        </w:rPr>
        <w:t>老化宜居环境。</w:t>
      </w:r>
    </w:p>
    <w:p w:rsidR="00A62746" w:rsidRPr="00090A6C" w:rsidRDefault="00CA1744" w:rsidP="00090A6C">
      <w:pPr>
        <w:pStyle w:val="ac"/>
        <w:spacing w:line="560" w:lineRule="exact"/>
        <w:ind w:firstLine="640"/>
        <w:jc w:val="left"/>
        <w:rPr>
          <w:rFonts w:ascii="仿宋" w:hAnsi="仿宋" w:cs="Times New Roman"/>
          <w:b w:val="0"/>
          <w:bCs w:val="0"/>
          <w:kern w:val="0"/>
          <w:szCs w:val="28"/>
        </w:rPr>
      </w:pPr>
      <w:bookmarkStart w:id="166" w:name="_Toc424112251"/>
      <w:bookmarkStart w:id="167" w:name="_Toc384351307"/>
      <w:r w:rsidRPr="00090A6C">
        <w:rPr>
          <w:rFonts w:ascii="仿宋" w:hAnsi="仿宋" w:cs="Times New Roman" w:hint="eastAsia"/>
          <w:b w:val="0"/>
          <w:bCs w:val="0"/>
          <w:kern w:val="0"/>
          <w:szCs w:val="28"/>
        </w:rPr>
        <w:t>（十）</w:t>
      </w:r>
      <w:bookmarkEnd w:id="166"/>
      <w:bookmarkEnd w:id="167"/>
      <w:r w:rsidR="0001038B">
        <w:rPr>
          <w:rFonts w:ascii="仿宋" w:hAnsi="仿宋" w:cs="Times New Roman" w:hint="eastAsia"/>
          <w:b w:val="0"/>
          <w:bCs w:val="0"/>
          <w:kern w:val="0"/>
          <w:szCs w:val="28"/>
        </w:rPr>
        <w:t>城市更新</w:t>
      </w:r>
      <w:r w:rsidRPr="00090A6C">
        <w:rPr>
          <w:rFonts w:ascii="仿宋" w:hAnsi="仿宋" w:cs="Times New Roman" w:hint="eastAsia"/>
          <w:b w:val="0"/>
          <w:bCs w:val="0"/>
          <w:kern w:val="0"/>
          <w:szCs w:val="28"/>
        </w:rPr>
        <w:t>应当建设和完善绿色慢行交通系统，完善城市内部生活性道路网络，构建连续、通畅、安全的步行与自行车道网络。</w:t>
      </w:r>
    </w:p>
    <w:p w:rsidR="00A62746" w:rsidRPr="00090A6C" w:rsidRDefault="00CA1744" w:rsidP="00090A6C">
      <w:pPr>
        <w:pStyle w:val="ac"/>
        <w:spacing w:line="560" w:lineRule="exact"/>
        <w:ind w:firstLine="640"/>
        <w:jc w:val="left"/>
        <w:rPr>
          <w:rFonts w:ascii="仿宋" w:hAnsi="仿宋" w:cs="Times New Roman"/>
          <w:b w:val="0"/>
          <w:bCs w:val="0"/>
          <w:kern w:val="0"/>
          <w:szCs w:val="28"/>
        </w:rPr>
      </w:pPr>
      <w:bookmarkStart w:id="168" w:name="_Toc1334081003"/>
      <w:r w:rsidRPr="00090A6C">
        <w:rPr>
          <w:rFonts w:ascii="仿宋" w:hAnsi="仿宋" w:cs="Times New Roman" w:hint="eastAsia"/>
          <w:b w:val="0"/>
          <w:bCs w:val="0"/>
          <w:kern w:val="0"/>
          <w:szCs w:val="28"/>
        </w:rPr>
        <w:t>（十一）</w:t>
      </w:r>
      <w:bookmarkEnd w:id="168"/>
      <w:r w:rsidRPr="00090A6C">
        <w:rPr>
          <w:rFonts w:ascii="仿宋" w:hAnsi="仿宋" w:cs="Times New Roman" w:hint="eastAsia"/>
          <w:b w:val="0"/>
          <w:bCs w:val="0"/>
          <w:kern w:val="0"/>
          <w:szCs w:val="28"/>
        </w:rPr>
        <w:t>城市更新实施主体与物业权利人应当</w:t>
      </w:r>
      <w:r w:rsidR="005F493E">
        <w:rPr>
          <w:rFonts w:ascii="仿宋" w:hAnsi="仿宋" w:cs="Times New Roman" w:hint="eastAsia"/>
          <w:b w:val="0"/>
          <w:bCs w:val="0"/>
          <w:kern w:val="0"/>
          <w:szCs w:val="28"/>
        </w:rPr>
        <w:t>按照约定</w:t>
      </w:r>
      <w:r w:rsidRPr="00090A6C">
        <w:rPr>
          <w:rFonts w:ascii="仿宋" w:hAnsi="仿宋" w:cs="Times New Roman" w:hint="eastAsia"/>
          <w:b w:val="0"/>
          <w:bCs w:val="0"/>
          <w:kern w:val="0"/>
          <w:szCs w:val="28"/>
        </w:rPr>
        <w:t>合理共担改造成本，共享改造收益。</w:t>
      </w:r>
    </w:p>
    <w:p w:rsidR="00A62746" w:rsidRPr="0001038B" w:rsidRDefault="00CA1744" w:rsidP="0001038B">
      <w:pPr>
        <w:pStyle w:val="a0"/>
        <w:ind w:firstLine="640"/>
        <w:jc w:val="center"/>
        <w:rPr>
          <w:rFonts w:ascii="仿宋" w:hAnsi="仿宋" w:cs="Arial"/>
          <w:bCs/>
          <w:iCs/>
          <w:color w:val="000000"/>
          <w:szCs w:val="32"/>
        </w:rPr>
      </w:pPr>
      <w:bookmarkStart w:id="169" w:name="_Toc81484722"/>
      <w:bookmarkStart w:id="170" w:name="_Toc123277186"/>
      <w:bookmarkStart w:id="171" w:name="_Toc97901685"/>
      <w:bookmarkStart w:id="172" w:name="_Toc20325959"/>
      <w:bookmarkStart w:id="173" w:name="_Toc13030"/>
      <w:bookmarkStart w:id="174" w:name="_Toc81486321"/>
      <w:bookmarkStart w:id="175" w:name="_Toc81486445"/>
      <w:bookmarkStart w:id="176" w:name="_Toc944809893"/>
      <w:bookmarkStart w:id="177" w:name="_Toc138127570"/>
      <w:bookmarkStart w:id="178" w:name="_Toc484653792"/>
      <w:bookmarkEnd w:id="134"/>
      <w:bookmarkEnd w:id="135"/>
      <w:bookmarkEnd w:id="136"/>
      <w:bookmarkEnd w:id="137"/>
      <w:bookmarkEnd w:id="138"/>
      <w:r w:rsidRPr="0001038B">
        <w:rPr>
          <w:rFonts w:ascii="仿宋" w:hAnsi="仿宋" w:cs="Arial" w:hint="eastAsia"/>
          <w:bCs/>
          <w:iCs/>
          <w:color w:val="000000"/>
          <w:szCs w:val="32"/>
        </w:rPr>
        <w:t xml:space="preserve">第三章 </w:t>
      </w:r>
      <w:r w:rsidRPr="0001038B">
        <w:rPr>
          <w:rFonts w:ascii="仿宋" w:hAnsi="仿宋" w:cs="Arial"/>
          <w:bCs/>
          <w:iCs/>
          <w:color w:val="000000"/>
          <w:szCs w:val="32"/>
        </w:rPr>
        <w:t>城市更新</w:t>
      </w:r>
      <w:bookmarkEnd w:id="169"/>
      <w:bookmarkEnd w:id="170"/>
      <w:bookmarkEnd w:id="171"/>
      <w:bookmarkEnd w:id="172"/>
      <w:bookmarkEnd w:id="173"/>
      <w:bookmarkEnd w:id="174"/>
      <w:bookmarkEnd w:id="175"/>
      <w:r w:rsidRPr="0001038B">
        <w:rPr>
          <w:rFonts w:ascii="仿宋" w:hAnsi="仿宋" w:cs="Arial" w:hint="eastAsia"/>
          <w:bCs/>
          <w:iCs/>
          <w:color w:val="000000"/>
          <w:szCs w:val="32"/>
        </w:rPr>
        <w:t>规划和土地保障</w:t>
      </w:r>
      <w:bookmarkEnd w:id="176"/>
    </w:p>
    <w:p w:rsidR="00A62746" w:rsidRDefault="008F1840">
      <w:pPr>
        <w:spacing w:line="560" w:lineRule="exact"/>
        <w:ind w:firstLine="640"/>
        <w:rPr>
          <w:szCs w:val="32"/>
        </w:rPr>
      </w:pPr>
      <w:bookmarkStart w:id="179" w:name="_Toc103970120"/>
      <w:bookmarkStart w:id="180" w:name="_Toc103970464"/>
      <w:bookmarkStart w:id="181" w:name="_Toc103970104"/>
      <w:bookmarkStart w:id="182" w:name="_Toc103970111"/>
      <w:bookmarkStart w:id="183" w:name="_Toc103970121"/>
      <w:bookmarkStart w:id="184" w:name="_Toc103970466"/>
      <w:bookmarkStart w:id="185" w:name="_Toc103970448"/>
      <w:bookmarkStart w:id="186" w:name="_Toc103970455"/>
      <w:bookmarkStart w:id="187" w:name="_Toc103970122"/>
      <w:bookmarkStart w:id="188" w:name="_Toc103970107"/>
      <w:bookmarkStart w:id="189" w:name="_Toc103970130"/>
      <w:bookmarkStart w:id="190" w:name="_Toc103970119"/>
      <w:bookmarkStart w:id="191" w:name="_Toc103970451"/>
      <w:bookmarkStart w:id="192" w:name="_Toc103970459"/>
      <w:bookmarkStart w:id="193" w:name="_Toc103970443"/>
      <w:bookmarkStart w:id="194" w:name="_Toc103970462"/>
      <w:bookmarkStart w:id="195" w:name="_Toc103970105"/>
      <w:bookmarkStart w:id="196" w:name="_Toc103970444"/>
      <w:bookmarkStart w:id="197" w:name="_Toc103970454"/>
      <w:bookmarkStart w:id="198" w:name="_Toc103970450"/>
      <w:bookmarkStart w:id="199" w:name="_Toc103970465"/>
      <w:bookmarkStart w:id="200" w:name="_Toc103970456"/>
      <w:bookmarkStart w:id="201" w:name="_Toc103970439"/>
      <w:bookmarkStart w:id="202" w:name="_Toc103970440"/>
      <w:bookmarkStart w:id="203" w:name="_Toc103970128"/>
      <w:bookmarkStart w:id="204" w:name="_Toc103970449"/>
      <w:bookmarkStart w:id="205" w:name="_Toc103970132"/>
      <w:bookmarkStart w:id="206" w:name="_Toc103970115"/>
      <w:bookmarkStart w:id="207" w:name="_Toc103970114"/>
      <w:bookmarkStart w:id="208" w:name="_Toc103970129"/>
      <w:bookmarkStart w:id="209" w:name="_Toc103970108"/>
      <w:bookmarkStart w:id="210" w:name="_Toc103970106"/>
      <w:bookmarkStart w:id="211" w:name="_Toc103970452"/>
      <w:bookmarkStart w:id="212" w:name="_Toc103970118"/>
      <w:bookmarkStart w:id="213" w:name="_Toc103970446"/>
      <w:bookmarkStart w:id="214" w:name="_Toc103970457"/>
      <w:bookmarkStart w:id="215" w:name="_Toc103970461"/>
      <w:bookmarkStart w:id="216" w:name="_Toc103970124"/>
      <w:bookmarkStart w:id="217" w:name="_Toc103970438"/>
      <w:bookmarkStart w:id="218" w:name="_Toc103970116"/>
      <w:bookmarkStart w:id="219" w:name="_Toc103970447"/>
      <w:bookmarkStart w:id="220" w:name="_Toc103970463"/>
      <w:bookmarkStart w:id="221" w:name="_Toc103970460"/>
      <w:bookmarkStart w:id="222" w:name="_Toc103970445"/>
      <w:bookmarkStart w:id="223" w:name="_Toc103970125"/>
      <w:bookmarkStart w:id="224" w:name="_Toc103970453"/>
      <w:bookmarkStart w:id="225" w:name="_Toc103970458"/>
      <w:bookmarkStart w:id="226" w:name="_Toc103970110"/>
      <w:bookmarkStart w:id="227" w:name="_Toc103970131"/>
      <w:bookmarkStart w:id="228" w:name="_Toc103970112"/>
      <w:bookmarkStart w:id="229" w:name="_Toc103970442"/>
      <w:bookmarkStart w:id="230" w:name="_Toc103970117"/>
      <w:bookmarkStart w:id="231" w:name="_Toc103970441"/>
      <w:bookmarkStart w:id="232" w:name="_Toc103970123"/>
      <w:bookmarkStart w:id="233" w:name="_Toc103970113"/>
      <w:bookmarkStart w:id="234" w:name="_Toc103970109"/>
      <w:bookmarkStart w:id="235" w:name="_Toc103970127"/>
      <w:bookmarkStart w:id="236" w:name="_Toc103970126"/>
      <w:bookmarkStart w:id="237" w:name="_Toc1823495446"/>
      <w:bookmarkStart w:id="238" w:name="_Toc13603"/>
      <w:bookmarkStart w:id="239" w:name="_Toc97901701"/>
      <w:bookmarkStart w:id="240" w:name="_Toc1357975533"/>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r>
        <w:rPr>
          <w:rFonts w:hint="eastAsia"/>
          <w:szCs w:val="32"/>
        </w:rPr>
        <w:t xml:space="preserve">第十七条　</w:t>
      </w:r>
      <w:r w:rsidR="00CA1744">
        <w:rPr>
          <w:rFonts w:hint="eastAsia"/>
          <w:szCs w:val="32"/>
        </w:rPr>
        <w:t>在城市更新改造中，为满足安全、环保、无障碍标准而增设必要的消防楼梯、连廊、风道、无障碍</w:t>
      </w:r>
      <w:r w:rsidR="00CA1744">
        <w:rPr>
          <w:rFonts w:hint="eastAsia"/>
          <w:szCs w:val="32"/>
        </w:rPr>
        <w:lastRenderedPageBreak/>
        <w:t>设施、电梯、外墙保温、室外开敞性公共空间等附属设施，增加的建筑规模可不计入总建筑规模。</w:t>
      </w:r>
    </w:p>
    <w:p w:rsidR="00A62746" w:rsidRDefault="00CA1744">
      <w:pPr>
        <w:spacing w:line="560" w:lineRule="exact"/>
        <w:ind w:firstLine="640"/>
        <w:rPr>
          <w:szCs w:val="32"/>
        </w:rPr>
      </w:pPr>
      <w:r>
        <w:rPr>
          <w:rFonts w:hint="eastAsia"/>
          <w:szCs w:val="32"/>
        </w:rPr>
        <w:t>为保障居民基本生活、补齐城市短板的更新项目，</w:t>
      </w:r>
      <w:r w:rsidR="008F1840">
        <w:rPr>
          <w:rFonts w:hint="eastAsia"/>
          <w:szCs w:val="32"/>
        </w:rPr>
        <w:t>包括</w:t>
      </w:r>
      <w:r>
        <w:rPr>
          <w:rFonts w:hint="eastAsia"/>
          <w:szCs w:val="32"/>
        </w:rPr>
        <w:t>公共服务设施、市政基础设施、公共安全设施、危旧楼房成套化改造，</w:t>
      </w:r>
      <w:bookmarkStart w:id="241" w:name="_Hlk104475855"/>
      <w:bookmarkStart w:id="242" w:name="_Hlk104476009"/>
      <w:r>
        <w:rPr>
          <w:rFonts w:hint="eastAsia"/>
          <w:szCs w:val="32"/>
        </w:rPr>
        <w:t>其增加的规模</w:t>
      </w:r>
      <w:bookmarkEnd w:id="241"/>
      <w:r>
        <w:rPr>
          <w:rFonts w:hint="eastAsia"/>
          <w:szCs w:val="32"/>
        </w:rPr>
        <w:t>由各区单独备案统计，</w:t>
      </w:r>
      <w:bookmarkEnd w:id="242"/>
      <w:r>
        <w:rPr>
          <w:rFonts w:hint="eastAsia"/>
          <w:szCs w:val="32"/>
        </w:rPr>
        <w:t>通过市区统筹，实现动态平衡。</w:t>
      </w:r>
    </w:p>
    <w:bookmarkEnd w:id="237"/>
    <w:p w:rsidR="00A62746" w:rsidRDefault="00075030">
      <w:pPr>
        <w:spacing w:line="560" w:lineRule="exact"/>
        <w:ind w:firstLine="640"/>
        <w:rPr>
          <w:szCs w:val="32"/>
        </w:rPr>
      </w:pPr>
      <w:r>
        <w:rPr>
          <w:rFonts w:hint="eastAsia"/>
          <w:szCs w:val="32"/>
        </w:rPr>
        <w:t xml:space="preserve">第十八条　</w:t>
      </w:r>
      <w:r w:rsidR="00CA1744">
        <w:rPr>
          <w:rFonts w:hint="eastAsia"/>
          <w:szCs w:val="32"/>
        </w:rPr>
        <w:t>为完善城市功能和补齐城市短板，允许存量建筑用途转换。建筑用途转换经批准后，土地用途可兼容或变更。市规划自然资源</w:t>
      </w:r>
      <w:r>
        <w:rPr>
          <w:rFonts w:hint="eastAsia"/>
          <w:szCs w:val="32"/>
        </w:rPr>
        <w:t>管理</w:t>
      </w:r>
      <w:r w:rsidR="00CA1744">
        <w:rPr>
          <w:rFonts w:hint="eastAsia"/>
          <w:szCs w:val="32"/>
        </w:rPr>
        <w:t>部门应</w:t>
      </w:r>
      <w:r>
        <w:rPr>
          <w:rFonts w:hint="eastAsia"/>
          <w:szCs w:val="32"/>
        </w:rPr>
        <w:t>当</w:t>
      </w:r>
      <w:r w:rsidR="00CA1744">
        <w:rPr>
          <w:rFonts w:hint="eastAsia"/>
          <w:szCs w:val="32"/>
        </w:rPr>
        <w:t>制定具体规则，明确用途转换和兼容使用的正负面清单、比例管控等政策要求和技术标准。</w:t>
      </w:r>
    </w:p>
    <w:p w:rsidR="00A62746" w:rsidRDefault="00CA1744">
      <w:pPr>
        <w:spacing w:line="560" w:lineRule="exact"/>
        <w:ind w:firstLine="640"/>
        <w:rPr>
          <w:szCs w:val="32"/>
        </w:rPr>
      </w:pPr>
      <w:r>
        <w:rPr>
          <w:rFonts w:hint="eastAsia"/>
          <w:szCs w:val="32"/>
        </w:rPr>
        <w:t>鼓励各类存量建筑转换为公共服务设施、城乡基础设施、公共安全设施；允许公共管理和公共服务类建筑用途相互转换；允许商业服务业类建筑用途相互转换；允许工业及仓储类建筑在符合</w:t>
      </w:r>
      <w:r w:rsidR="009A34AA" w:rsidRPr="009A34AA">
        <w:rPr>
          <w:rFonts w:hint="eastAsia"/>
          <w:szCs w:val="32"/>
        </w:rPr>
        <w:t>控制性详细规划</w:t>
      </w:r>
      <w:r>
        <w:rPr>
          <w:rFonts w:hint="eastAsia"/>
          <w:szCs w:val="32"/>
        </w:rPr>
        <w:t>和工业用地管</w:t>
      </w:r>
      <w:proofErr w:type="gramStart"/>
      <w:r>
        <w:rPr>
          <w:rFonts w:hint="eastAsia"/>
          <w:szCs w:val="32"/>
        </w:rPr>
        <w:t>控要求</w:t>
      </w:r>
      <w:proofErr w:type="gramEnd"/>
      <w:r>
        <w:rPr>
          <w:rFonts w:hint="eastAsia"/>
          <w:szCs w:val="32"/>
        </w:rPr>
        <w:t>的前提下，转换为其他用途。</w:t>
      </w:r>
    </w:p>
    <w:p w:rsidR="00A62746" w:rsidRDefault="00CA1744">
      <w:pPr>
        <w:spacing w:line="560" w:lineRule="exact"/>
        <w:ind w:firstLine="640"/>
        <w:rPr>
          <w:szCs w:val="32"/>
        </w:rPr>
      </w:pPr>
      <w:r>
        <w:rPr>
          <w:rFonts w:hint="eastAsia"/>
          <w:szCs w:val="32"/>
        </w:rPr>
        <w:t>建筑用途转换符合正面清单和比例管</w:t>
      </w:r>
      <w:proofErr w:type="gramStart"/>
      <w:r>
        <w:rPr>
          <w:rFonts w:hint="eastAsia"/>
          <w:szCs w:val="32"/>
        </w:rPr>
        <w:t>控要求</w:t>
      </w:r>
      <w:proofErr w:type="gramEnd"/>
      <w:r>
        <w:rPr>
          <w:rFonts w:hint="eastAsia"/>
          <w:szCs w:val="32"/>
        </w:rPr>
        <w:t>的，允许土地用途兼容，按照不改变规划用地性质和土地用途管理。超过比例管</w:t>
      </w:r>
      <w:proofErr w:type="gramStart"/>
      <w:r>
        <w:rPr>
          <w:rFonts w:hint="eastAsia"/>
          <w:szCs w:val="32"/>
        </w:rPr>
        <w:t>控要求</w:t>
      </w:r>
      <w:proofErr w:type="gramEnd"/>
      <w:r>
        <w:rPr>
          <w:rFonts w:hint="eastAsia"/>
          <w:szCs w:val="32"/>
        </w:rPr>
        <w:t>的，应当变更土地用途，按照转换后的主用途管理。变更土地用途的，按照主用途确定建设用地使用权配置方式、使用年期，结合兼容用途及比例确定综合地价。主用途可按照不同建筑用途的建筑规模比例或功能重要性确定。</w:t>
      </w:r>
    </w:p>
    <w:p w:rsidR="00A62746" w:rsidRDefault="00075030">
      <w:pPr>
        <w:spacing w:line="560" w:lineRule="exact"/>
        <w:ind w:firstLine="640"/>
        <w:rPr>
          <w:szCs w:val="32"/>
        </w:rPr>
      </w:pPr>
      <w:r>
        <w:rPr>
          <w:rFonts w:hint="eastAsia"/>
          <w:szCs w:val="32"/>
        </w:rPr>
        <w:lastRenderedPageBreak/>
        <w:t>住房</w:t>
      </w:r>
      <w:r w:rsidR="00CA1744">
        <w:rPr>
          <w:rFonts w:hint="eastAsia"/>
          <w:szCs w:val="32"/>
        </w:rPr>
        <w:t>城乡建设、市场监管、税务、卫生</w:t>
      </w:r>
      <w:r>
        <w:rPr>
          <w:rFonts w:hint="eastAsia"/>
          <w:szCs w:val="32"/>
        </w:rPr>
        <w:t>健康</w:t>
      </w:r>
      <w:r w:rsidR="00CA1744">
        <w:rPr>
          <w:rFonts w:hint="eastAsia"/>
          <w:szCs w:val="32"/>
        </w:rPr>
        <w:t>、环保、消防等部门应当按照工作职责为建筑用途转换和土地用途兼容使用提供政策和技术支撑，办理建设、使用、运营等相关手续，加强行业管理和安全监管。</w:t>
      </w:r>
    </w:p>
    <w:p w:rsidR="00A62746" w:rsidRDefault="00075030">
      <w:pPr>
        <w:spacing w:line="560" w:lineRule="exact"/>
        <w:ind w:firstLine="640"/>
        <w:rPr>
          <w:szCs w:val="32"/>
        </w:rPr>
      </w:pPr>
      <w:r>
        <w:rPr>
          <w:rFonts w:hint="eastAsia"/>
          <w:szCs w:val="32"/>
        </w:rPr>
        <w:t xml:space="preserve">第十九条　</w:t>
      </w:r>
      <w:r w:rsidR="00CA1744">
        <w:rPr>
          <w:rFonts w:hint="eastAsia"/>
          <w:szCs w:val="32"/>
        </w:rPr>
        <w:t>建设用地使用权依法采取租赁、出让、先租后让、作价出资（入股）等有偿方式或划拨方式配置。</w:t>
      </w:r>
    </w:p>
    <w:p w:rsidR="00A62746" w:rsidRDefault="00CA1744">
      <w:pPr>
        <w:spacing w:line="560" w:lineRule="exact"/>
        <w:ind w:firstLine="640"/>
        <w:rPr>
          <w:szCs w:val="32"/>
        </w:rPr>
      </w:pPr>
      <w:r>
        <w:rPr>
          <w:rFonts w:hint="eastAsia"/>
          <w:szCs w:val="32"/>
        </w:rPr>
        <w:t>采取有偿方式配置建设用地使用权的，可以协议方式办理用地手续。</w:t>
      </w:r>
    </w:p>
    <w:p w:rsidR="00A62746" w:rsidRDefault="00CA1744">
      <w:pPr>
        <w:spacing w:line="560" w:lineRule="exact"/>
        <w:ind w:firstLine="640"/>
        <w:rPr>
          <w:szCs w:val="32"/>
        </w:rPr>
      </w:pPr>
      <w:r>
        <w:rPr>
          <w:rFonts w:hint="eastAsia"/>
          <w:szCs w:val="32"/>
        </w:rPr>
        <w:t>根据实施规划需要，或者涉及土地分割处置的，依法由政府收储后，采取公开招标、拍卖、挂牌等方式重新配置建设用地使用权。本市鼓励采取租赁方式配置建设用地使用权。租赁建设用地使用权可依法登记，租赁期满后可以续租。在租赁期内，承租人按规定支付土地租金并完成更新改造后，符合条件的，租赁建设用地使用权可依法转为出让建设用地使用权。</w:t>
      </w:r>
    </w:p>
    <w:p w:rsidR="00A62746" w:rsidRDefault="00CA1744">
      <w:pPr>
        <w:spacing w:line="560" w:lineRule="exact"/>
        <w:ind w:firstLine="640"/>
        <w:rPr>
          <w:szCs w:val="32"/>
        </w:rPr>
      </w:pPr>
      <w:r>
        <w:rPr>
          <w:rFonts w:hint="eastAsia"/>
          <w:szCs w:val="32"/>
        </w:rPr>
        <w:t>建设用地使用权租赁、先租后让、作价出资（入股）的具体办法由市人民政府另行制定。</w:t>
      </w:r>
    </w:p>
    <w:p w:rsidR="00A62746" w:rsidRDefault="00896280">
      <w:pPr>
        <w:spacing w:line="560" w:lineRule="exact"/>
        <w:ind w:firstLine="640"/>
        <w:rPr>
          <w:szCs w:val="32"/>
        </w:rPr>
      </w:pPr>
      <w:r>
        <w:rPr>
          <w:rFonts w:hint="eastAsia"/>
          <w:szCs w:val="32"/>
        </w:rPr>
        <w:t xml:space="preserve">第二十条　</w:t>
      </w:r>
      <w:r w:rsidR="00CA1744">
        <w:rPr>
          <w:rFonts w:hint="eastAsia"/>
          <w:szCs w:val="32"/>
        </w:rPr>
        <w:t>在不改变用地主体的条件下，城市更新项目符合更新规划以及国家和本市支持的产业</w:t>
      </w:r>
      <w:proofErr w:type="gramStart"/>
      <w:r w:rsidR="00CA1744">
        <w:rPr>
          <w:rFonts w:hint="eastAsia"/>
          <w:szCs w:val="32"/>
        </w:rPr>
        <w:t>业</w:t>
      </w:r>
      <w:proofErr w:type="gramEnd"/>
      <w:r w:rsidR="00CA1744">
        <w:rPr>
          <w:rFonts w:hint="eastAsia"/>
          <w:szCs w:val="32"/>
        </w:rPr>
        <w:t>态，在</w:t>
      </w:r>
      <w:r w:rsidR="00CA1744">
        <w:rPr>
          <w:rFonts w:hint="eastAsia"/>
          <w:szCs w:val="32"/>
        </w:rPr>
        <w:t>5</w:t>
      </w:r>
      <w:r w:rsidR="00CA1744">
        <w:rPr>
          <w:rFonts w:hint="eastAsia"/>
          <w:szCs w:val="32"/>
        </w:rPr>
        <w:t>年内实行按原用途、原权利类型使用土地的过渡期政策。</w:t>
      </w:r>
    </w:p>
    <w:p w:rsidR="00A62746" w:rsidRDefault="00CA1744">
      <w:pPr>
        <w:spacing w:line="560" w:lineRule="exact"/>
        <w:ind w:firstLine="640"/>
        <w:rPr>
          <w:szCs w:val="32"/>
        </w:rPr>
      </w:pPr>
      <w:r>
        <w:rPr>
          <w:rFonts w:hint="eastAsia"/>
          <w:szCs w:val="32"/>
        </w:rPr>
        <w:t>过渡期内，可按新用途办理规划许可和施工许可手续，不补缴土地价款，不办理不动产登记；过渡期满或转让时，经属地政府评估，符合更新规划和产业发展方向，</w:t>
      </w:r>
      <w:r>
        <w:rPr>
          <w:rFonts w:hint="eastAsia"/>
          <w:szCs w:val="32"/>
        </w:rPr>
        <w:lastRenderedPageBreak/>
        <w:t>已实现实施方案既定的使用功能和预期效果的，可按新用途以协议方式办理用地手续。建设用地使用权配置方式、土地使用年期、土地价款评估标准等按照经批准的实施方案和规划许可手续等确定。</w:t>
      </w:r>
    </w:p>
    <w:p w:rsidR="00A62746" w:rsidRDefault="00CA1744">
      <w:pPr>
        <w:spacing w:line="560" w:lineRule="exact"/>
        <w:ind w:firstLine="640"/>
      </w:pPr>
      <w:r>
        <w:rPr>
          <w:rFonts w:hint="eastAsia"/>
          <w:szCs w:val="32"/>
        </w:rPr>
        <w:t>过渡期起始日为核发建筑工程施工许可证的日期；不需要办理建筑工程施工许可证的，起始日为核发建设工程规划许可证的日期。</w:t>
      </w:r>
    </w:p>
    <w:p w:rsidR="00A62746" w:rsidRDefault="00896280">
      <w:pPr>
        <w:spacing w:line="560" w:lineRule="exact"/>
        <w:ind w:firstLine="640"/>
        <w:rPr>
          <w:szCs w:val="32"/>
        </w:rPr>
      </w:pPr>
      <w:r>
        <w:rPr>
          <w:rFonts w:hint="eastAsia"/>
          <w:szCs w:val="32"/>
        </w:rPr>
        <w:t xml:space="preserve">第二十一条　</w:t>
      </w:r>
      <w:r w:rsidR="00CA1744">
        <w:rPr>
          <w:rFonts w:hint="eastAsia"/>
          <w:szCs w:val="32"/>
        </w:rPr>
        <w:t>鼓励以弹性年</w:t>
      </w:r>
      <w:proofErr w:type="gramStart"/>
      <w:r w:rsidR="00CA1744">
        <w:rPr>
          <w:rFonts w:hint="eastAsia"/>
          <w:szCs w:val="32"/>
        </w:rPr>
        <w:t>期方式</w:t>
      </w:r>
      <w:proofErr w:type="gramEnd"/>
      <w:r w:rsidR="00CA1744">
        <w:rPr>
          <w:rFonts w:hint="eastAsia"/>
          <w:szCs w:val="32"/>
        </w:rPr>
        <w:t>配置建设用地使用权。采取租赁方式配置的，土地使用年期最长不得超过</w:t>
      </w:r>
      <w:r w:rsidR="00CA1744">
        <w:rPr>
          <w:rFonts w:hint="eastAsia"/>
          <w:szCs w:val="32"/>
        </w:rPr>
        <w:t>20</w:t>
      </w:r>
      <w:r w:rsidR="00CA1744">
        <w:rPr>
          <w:rFonts w:hint="eastAsia"/>
          <w:szCs w:val="32"/>
        </w:rPr>
        <w:t>年；采取先租后让方式配置的，</w:t>
      </w:r>
      <w:proofErr w:type="gramStart"/>
      <w:r w:rsidR="00CA1744">
        <w:rPr>
          <w:rFonts w:hint="eastAsia"/>
          <w:szCs w:val="32"/>
        </w:rPr>
        <w:t>租让年</w:t>
      </w:r>
      <w:proofErr w:type="gramEnd"/>
      <w:r w:rsidR="00CA1744">
        <w:rPr>
          <w:rFonts w:hint="eastAsia"/>
          <w:szCs w:val="32"/>
        </w:rPr>
        <w:t>期之和不得超过该用途土地出让法定最高年限。建设用地使用权可提前续期，但剩余年期与续期之和不得超过该用途土地出让法定最高年限。</w:t>
      </w:r>
    </w:p>
    <w:p w:rsidR="00A62746" w:rsidRDefault="00CA1744">
      <w:pPr>
        <w:spacing w:line="560" w:lineRule="exact"/>
        <w:ind w:firstLine="640"/>
        <w:rPr>
          <w:szCs w:val="32"/>
        </w:rPr>
      </w:pPr>
      <w:r>
        <w:rPr>
          <w:rFonts w:hint="eastAsia"/>
          <w:szCs w:val="32"/>
        </w:rPr>
        <w:t>涉及缴纳或补缴土地价款的，应当考虑土地取得成本、无偿提供公共服务设施、市政基础设施、公共空间以及提供保障性租赁住房等因素，综合确定土地价款。</w:t>
      </w:r>
    </w:p>
    <w:p w:rsidR="00A62746" w:rsidRDefault="00CA1744">
      <w:pPr>
        <w:spacing w:line="560" w:lineRule="exact"/>
        <w:ind w:firstLine="640"/>
        <w:rPr>
          <w:szCs w:val="32"/>
        </w:rPr>
      </w:pPr>
      <w:r>
        <w:rPr>
          <w:rFonts w:hint="eastAsia"/>
          <w:szCs w:val="32"/>
        </w:rPr>
        <w:t>采取租赁方式使用土地的，土地租金按年支付或者一次性缴纳，租金标准根据前款及地价评估规定确定。土地租金按年支付的，年租金应当按照市场租金水平定期评估后调整，时间间隔不得超过</w:t>
      </w:r>
      <w:r>
        <w:rPr>
          <w:rFonts w:hint="eastAsia"/>
          <w:szCs w:val="32"/>
        </w:rPr>
        <w:t>5</w:t>
      </w:r>
      <w:r>
        <w:rPr>
          <w:rFonts w:hint="eastAsia"/>
          <w:szCs w:val="32"/>
        </w:rPr>
        <w:t>年。</w:t>
      </w:r>
    </w:p>
    <w:p w:rsidR="00A62746" w:rsidRDefault="00021D77">
      <w:pPr>
        <w:spacing w:line="560" w:lineRule="exact"/>
        <w:ind w:firstLine="640"/>
        <w:rPr>
          <w:szCs w:val="32"/>
        </w:rPr>
      </w:pPr>
      <w:r>
        <w:rPr>
          <w:rFonts w:hint="eastAsia"/>
          <w:szCs w:val="32"/>
        </w:rPr>
        <w:t xml:space="preserve">第二十二条　</w:t>
      </w:r>
      <w:r w:rsidR="00CA1744">
        <w:rPr>
          <w:rFonts w:hint="eastAsia"/>
          <w:szCs w:val="32"/>
        </w:rPr>
        <w:t>城市更新范围内未办理不动产登记的，但已取得土地、规划审批手续的建筑物，在属地不动产登记机构完成地籍调查后，可纳入实施方案办理相关手续。</w:t>
      </w:r>
    </w:p>
    <w:p w:rsidR="00A62746" w:rsidRDefault="00CA1744">
      <w:pPr>
        <w:spacing w:line="560" w:lineRule="exact"/>
        <w:ind w:firstLine="640"/>
        <w:rPr>
          <w:szCs w:val="32"/>
        </w:rPr>
      </w:pPr>
      <w:r>
        <w:rPr>
          <w:rFonts w:hint="eastAsia"/>
          <w:szCs w:val="32"/>
        </w:rPr>
        <w:lastRenderedPageBreak/>
        <w:t>对于审批手续不全、无任何手续、现状与原审批情况不一致等情形，区政府应当组织有关部门进行调查、认定，涉及违反法律法规规章规定的，依照相关规定进行处理。能够按照现状保留完善相关手续的建筑物，可纳入实施方案办理相关手续。</w:t>
      </w:r>
    </w:p>
    <w:p w:rsidR="00A62746" w:rsidRDefault="00855826">
      <w:pPr>
        <w:pStyle w:val="a0"/>
        <w:ind w:firstLine="640"/>
      </w:pPr>
      <w:r>
        <w:rPr>
          <w:rFonts w:hint="eastAsia"/>
        </w:rPr>
        <w:t xml:space="preserve">第二十三条　</w:t>
      </w:r>
      <w:r w:rsidR="00CA1744">
        <w:rPr>
          <w:rFonts w:hint="eastAsia"/>
        </w:rPr>
        <w:t>鼓励合理利用地下、地上空间采取分层开发的方式建设城市公共服务设施。在符合控制性详细规划的前提下，可适当增补停车设施。</w:t>
      </w:r>
    </w:p>
    <w:p w:rsidR="00A62746" w:rsidRDefault="00CA1744">
      <w:pPr>
        <w:spacing w:after="120"/>
        <w:ind w:firstLine="640"/>
      </w:pPr>
      <w:r>
        <w:rPr>
          <w:rFonts w:hint="eastAsia"/>
        </w:rPr>
        <w:t>未申请或未取得规划建设指标的地上、地下空间，在办理用地、规划手续后，用于补建停车设施的，可以办理独立车位产权及配套设施产权。</w:t>
      </w:r>
    </w:p>
    <w:p w:rsidR="00A62746" w:rsidRDefault="00855826">
      <w:pPr>
        <w:ind w:firstLine="640"/>
      </w:pPr>
      <w:r>
        <w:rPr>
          <w:rFonts w:hint="eastAsia"/>
        </w:rPr>
        <w:t xml:space="preserve">第二十四条　</w:t>
      </w:r>
      <w:r w:rsidR="00CA1744">
        <w:rPr>
          <w:rFonts w:hint="eastAsia"/>
        </w:rPr>
        <w:t>支持利用腾退地下空间用于仓储、便民店、家政等便民商业服务网点及文体中心、社区活动中心、宣教基地、物业办公、养老服务等社区公共配套服务设施，利用腾退地下空间补充完善街区服务功能。</w:t>
      </w:r>
    </w:p>
    <w:p w:rsidR="00A62746" w:rsidRDefault="00855826">
      <w:pPr>
        <w:widowControl w:val="0"/>
        <w:spacing w:before="120" w:after="120" w:line="560" w:lineRule="exact"/>
        <w:ind w:firstLine="640"/>
      </w:pPr>
      <w:r>
        <w:rPr>
          <w:rFonts w:hint="eastAsia"/>
        </w:rPr>
        <w:t xml:space="preserve">第二十五条　</w:t>
      </w:r>
      <w:r w:rsidR="00CA1744">
        <w:rPr>
          <w:rFonts w:hint="eastAsia"/>
        </w:rPr>
        <w:t>城市更新项目确需迁出原物业权利人的，实施主体可以采取产权调换、提供租赁房源或货币补偿等方式，实施产权归集。</w:t>
      </w:r>
    </w:p>
    <w:p w:rsidR="00A62746" w:rsidRPr="00855826" w:rsidRDefault="00CA1744" w:rsidP="00855826">
      <w:pPr>
        <w:pStyle w:val="a0"/>
        <w:ind w:firstLine="640"/>
        <w:jc w:val="center"/>
        <w:rPr>
          <w:rFonts w:ascii="仿宋" w:hAnsi="仿宋" w:cs="Arial"/>
          <w:bCs/>
          <w:iCs/>
          <w:color w:val="000000"/>
          <w:szCs w:val="32"/>
        </w:rPr>
      </w:pPr>
      <w:bookmarkStart w:id="243" w:name="_Toc89968980"/>
      <w:bookmarkStart w:id="244" w:name="_Toc89968532"/>
      <w:bookmarkStart w:id="245" w:name="_Toc91682089"/>
      <w:bookmarkStart w:id="246" w:name="_____114"/>
      <w:bookmarkStart w:id="247" w:name="_Toc89969801"/>
      <w:bookmarkStart w:id="248" w:name="_____130"/>
      <w:bookmarkStart w:id="249" w:name="_____116"/>
      <w:bookmarkStart w:id="250" w:name="_Toc89969924"/>
      <w:bookmarkStart w:id="251" w:name="_____132"/>
      <w:bookmarkStart w:id="252" w:name="_Toc310153349"/>
      <w:bookmarkEnd w:id="238"/>
      <w:bookmarkEnd w:id="239"/>
      <w:bookmarkEnd w:id="240"/>
      <w:bookmarkEnd w:id="243"/>
      <w:bookmarkEnd w:id="244"/>
      <w:bookmarkEnd w:id="245"/>
      <w:bookmarkEnd w:id="246"/>
      <w:bookmarkEnd w:id="247"/>
      <w:bookmarkEnd w:id="248"/>
      <w:bookmarkEnd w:id="249"/>
      <w:bookmarkEnd w:id="250"/>
      <w:bookmarkEnd w:id="251"/>
      <w:r w:rsidRPr="00855826">
        <w:rPr>
          <w:rFonts w:ascii="仿宋" w:hAnsi="仿宋" w:cs="Arial" w:hint="eastAsia"/>
          <w:bCs/>
          <w:iCs/>
          <w:color w:val="000000"/>
          <w:szCs w:val="32"/>
        </w:rPr>
        <w:t xml:space="preserve">第四章 </w:t>
      </w:r>
      <w:r w:rsidRPr="00855826">
        <w:rPr>
          <w:rFonts w:ascii="仿宋" w:hAnsi="仿宋" w:cs="Arial"/>
          <w:bCs/>
          <w:iCs/>
          <w:color w:val="000000"/>
          <w:szCs w:val="32"/>
        </w:rPr>
        <w:t>城市更新</w:t>
      </w:r>
      <w:bookmarkEnd w:id="95"/>
      <w:bookmarkEnd w:id="97"/>
      <w:bookmarkEnd w:id="177"/>
      <w:bookmarkEnd w:id="178"/>
      <w:r w:rsidRPr="00855826">
        <w:rPr>
          <w:rFonts w:ascii="仿宋" w:hAnsi="仿宋" w:cs="Arial" w:hint="eastAsia"/>
          <w:bCs/>
          <w:iCs/>
          <w:color w:val="000000"/>
          <w:szCs w:val="32"/>
        </w:rPr>
        <w:t>主体</w:t>
      </w:r>
      <w:bookmarkEnd w:id="252"/>
    </w:p>
    <w:p w:rsidR="00A62746" w:rsidRDefault="00855826">
      <w:pPr>
        <w:ind w:firstLine="640"/>
      </w:pPr>
      <w:bookmarkStart w:id="253" w:name="_Toc1753931772"/>
      <w:r>
        <w:rPr>
          <w:rFonts w:hint="eastAsia"/>
        </w:rPr>
        <w:t xml:space="preserve">第二十六条　</w:t>
      </w:r>
      <w:r w:rsidR="00CA1744">
        <w:rPr>
          <w:rFonts w:hint="eastAsia"/>
        </w:rPr>
        <w:t>物业权利人是指城市更新中不动产及其附属设施的所有权人。物业权利人可以</w:t>
      </w:r>
      <w:r>
        <w:rPr>
          <w:rFonts w:hint="eastAsia"/>
        </w:rPr>
        <w:t>依法授权</w:t>
      </w:r>
      <w:r w:rsidR="00CA1744">
        <w:rPr>
          <w:rFonts w:hint="eastAsia"/>
        </w:rPr>
        <w:t>他人代为实施城市更新活动并在</w:t>
      </w:r>
      <w:r>
        <w:rPr>
          <w:rFonts w:hint="eastAsia"/>
        </w:rPr>
        <w:t>授权</w:t>
      </w:r>
      <w:r w:rsidR="00CA1744">
        <w:rPr>
          <w:rFonts w:hint="eastAsia"/>
        </w:rPr>
        <w:t xml:space="preserve">范围内承担物业权利人责任。　</w:t>
      </w:r>
    </w:p>
    <w:p w:rsidR="00A62746" w:rsidRDefault="00CA1744">
      <w:pPr>
        <w:ind w:firstLine="640"/>
      </w:pPr>
      <w:r>
        <w:rPr>
          <w:rFonts w:hint="eastAsia"/>
        </w:rPr>
        <w:lastRenderedPageBreak/>
        <w:t>公房尚未出售的，产权单位是物业权利人。公房产权单位授权的经营管理单位，可在授权范围内承担物业权利人责任。</w:t>
      </w:r>
    </w:p>
    <w:bookmarkEnd w:id="253"/>
    <w:p w:rsidR="00A62746" w:rsidRDefault="00D85E77">
      <w:pPr>
        <w:ind w:firstLine="640"/>
      </w:pPr>
      <w:r>
        <w:rPr>
          <w:rFonts w:hint="eastAsia"/>
        </w:rPr>
        <w:t xml:space="preserve">第二十七条　</w:t>
      </w:r>
      <w:r w:rsidR="00CA1744">
        <w:rPr>
          <w:rFonts w:hint="eastAsia"/>
        </w:rPr>
        <w:t>物业权利人在城市更新活动中，享有以下权利：</w:t>
      </w:r>
    </w:p>
    <w:p w:rsidR="00A62746" w:rsidRDefault="00CA1744">
      <w:pPr>
        <w:ind w:firstLine="640"/>
      </w:pPr>
      <w:r>
        <w:rPr>
          <w:rFonts w:hint="eastAsia"/>
        </w:rPr>
        <w:t>（一）对自己的不动产及其附属设施自行或委托进行更新，也可以采用联营、入股、租赁等方式进行更新；</w:t>
      </w:r>
    </w:p>
    <w:p w:rsidR="00A62746" w:rsidRDefault="00CA1744">
      <w:pPr>
        <w:ind w:firstLine="640"/>
      </w:pPr>
      <w:r>
        <w:rPr>
          <w:rFonts w:hint="eastAsia"/>
        </w:rPr>
        <w:t>（二）对更新的不动产及其附属设施，依法享有经营权和收益权；</w:t>
      </w:r>
    </w:p>
    <w:p w:rsidR="00A62746" w:rsidRDefault="00CA1744">
      <w:pPr>
        <w:pStyle w:val="a0"/>
        <w:ind w:firstLine="640"/>
      </w:pPr>
      <w:r>
        <w:rPr>
          <w:rFonts w:hint="eastAsia"/>
        </w:rPr>
        <w:t>（三）城市更新项目中涉及多个物业权利人的，享有相应的投票表决权，对共用部位、共用设施设备和相关场地使用享有收益权；</w:t>
      </w:r>
    </w:p>
    <w:p w:rsidR="00A62746" w:rsidRDefault="00CA1744">
      <w:pPr>
        <w:pStyle w:val="a0"/>
        <w:ind w:firstLine="640"/>
      </w:pPr>
      <w:r>
        <w:rPr>
          <w:rFonts w:hint="eastAsia"/>
        </w:rPr>
        <w:t>（四）对城市更新实施过程享有知情权、监督权</w:t>
      </w:r>
      <w:r w:rsidR="00D85E77">
        <w:rPr>
          <w:rFonts w:hint="eastAsia"/>
        </w:rPr>
        <w:t>和</w:t>
      </w:r>
      <w:r>
        <w:rPr>
          <w:rFonts w:hint="eastAsia"/>
        </w:rPr>
        <w:t>建议权；</w:t>
      </w:r>
      <w:r>
        <w:rPr>
          <w:rFonts w:hint="eastAsia"/>
        </w:rPr>
        <w:t xml:space="preserve"> </w:t>
      </w:r>
    </w:p>
    <w:p w:rsidR="00A62746" w:rsidRDefault="00CA1744">
      <w:pPr>
        <w:pStyle w:val="a0"/>
        <w:ind w:firstLine="640"/>
      </w:pPr>
      <w:r>
        <w:rPr>
          <w:rFonts w:hint="eastAsia"/>
        </w:rPr>
        <w:t>（五）法律法规规定的其他权利。</w:t>
      </w:r>
    </w:p>
    <w:p w:rsidR="00A62746" w:rsidRDefault="00CA1744">
      <w:pPr>
        <w:pStyle w:val="a0"/>
        <w:ind w:firstLine="640"/>
      </w:pPr>
      <w:r>
        <w:rPr>
          <w:rFonts w:hint="eastAsia"/>
        </w:rPr>
        <w:t>物业权利人行使权利不得危及物业的安全，不得损害其他物业权利人的合法权益。</w:t>
      </w:r>
    </w:p>
    <w:p w:rsidR="00A62746" w:rsidRDefault="00D85E77">
      <w:pPr>
        <w:ind w:firstLine="640"/>
      </w:pPr>
      <w:r>
        <w:rPr>
          <w:rFonts w:hint="eastAsia"/>
        </w:rPr>
        <w:t xml:space="preserve">第二十八条　</w:t>
      </w:r>
      <w:r w:rsidR="00CA1744">
        <w:rPr>
          <w:rFonts w:hint="eastAsia"/>
        </w:rPr>
        <w:t>物业权利人在城市更新活动中，应当遵守以下规定：</w:t>
      </w:r>
    </w:p>
    <w:p w:rsidR="00A62746" w:rsidRDefault="00CA1744">
      <w:pPr>
        <w:ind w:firstLine="640"/>
      </w:pPr>
      <w:r>
        <w:rPr>
          <w:rFonts w:hint="eastAsia"/>
        </w:rPr>
        <w:t>（一</w:t>
      </w:r>
      <w:r w:rsidR="00D85E77">
        <w:rPr>
          <w:rFonts w:hint="eastAsia"/>
        </w:rPr>
        <w:t>）国家及本市城市更新相关法律法规和制度要求；</w:t>
      </w:r>
    </w:p>
    <w:p w:rsidR="00A62746" w:rsidRDefault="00D85E77">
      <w:pPr>
        <w:ind w:firstLineChars="0" w:firstLine="640"/>
      </w:pPr>
      <w:r>
        <w:rPr>
          <w:rFonts w:hint="eastAsia"/>
        </w:rPr>
        <w:t>（二）执行在城市更新过程中依照法定程序</w:t>
      </w:r>
      <w:proofErr w:type="gramStart"/>
      <w:r>
        <w:rPr>
          <w:rFonts w:hint="eastAsia"/>
        </w:rPr>
        <w:t>作出</w:t>
      </w:r>
      <w:proofErr w:type="gramEnd"/>
      <w:r>
        <w:rPr>
          <w:rFonts w:hint="eastAsia"/>
        </w:rPr>
        <w:t>的共同决定或决议；</w:t>
      </w:r>
    </w:p>
    <w:p w:rsidR="00A62746" w:rsidRDefault="00CA1744">
      <w:pPr>
        <w:pStyle w:val="a0"/>
        <w:ind w:firstLine="640"/>
      </w:pPr>
      <w:r>
        <w:rPr>
          <w:rFonts w:hint="eastAsia"/>
        </w:rPr>
        <w:lastRenderedPageBreak/>
        <w:t>（三）配合</w:t>
      </w:r>
      <w:r w:rsidR="00D85E77">
        <w:rPr>
          <w:rFonts w:hint="eastAsia"/>
        </w:rPr>
        <w:t>开展</w:t>
      </w:r>
      <w:r>
        <w:rPr>
          <w:rFonts w:hint="eastAsia"/>
        </w:rPr>
        <w:t>现状调查、意愿调查，参加相关会议并提供相关资料；</w:t>
      </w:r>
    </w:p>
    <w:p w:rsidR="00A62746" w:rsidRDefault="00CA1744">
      <w:pPr>
        <w:ind w:firstLine="640"/>
      </w:pPr>
      <w:r>
        <w:rPr>
          <w:rFonts w:hint="eastAsia"/>
        </w:rPr>
        <w:t>（四）在街道办事处、乡镇人民政府的指导下，开展共同协商；</w:t>
      </w:r>
    </w:p>
    <w:p w:rsidR="00A62746" w:rsidRDefault="00CA1744">
      <w:pPr>
        <w:ind w:firstLine="640"/>
      </w:pPr>
      <w:r>
        <w:rPr>
          <w:rFonts w:hint="eastAsia"/>
        </w:rPr>
        <w:t>（五）在城市更新实施过程中，配合做好腾空房屋、允许施工人员入户作业等工作；</w:t>
      </w:r>
    </w:p>
    <w:p w:rsidR="00A62746" w:rsidRDefault="00CA1744">
      <w:pPr>
        <w:pStyle w:val="a0"/>
        <w:ind w:firstLine="640"/>
      </w:pPr>
      <w:r>
        <w:rPr>
          <w:rFonts w:hint="eastAsia"/>
        </w:rPr>
        <w:t>（六）承担城市更新相关费用</w:t>
      </w:r>
      <w:r w:rsidR="0060484C">
        <w:rPr>
          <w:rFonts w:hint="eastAsia"/>
        </w:rPr>
        <w:t>和</w:t>
      </w:r>
      <w:r>
        <w:rPr>
          <w:rFonts w:hint="eastAsia"/>
        </w:rPr>
        <w:t>相应的出资</w:t>
      </w:r>
      <w:r w:rsidR="00D85E77">
        <w:rPr>
          <w:rFonts w:hint="eastAsia"/>
        </w:rPr>
        <w:t>责任</w:t>
      </w:r>
      <w:r>
        <w:rPr>
          <w:rFonts w:hint="eastAsia"/>
        </w:rPr>
        <w:t>；</w:t>
      </w:r>
    </w:p>
    <w:p w:rsidR="00A62746" w:rsidRDefault="00CA1744">
      <w:pPr>
        <w:pStyle w:val="a0"/>
        <w:ind w:firstLine="640"/>
      </w:pPr>
      <w:r>
        <w:rPr>
          <w:rFonts w:hint="eastAsia"/>
        </w:rPr>
        <w:t>（七）法律法规</w:t>
      </w:r>
      <w:r w:rsidR="00D85E77">
        <w:rPr>
          <w:rFonts w:hint="eastAsia"/>
        </w:rPr>
        <w:t>关于城市更新的其他</w:t>
      </w:r>
      <w:r>
        <w:rPr>
          <w:rFonts w:hint="eastAsia"/>
        </w:rPr>
        <w:t>规定。</w:t>
      </w:r>
    </w:p>
    <w:p w:rsidR="00A62746" w:rsidRDefault="0060484C">
      <w:pPr>
        <w:ind w:firstLine="640"/>
      </w:pPr>
      <w:r>
        <w:rPr>
          <w:rFonts w:hint="eastAsia"/>
        </w:rPr>
        <w:t xml:space="preserve">第二十九条　</w:t>
      </w:r>
      <w:r w:rsidR="00CA1744">
        <w:rPr>
          <w:rFonts w:hint="eastAsia"/>
        </w:rPr>
        <w:t>物业权利人为机关、事业单位或国有企业的，应当根据房屋安全、节能等情况及时对持有物业进行更新；涉及持有物业及存量资源划转、移交或者授权经营的，应当按照城市更新主管部门要求，配合做好相关工作。</w:t>
      </w:r>
    </w:p>
    <w:p w:rsidR="00A62746" w:rsidRDefault="00CA1744">
      <w:pPr>
        <w:ind w:firstLine="640"/>
      </w:pPr>
      <w:r>
        <w:rPr>
          <w:rFonts w:hint="eastAsia"/>
        </w:rPr>
        <w:t>鼓励国有企业承担社会责任，投资、建设、运营城市更新项目。</w:t>
      </w:r>
      <w:r>
        <w:t xml:space="preserve"> </w:t>
      </w:r>
    </w:p>
    <w:p w:rsidR="00A62746" w:rsidRDefault="0060484C">
      <w:pPr>
        <w:pStyle w:val="a0"/>
        <w:ind w:firstLine="640"/>
      </w:pPr>
      <w:r>
        <w:rPr>
          <w:rFonts w:hint="eastAsia"/>
        </w:rPr>
        <w:t xml:space="preserve">第三十条　</w:t>
      </w:r>
      <w:r w:rsidR="00CA1744">
        <w:rPr>
          <w:rFonts w:hint="eastAsia"/>
        </w:rPr>
        <w:t>城市更新项目涉及单一物业权利人的，物业权利人可作为实施主体。</w:t>
      </w:r>
      <w:r w:rsidR="00CA1744">
        <w:rPr>
          <w:rFonts w:hint="eastAsia"/>
          <w:color w:val="000000"/>
          <w:szCs w:val="32"/>
        </w:rPr>
        <w:t>城市更新项目涉及多个物业权利人</w:t>
      </w:r>
      <w:r w:rsidR="00CA1744">
        <w:rPr>
          <w:rFonts w:hint="eastAsia"/>
        </w:rPr>
        <w:t>的，协商一致后由其共同委托的物业权利人或者其他主体担任实施主体；无法协商一致的，按照《中华人民共和国民法典》的规定，由物业权利人经表决后确定实施主体。</w:t>
      </w:r>
    </w:p>
    <w:p w:rsidR="00A62746" w:rsidRDefault="00CA1744">
      <w:pPr>
        <w:pStyle w:val="a0"/>
        <w:ind w:firstLine="640"/>
        <w:rPr>
          <w:color w:val="000000"/>
          <w:szCs w:val="32"/>
        </w:rPr>
      </w:pPr>
      <w:r>
        <w:rPr>
          <w:rFonts w:hint="eastAsia"/>
        </w:rPr>
        <w:t>城市更新项目权属关系复杂，无法依据上述规则确定实施主体的，如项目涉及公共利益、公共安全等情况，可由区</w:t>
      </w:r>
      <w:r w:rsidR="0060484C">
        <w:rPr>
          <w:rFonts w:hint="eastAsia"/>
        </w:rPr>
        <w:t>人民</w:t>
      </w:r>
      <w:r>
        <w:rPr>
          <w:rFonts w:hint="eastAsia"/>
        </w:rPr>
        <w:t>政府确定实施主体。确定实施主体应</w:t>
      </w:r>
      <w:r w:rsidR="0060484C">
        <w:rPr>
          <w:rFonts w:hint="eastAsia"/>
        </w:rPr>
        <w:t>当</w:t>
      </w:r>
      <w:r>
        <w:rPr>
          <w:rFonts w:hint="eastAsia"/>
        </w:rPr>
        <w:t>充分征询</w:t>
      </w:r>
      <w:r>
        <w:rPr>
          <w:rFonts w:hint="eastAsia"/>
        </w:rPr>
        <w:lastRenderedPageBreak/>
        <w:t>利害关系人意见，做到公开、公平、公正，</w:t>
      </w:r>
      <w:r>
        <w:rPr>
          <w:rFonts w:hint="eastAsia"/>
          <w:color w:val="000000"/>
          <w:szCs w:val="32"/>
        </w:rPr>
        <w:t>并在城市更新信息系统公示。</w:t>
      </w:r>
    </w:p>
    <w:p w:rsidR="00A62746" w:rsidRDefault="0060484C">
      <w:pPr>
        <w:ind w:firstLine="640"/>
      </w:pPr>
      <w:r>
        <w:rPr>
          <w:rFonts w:hint="eastAsia"/>
        </w:rPr>
        <w:t xml:space="preserve">第三十一条　</w:t>
      </w:r>
      <w:r w:rsidR="00CA1744">
        <w:rPr>
          <w:rFonts w:hint="eastAsia"/>
        </w:rPr>
        <w:t>区人民政府依据城市更新专项规划及街区控制性详细规划，可以将区域综合性更新项目或整合多个城市更新项目，划定城市更新实施单元，统一规划、统一实施、统一运营，统筹地上和地下更新，统筹区域更新与分项更新。</w:t>
      </w:r>
    </w:p>
    <w:p w:rsidR="00A62746" w:rsidRDefault="00CA1744">
      <w:pPr>
        <w:ind w:firstLine="640"/>
      </w:pPr>
      <w:r>
        <w:rPr>
          <w:rFonts w:hint="eastAsia"/>
          <w:bCs/>
          <w:iCs/>
          <w:szCs w:val="32"/>
        </w:rPr>
        <w:t>区人民政府应当按照公开、公平、公正的原则，确定与更新实施单元范围内城市更新活动相适应的主体作为更新实施单元统筹主体。</w:t>
      </w:r>
      <w:r>
        <w:rPr>
          <w:rFonts w:hint="eastAsia"/>
          <w:szCs w:val="32"/>
        </w:rPr>
        <w:t>更新实施单元统筹主体也可作为项目实施主体。</w:t>
      </w:r>
    </w:p>
    <w:p w:rsidR="00A62746" w:rsidRDefault="00CA1744">
      <w:pPr>
        <w:ind w:firstLine="640"/>
        <w:rPr>
          <w:szCs w:val="32"/>
        </w:rPr>
      </w:pPr>
      <w:r>
        <w:rPr>
          <w:rFonts w:hint="eastAsia"/>
          <w:szCs w:val="32"/>
        </w:rPr>
        <w:t>区人民政府可根据更新实际需要，赋予更新实施单元统筹主体推动达成区域更新意愿、整合市场资源、推动项目统筹组合、推进更新项目实施等职能。</w:t>
      </w:r>
    </w:p>
    <w:p w:rsidR="00A62746" w:rsidRDefault="0060484C">
      <w:pPr>
        <w:ind w:firstLine="640"/>
        <w:rPr>
          <w:color w:val="FF0000"/>
        </w:rPr>
      </w:pPr>
      <w:r>
        <w:rPr>
          <w:rFonts w:hint="eastAsia"/>
        </w:rPr>
        <w:t xml:space="preserve">第三十二条　</w:t>
      </w:r>
      <w:r w:rsidR="00CA1744">
        <w:rPr>
          <w:rFonts w:hint="eastAsia"/>
        </w:rPr>
        <w:t>城市更新活动中，相邻的物业权利人应当按照有利生产、方便生活、团结互助、公平合理的原则，正确处理相邻关系。</w:t>
      </w:r>
    </w:p>
    <w:p w:rsidR="00A62746" w:rsidRDefault="00CA1744">
      <w:pPr>
        <w:ind w:firstLine="640"/>
      </w:pPr>
      <w:r>
        <w:rPr>
          <w:rFonts w:hint="eastAsia"/>
        </w:rPr>
        <w:t>在一个物业管理区域内实施电线、电缆、水管、暖气和燃气管线改造等涉及相邻物业权利人的，应当召开业主大会，按照《民法典》第二百七十八条第六项至第八项要求表决通过。物业管理区域建设规模较大的，可分楼栋、分单元开展实施工作并按楼栋、单元计算表决专有面积和业主人数比例。</w:t>
      </w:r>
    </w:p>
    <w:p w:rsidR="00A62746" w:rsidRDefault="0060484C">
      <w:pPr>
        <w:pStyle w:val="a0"/>
        <w:ind w:firstLine="640"/>
      </w:pPr>
      <w:r>
        <w:rPr>
          <w:rFonts w:hint="eastAsia"/>
        </w:rPr>
        <w:lastRenderedPageBreak/>
        <w:t>第三十三条　在一个物业管理区域内实施</w:t>
      </w:r>
      <w:r w:rsidR="00CA1744">
        <w:rPr>
          <w:rFonts w:hint="eastAsia"/>
        </w:rPr>
        <w:t>更新项目过程中，相邻物业权利人应当执行业主大会决定，提供以下必要的便利：</w:t>
      </w:r>
    </w:p>
    <w:p w:rsidR="00A62746" w:rsidRDefault="00CA1744">
      <w:pPr>
        <w:pStyle w:val="a0"/>
        <w:ind w:firstLine="640"/>
      </w:pPr>
      <w:r>
        <w:rPr>
          <w:rFonts w:hint="eastAsia"/>
        </w:rPr>
        <w:t>（一）配合对现状建筑物及附属设施进行测量、改造、修缮及必要的拆除；</w:t>
      </w:r>
    </w:p>
    <w:p w:rsidR="00A62746" w:rsidRDefault="00CA1744">
      <w:pPr>
        <w:pStyle w:val="a0"/>
        <w:ind w:firstLine="640"/>
      </w:pPr>
      <w:r>
        <w:rPr>
          <w:rFonts w:hint="eastAsia"/>
        </w:rPr>
        <w:t>（二）给</w:t>
      </w:r>
      <w:r w:rsidR="0060484C">
        <w:rPr>
          <w:rFonts w:hint="eastAsia"/>
        </w:rPr>
        <w:t>予</w:t>
      </w:r>
      <w:r>
        <w:rPr>
          <w:rFonts w:hint="eastAsia"/>
        </w:rPr>
        <w:t>必要的通行区域、施工作业场所；</w:t>
      </w:r>
    </w:p>
    <w:p w:rsidR="00A62746" w:rsidRDefault="00CA1744">
      <w:pPr>
        <w:pStyle w:val="a0"/>
        <w:ind w:firstLine="640"/>
      </w:pPr>
      <w:r>
        <w:rPr>
          <w:rFonts w:hint="eastAsia"/>
        </w:rPr>
        <w:t>（三）提供实施更新改造必要的用水、排水等便利；</w:t>
      </w:r>
    </w:p>
    <w:p w:rsidR="00A62746" w:rsidRDefault="00CA1744">
      <w:pPr>
        <w:pStyle w:val="a0"/>
        <w:ind w:firstLine="640"/>
      </w:pPr>
      <w:r>
        <w:rPr>
          <w:rFonts w:hint="eastAsia"/>
        </w:rPr>
        <w:t>（四）其他更新工作必要的便利。</w:t>
      </w:r>
    </w:p>
    <w:p w:rsidR="00FA04F6" w:rsidRDefault="0060484C" w:rsidP="00FA04F6">
      <w:pPr>
        <w:ind w:firstLine="640"/>
        <w:rPr>
          <w:rFonts w:hint="eastAsia"/>
        </w:rPr>
      </w:pPr>
      <w:r>
        <w:rPr>
          <w:rFonts w:hint="eastAsia"/>
        </w:rPr>
        <w:t>第三十四条　在一个物业管理区域内，</w:t>
      </w:r>
      <w:r w:rsidR="00CA1744">
        <w:rPr>
          <w:rFonts w:hint="eastAsia"/>
        </w:rPr>
        <w:t>相邻物业权利人拒不执行业主大会决定</w:t>
      </w:r>
      <w:r>
        <w:rPr>
          <w:rFonts w:hint="eastAsia"/>
        </w:rPr>
        <w:t>、</w:t>
      </w:r>
      <w:r w:rsidR="00CA1744">
        <w:rPr>
          <w:rFonts w:hint="eastAsia"/>
        </w:rPr>
        <w:t>不按</w:t>
      </w:r>
      <w:r>
        <w:rPr>
          <w:rFonts w:hint="eastAsia"/>
        </w:rPr>
        <w:t>照</w:t>
      </w:r>
      <w:r w:rsidR="00CA1744">
        <w:rPr>
          <w:rFonts w:hint="eastAsia"/>
        </w:rPr>
        <w:t>本条例规定提供相关便利条件，相关物业权利人</w:t>
      </w:r>
      <w:r>
        <w:rPr>
          <w:rFonts w:hint="eastAsia"/>
        </w:rPr>
        <w:t>、利害关系人</w:t>
      </w:r>
      <w:r w:rsidR="00CA1744">
        <w:rPr>
          <w:rFonts w:hint="eastAsia"/>
        </w:rPr>
        <w:t>可依法提起诉讼，请求排除妨碍；</w:t>
      </w:r>
      <w:bookmarkStart w:id="254" w:name="_Toc1137306088"/>
      <w:bookmarkStart w:id="255" w:name="_Toc1426100830"/>
      <w:r w:rsidR="00FA04F6">
        <w:rPr>
          <w:rFonts w:hint="eastAsia"/>
        </w:rPr>
        <w:t>延误城市更新工作造成实施主体损失的，实施主体可依法要求责任人进行赔偿。</w:t>
      </w:r>
    </w:p>
    <w:p w:rsidR="00A62746" w:rsidRDefault="00C40B4A" w:rsidP="00FA04F6">
      <w:pPr>
        <w:ind w:firstLine="640"/>
      </w:pPr>
      <w:r>
        <w:rPr>
          <w:rFonts w:hint="eastAsia"/>
        </w:rPr>
        <w:t xml:space="preserve">第三十五条　</w:t>
      </w:r>
      <w:r w:rsidR="00CA1744">
        <w:rPr>
          <w:rFonts w:hint="eastAsia"/>
        </w:rPr>
        <w:t>居住类、产业类、区域综合性更新等涉及多个物业权利人权益及公众利益的城市更新项目，街道办事处、乡镇人民政府或居民委员会、村民委员会可以根据实施主体申请，通过社区议事厅的形式，召开项目确定听证会、实施方案协调会及实施效果评议会，听取意见建议，推进项目实施。</w:t>
      </w:r>
    </w:p>
    <w:bookmarkEnd w:id="254"/>
    <w:p w:rsidR="00A62746" w:rsidRDefault="00C40B4A">
      <w:pPr>
        <w:ind w:firstLine="640"/>
      </w:pPr>
      <w:r>
        <w:rPr>
          <w:rFonts w:hint="eastAsia"/>
        </w:rPr>
        <w:t xml:space="preserve">第三十六条　</w:t>
      </w:r>
      <w:r w:rsidR="00CA1744">
        <w:rPr>
          <w:rFonts w:hint="eastAsia"/>
        </w:rPr>
        <w:t>城市更新项目实施方案按照规定程序确定并公开发布后，更新项目区域内物业权利人及利害关系人应当配合改造实施工作。</w:t>
      </w:r>
    </w:p>
    <w:p w:rsidR="00A62746" w:rsidRDefault="00CA1744">
      <w:pPr>
        <w:ind w:firstLine="640"/>
      </w:pPr>
      <w:r>
        <w:rPr>
          <w:rFonts w:hint="eastAsia"/>
        </w:rPr>
        <w:t>拒不配合更新改造的，除按照本条例第三十四条规定进行救济外，实施主体可以依据授权向区城市更新主管部</w:t>
      </w:r>
      <w:r>
        <w:rPr>
          <w:rFonts w:hint="eastAsia"/>
        </w:rPr>
        <w:lastRenderedPageBreak/>
        <w:t>门申请调解；调解不成的，如项目实施涉及公共利益、公共安全等情况，区城市更新主管部门可以依申请</w:t>
      </w:r>
      <w:proofErr w:type="gramStart"/>
      <w:r>
        <w:rPr>
          <w:rFonts w:hint="eastAsia"/>
        </w:rPr>
        <w:t>作出</w:t>
      </w:r>
      <w:proofErr w:type="gramEnd"/>
      <w:r>
        <w:rPr>
          <w:rFonts w:hint="eastAsia"/>
        </w:rPr>
        <w:t>更新决定。</w:t>
      </w:r>
    </w:p>
    <w:p w:rsidR="00A62746" w:rsidRDefault="00CA1744">
      <w:pPr>
        <w:ind w:firstLine="640"/>
        <w:rPr>
          <w:color w:val="FF0000"/>
        </w:rPr>
      </w:pPr>
      <w:r>
        <w:rPr>
          <w:rFonts w:hint="eastAsia"/>
        </w:rPr>
        <w:t>物业权利人及利害关系人对决定不服的，可以依法申请行政复议或者提起行政诉讼。在法定期限内不申请行政复议或者不提起行政诉讼，在决定规定的期限内又不配合的，由区城市更新主管部门依法申请人民法院强制执行。</w:t>
      </w:r>
    </w:p>
    <w:p w:rsidR="00A62746" w:rsidRDefault="00C40B4A">
      <w:pPr>
        <w:spacing w:line="500" w:lineRule="exact"/>
        <w:ind w:firstLine="640"/>
      </w:pPr>
      <w:bookmarkStart w:id="256" w:name="_Toc101007865"/>
      <w:bookmarkStart w:id="257" w:name="_Toc101008203"/>
      <w:bookmarkStart w:id="258" w:name="_Toc101008200"/>
      <w:bookmarkStart w:id="259" w:name="_Toc101007859"/>
      <w:bookmarkStart w:id="260" w:name="_Toc101008197"/>
      <w:bookmarkStart w:id="261" w:name="_Toc101008201"/>
      <w:bookmarkStart w:id="262" w:name="_Toc101007866"/>
      <w:bookmarkStart w:id="263" w:name="_Toc101007860"/>
      <w:bookmarkStart w:id="264" w:name="_Toc101007858"/>
      <w:bookmarkStart w:id="265" w:name="_Toc102145140"/>
      <w:bookmarkStart w:id="266" w:name="_Toc101008196"/>
      <w:bookmarkStart w:id="267" w:name="_Toc101008202"/>
      <w:bookmarkStart w:id="268" w:name="_Toc101007863"/>
      <w:bookmarkStart w:id="269" w:name="_Toc101007861"/>
      <w:bookmarkStart w:id="270" w:name="_Toc101007864"/>
      <w:bookmarkStart w:id="271" w:name="_Toc101007862"/>
      <w:bookmarkStart w:id="272" w:name="_Toc101008204"/>
      <w:bookmarkStart w:id="273" w:name="_Toc101008199"/>
      <w:bookmarkStart w:id="274" w:name="_Toc101008198"/>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rPr>
          <w:rFonts w:hint="eastAsia"/>
        </w:rPr>
        <w:t>第三十七条　城市更新过程中，涉及公有住房腾退的，可</w:t>
      </w:r>
      <w:r w:rsidR="00CA1744">
        <w:rPr>
          <w:rFonts w:hint="eastAsia"/>
        </w:rPr>
        <w:t>采取房屋置换的方式进行。房屋置换可采取租赁置换和产权置换两种方式。</w:t>
      </w:r>
    </w:p>
    <w:p w:rsidR="00A62746" w:rsidRDefault="00CA1744">
      <w:pPr>
        <w:spacing w:line="500" w:lineRule="exact"/>
        <w:ind w:firstLine="640"/>
      </w:pPr>
      <w:r>
        <w:rPr>
          <w:rFonts w:hint="eastAsia"/>
        </w:rPr>
        <w:t>城市更新项目范围内公房承租人签订腾退协议比例达到项目实施方案规定要求的，产权单位可依据公有住房租赁合同的约定或法律规定解除未签订腾退协议的承租人承租协议，并妥善安置。解除协议后承租人拒绝腾退的，产权单位、承租人可以按照本条例第三十六条规定执行。</w:t>
      </w:r>
    </w:p>
    <w:p w:rsidR="00A62746" w:rsidRDefault="00994D15">
      <w:pPr>
        <w:ind w:firstLine="640"/>
      </w:pPr>
      <w:r>
        <w:rPr>
          <w:rFonts w:hint="eastAsia"/>
        </w:rPr>
        <w:t xml:space="preserve">第三十八条　</w:t>
      </w:r>
      <w:r w:rsidR="00CA1744">
        <w:rPr>
          <w:rFonts w:hint="eastAsia"/>
        </w:rPr>
        <w:t>城市更新过程中需要对私有房屋进行腾退的，城市更新项目范围内物业权利人腾退协议签约比例达到百分之九十五以上的，实</w:t>
      </w:r>
      <w:r>
        <w:rPr>
          <w:rFonts w:hint="eastAsia"/>
        </w:rPr>
        <w:t>施主体与未签约物业权利人可以向区人民政府申请调解。调解</w:t>
      </w:r>
      <w:proofErr w:type="gramStart"/>
      <w:r>
        <w:rPr>
          <w:rFonts w:hint="eastAsia"/>
        </w:rPr>
        <w:t>不成且</w:t>
      </w:r>
      <w:proofErr w:type="gramEnd"/>
      <w:r>
        <w:rPr>
          <w:rFonts w:hint="eastAsia"/>
        </w:rPr>
        <w:t>项目</w:t>
      </w:r>
      <w:r w:rsidR="00CA1744">
        <w:rPr>
          <w:rFonts w:hint="eastAsia"/>
        </w:rPr>
        <w:t>涉及公共利益</w:t>
      </w:r>
      <w:r>
        <w:rPr>
          <w:rFonts w:hint="eastAsia"/>
        </w:rPr>
        <w:t>的</w:t>
      </w:r>
      <w:r w:rsidR="00CA1744">
        <w:rPr>
          <w:rFonts w:hint="eastAsia"/>
        </w:rPr>
        <w:t>，区人民政府按照《国有土地上房屋征收与补偿条例》有关规定做出征收决定。</w:t>
      </w:r>
    </w:p>
    <w:p w:rsidR="00A62746" w:rsidRDefault="00CA1744">
      <w:pPr>
        <w:ind w:firstLine="640"/>
      </w:pPr>
      <w:r>
        <w:rPr>
          <w:rFonts w:hint="eastAsia"/>
        </w:rPr>
        <w:t>实施房屋征收的，由城市更新实施主体向区人民政府提出征收申请，并同时提交经过经审定的项目实施方案、征收资金来源、安置房源落实等证明文件。</w:t>
      </w:r>
    </w:p>
    <w:p w:rsidR="00A62746" w:rsidRPr="0075781A" w:rsidRDefault="00CA1744" w:rsidP="0075781A">
      <w:pPr>
        <w:pStyle w:val="a0"/>
        <w:ind w:firstLine="640"/>
        <w:jc w:val="center"/>
        <w:rPr>
          <w:rFonts w:ascii="仿宋" w:hAnsi="仿宋" w:cs="Arial"/>
          <w:bCs/>
          <w:iCs/>
          <w:color w:val="000000"/>
          <w:szCs w:val="32"/>
        </w:rPr>
      </w:pPr>
      <w:bookmarkStart w:id="275" w:name="_Toc81474743"/>
      <w:bookmarkStart w:id="276" w:name="_Toc81484236"/>
      <w:bookmarkStart w:id="277" w:name="_Toc81484229"/>
      <w:bookmarkStart w:id="278" w:name="_Toc81484527"/>
      <w:bookmarkStart w:id="279" w:name="_____44"/>
      <w:bookmarkStart w:id="280" w:name="_Toc81484543"/>
      <w:bookmarkStart w:id="281" w:name="_Toc81484550"/>
      <w:bookmarkStart w:id="282" w:name="_Toc81484540"/>
      <w:bookmarkStart w:id="283" w:name="_Toc81484224"/>
      <w:bookmarkStart w:id="284" w:name="_Toc81484231"/>
      <w:bookmarkStart w:id="285" w:name="_Toc81474762"/>
      <w:bookmarkStart w:id="286" w:name="_Toc88467063"/>
      <w:bookmarkStart w:id="287" w:name="_Toc81484739"/>
      <w:bookmarkStart w:id="288" w:name="_____54"/>
      <w:bookmarkStart w:id="289" w:name="_Toc81484745"/>
      <w:bookmarkStart w:id="290" w:name="_____32"/>
      <w:bookmarkStart w:id="291" w:name="_Toc81474764"/>
      <w:bookmarkStart w:id="292" w:name="_Toc81485466"/>
      <w:bookmarkStart w:id="293" w:name="_____66"/>
      <w:bookmarkStart w:id="294" w:name="_Toc81484225"/>
      <w:bookmarkStart w:id="295" w:name="_Toc81484530"/>
      <w:bookmarkStart w:id="296" w:name="_Toc81484730"/>
      <w:bookmarkStart w:id="297" w:name="_Toc89969775"/>
      <w:bookmarkStart w:id="298" w:name="_Toc88467060"/>
      <w:bookmarkStart w:id="299" w:name="_____56"/>
      <w:bookmarkStart w:id="300" w:name="_Toc91682064"/>
      <w:bookmarkStart w:id="301" w:name="_Toc81484222"/>
      <w:bookmarkStart w:id="302" w:name="_Toc81484242"/>
      <w:bookmarkStart w:id="303" w:name="_Toc100917437"/>
      <w:bookmarkStart w:id="304" w:name="_Toc81485422"/>
      <w:bookmarkStart w:id="305" w:name="_Toc81484223"/>
      <w:bookmarkStart w:id="306" w:name="_Toc81485459"/>
      <w:bookmarkStart w:id="307" w:name="_Toc81474717"/>
      <w:bookmarkStart w:id="308" w:name="_Toc91682063"/>
      <w:bookmarkStart w:id="309" w:name="_Toc81474749"/>
      <w:bookmarkStart w:id="310" w:name="_Toc81474744"/>
      <w:bookmarkStart w:id="311" w:name="_Toc91682060"/>
      <w:bookmarkStart w:id="312" w:name="_Toc81484726"/>
      <w:bookmarkStart w:id="313" w:name="_____64"/>
      <w:bookmarkStart w:id="314" w:name="_Toc81484738"/>
      <w:bookmarkStart w:id="315" w:name="_Toc89968506"/>
      <w:bookmarkStart w:id="316" w:name="_Toc81474741"/>
      <w:bookmarkStart w:id="317" w:name="_Toc81484723"/>
      <w:bookmarkStart w:id="318" w:name="_Toc81485461"/>
      <w:bookmarkStart w:id="319" w:name="_Toc89969776"/>
      <w:bookmarkStart w:id="320" w:name="_____52"/>
      <w:bookmarkStart w:id="321" w:name="_Toc81484548"/>
      <w:bookmarkStart w:id="322" w:name="_____60"/>
      <w:bookmarkStart w:id="323" w:name="_Toc81485460"/>
      <w:bookmarkStart w:id="324" w:name="_Toc81484725"/>
      <w:bookmarkStart w:id="325" w:name="_Toc89968954"/>
      <w:bookmarkStart w:id="326" w:name="_Toc81484736"/>
      <w:bookmarkStart w:id="327" w:name="_Toc101008160"/>
      <w:bookmarkStart w:id="328" w:name="_Toc81484554"/>
      <w:bookmarkStart w:id="329" w:name="_Toc81484724"/>
      <w:bookmarkStart w:id="330" w:name="_Toc81484731"/>
      <w:bookmarkStart w:id="331" w:name="_Toc88467057"/>
      <w:bookmarkStart w:id="332" w:name="_Toc81485448"/>
      <w:bookmarkStart w:id="333" w:name="_Toc81474748"/>
      <w:bookmarkStart w:id="334" w:name="_Toc81484547"/>
      <w:bookmarkStart w:id="335" w:name="_Toc81485469"/>
      <w:bookmarkStart w:id="336" w:name="_Toc81484503"/>
      <w:bookmarkStart w:id="337" w:name="_Toc81484750"/>
      <w:bookmarkStart w:id="338" w:name="_Toc81484534"/>
      <w:bookmarkStart w:id="339" w:name="_Toc81484535"/>
      <w:bookmarkStart w:id="340" w:name="_Toc81474754"/>
      <w:bookmarkStart w:id="341" w:name="_Toc81484237"/>
      <w:bookmarkStart w:id="342" w:name="_Toc89968507"/>
      <w:bookmarkStart w:id="343" w:name="_Toc81485446"/>
      <w:bookmarkStart w:id="344" w:name="_____72"/>
      <w:bookmarkStart w:id="345" w:name="_Toc81485453"/>
      <w:bookmarkStart w:id="346" w:name="_Toc81485455"/>
      <w:bookmarkStart w:id="347" w:name="_Toc81484235"/>
      <w:bookmarkStart w:id="348" w:name="_____62"/>
      <w:bookmarkStart w:id="349" w:name="_Toc89969899"/>
      <w:bookmarkStart w:id="350" w:name="_Toc89969902"/>
      <w:bookmarkStart w:id="351" w:name="_____68"/>
      <w:bookmarkStart w:id="352" w:name="_Toc81484744"/>
      <w:bookmarkStart w:id="353" w:name="_Toc89969895"/>
      <w:bookmarkStart w:id="354" w:name="_Toc81484743"/>
      <w:bookmarkStart w:id="355" w:name="_Toc81485447"/>
      <w:bookmarkStart w:id="356" w:name="_Toc81484249"/>
      <w:bookmarkStart w:id="357" w:name="_____58"/>
      <w:bookmarkStart w:id="358" w:name="_Toc81484528"/>
      <w:bookmarkStart w:id="359" w:name="_Toc81484243"/>
      <w:bookmarkStart w:id="360" w:name="_Toc81474768"/>
      <w:bookmarkStart w:id="361" w:name="_Toc89969772"/>
      <w:bookmarkStart w:id="362" w:name="_Toc91682067"/>
      <w:bookmarkStart w:id="363" w:name="_Toc89969779"/>
      <w:bookmarkStart w:id="364" w:name="_Toc89968951"/>
      <w:bookmarkStart w:id="365" w:name="_Toc81485454"/>
      <w:bookmarkStart w:id="366" w:name="_Toc81484541"/>
      <w:bookmarkStart w:id="367" w:name="_Toc81485473"/>
      <w:bookmarkStart w:id="368" w:name="_Toc81484529"/>
      <w:bookmarkStart w:id="369" w:name="_Toc89968510"/>
      <w:bookmarkStart w:id="370" w:name="_Toc81474750"/>
      <w:bookmarkStart w:id="371" w:name="_Toc81485449"/>
      <w:bookmarkStart w:id="372" w:name="_Toc89969898"/>
      <w:bookmarkStart w:id="373" w:name="_Toc81474755"/>
      <w:bookmarkStart w:id="374" w:name="_Toc89968503"/>
      <w:bookmarkStart w:id="375" w:name="_Toc81474763"/>
      <w:bookmarkStart w:id="376" w:name="_Toc81485462"/>
      <w:bookmarkStart w:id="377" w:name="_Toc81484230"/>
      <w:bookmarkStart w:id="378" w:name="_____70"/>
      <w:bookmarkStart w:id="379" w:name="_Toc81474756"/>
      <w:bookmarkStart w:id="380" w:name="_____74"/>
      <w:bookmarkStart w:id="381" w:name="_Toc89968958"/>
      <w:bookmarkStart w:id="382" w:name="_Toc81484732"/>
      <w:bookmarkStart w:id="383" w:name="_Toc81484699"/>
      <w:bookmarkStart w:id="384" w:name="_Toc81474757"/>
      <w:bookmarkStart w:id="385" w:name="_____50"/>
      <w:bookmarkStart w:id="386" w:name="_Toc81484244"/>
      <w:bookmarkStart w:id="387" w:name="_Toc81484737"/>
      <w:bookmarkStart w:id="388" w:name="_Toc81484549"/>
      <w:bookmarkStart w:id="389" w:name="_Toc81484198"/>
      <w:bookmarkStart w:id="390" w:name="_Toc81474742"/>
      <w:bookmarkStart w:id="391" w:name="_Toc81474761"/>
      <w:bookmarkStart w:id="392" w:name="_Toc81484746"/>
      <w:bookmarkStart w:id="393" w:name="_Toc81484536"/>
      <w:bookmarkStart w:id="394" w:name="_Toc81484238"/>
      <w:bookmarkStart w:id="395" w:name="_Toc89968955"/>
      <w:bookmarkStart w:id="396" w:name="_Toc81484542"/>
      <w:bookmarkStart w:id="397" w:name="_Toc81485468"/>
      <w:bookmarkStart w:id="398" w:name="_Toc101007822"/>
      <w:bookmarkStart w:id="399" w:name="_____46"/>
      <w:bookmarkStart w:id="400" w:name="_Toc81484245"/>
      <w:bookmarkStart w:id="401" w:name="_Toc81485467"/>
      <w:bookmarkStart w:id="402" w:name="_Toc2095670640"/>
      <w:bookmarkStart w:id="403" w:name="_Toc81486327"/>
      <w:bookmarkStart w:id="404" w:name="_Toc81484756"/>
      <w:bookmarkStart w:id="405" w:name="_Toc81486451"/>
      <w:bookmarkStart w:id="406" w:name="_Toc9429"/>
      <w:bookmarkStart w:id="407" w:name="_Toc97901688"/>
      <w:bookmarkStart w:id="408" w:name="_Toc2087536576"/>
      <w:bookmarkStart w:id="409" w:name="_Toc1100551169"/>
      <w:bookmarkEnd w:id="255"/>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75781A">
        <w:rPr>
          <w:rFonts w:ascii="仿宋" w:hAnsi="仿宋" w:cs="Arial" w:hint="eastAsia"/>
          <w:bCs/>
          <w:iCs/>
          <w:color w:val="000000"/>
          <w:szCs w:val="32"/>
        </w:rPr>
        <w:t xml:space="preserve">第五章 </w:t>
      </w:r>
      <w:r w:rsidRPr="0075781A">
        <w:rPr>
          <w:rFonts w:ascii="仿宋" w:hAnsi="仿宋" w:cs="Arial"/>
          <w:bCs/>
          <w:iCs/>
          <w:color w:val="000000"/>
          <w:szCs w:val="32"/>
        </w:rPr>
        <w:t>城市更新</w:t>
      </w:r>
      <w:r w:rsidRPr="0075781A">
        <w:rPr>
          <w:rFonts w:ascii="仿宋" w:hAnsi="仿宋" w:cs="Arial" w:hint="eastAsia"/>
          <w:bCs/>
          <w:iCs/>
          <w:color w:val="000000"/>
          <w:szCs w:val="32"/>
        </w:rPr>
        <w:t>实施</w:t>
      </w:r>
      <w:bookmarkEnd w:id="402"/>
    </w:p>
    <w:p w:rsidR="00A62746" w:rsidRPr="0075781A" w:rsidRDefault="00CA1744">
      <w:pPr>
        <w:pStyle w:val="1"/>
        <w:rPr>
          <w:rFonts w:ascii="仿宋" w:eastAsia="仿宋" w:hAnsi="仿宋" w:cs="Arial"/>
          <w:bCs/>
          <w:iCs/>
          <w:kern w:val="0"/>
        </w:rPr>
      </w:pPr>
      <w:bookmarkStart w:id="410" w:name="_Toc168636127"/>
      <w:r w:rsidRPr="0075781A">
        <w:rPr>
          <w:rFonts w:ascii="仿宋" w:eastAsia="仿宋" w:hAnsi="仿宋" w:cs="Arial" w:hint="eastAsia"/>
          <w:bCs/>
          <w:iCs/>
          <w:kern w:val="0"/>
        </w:rPr>
        <w:lastRenderedPageBreak/>
        <w:t>第一节  城市更新内容</w:t>
      </w:r>
      <w:bookmarkEnd w:id="410"/>
    </w:p>
    <w:p w:rsidR="00A62746" w:rsidRDefault="0075781A">
      <w:pPr>
        <w:ind w:firstLine="640"/>
        <w:rPr>
          <w:rFonts w:hAnsi="仿宋_GB2312" w:cs="仿宋_GB2312"/>
          <w:bCs/>
        </w:rPr>
      </w:pPr>
      <w:bookmarkStart w:id="411" w:name="_Toc89968967"/>
      <w:bookmarkStart w:id="412" w:name="_Toc88467070"/>
      <w:bookmarkStart w:id="413" w:name="_Toc89969786"/>
      <w:bookmarkStart w:id="414" w:name="_Toc89969911"/>
      <w:bookmarkStart w:id="415" w:name="_Toc89969909"/>
      <w:bookmarkStart w:id="416" w:name="_Toc89968965"/>
      <w:bookmarkStart w:id="417" w:name="_Toc91682074"/>
      <w:bookmarkStart w:id="418" w:name="_Toc91682076"/>
      <w:bookmarkStart w:id="419" w:name="_Toc89968517"/>
      <w:bookmarkStart w:id="420" w:name="_Toc89968519"/>
      <w:bookmarkStart w:id="421" w:name="_Toc89969788"/>
      <w:bookmarkStart w:id="422" w:name="_Toc613991652"/>
      <w:bookmarkStart w:id="423" w:name="_Toc15226"/>
      <w:bookmarkStart w:id="424" w:name="_Toc1486796296"/>
      <w:bookmarkStart w:id="425" w:name="_Toc97901690"/>
      <w:bookmarkEnd w:id="411"/>
      <w:bookmarkEnd w:id="412"/>
      <w:bookmarkEnd w:id="413"/>
      <w:bookmarkEnd w:id="414"/>
      <w:bookmarkEnd w:id="415"/>
      <w:bookmarkEnd w:id="416"/>
      <w:bookmarkEnd w:id="417"/>
      <w:bookmarkEnd w:id="418"/>
      <w:bookmarkEnd w:id="419"/>
      <w:bookmarkEnd w:id="420"/>
      <w:bookmarkEnd w:id="421"/>
      <w:r>
        <w:rPr>
          <w:rFonts w:hAnsi="仿宋_GB2312" w:cs="仿宋_GB2312" w:hint="eastAsia"/>
          <w:bCs/>
        </w:rPr>
        <w:t xml:space="preserve">第三十九条　</w:t>
      </w:r>
      <w:r w:rsidR="00F70114">
        <w:rPr>
          <w:rFonts w:hAnsi="仿宋_GB2312" w:cs="仿宋_GB2312" w:hint="eastAsia"/>
          <w:bCs/>
        </w:rPr>
        <w:t>实施首都功能核心区平房（院落）保护性修缮、恢复性修建，可</w:t>
      </w:r>
      <w:r w:rsidR="00CA1744">
        <w:rPr>
          <w:rFonts w:hAnsi="仿宋_GB2312" w:cs="仿宋_GB2312" w:hint="eastAsia"/>
          <w:bCs/>
        </w:rPr>
        <w:t>采用</w:t>
      </w:r>
      <w:proofErr w:type="gramStart"/>
      <w:r w:rsidR="00CA1744">
        <w:rPr>
          <w:rFonts w:hAnsi="仿宋_GB2312" w:cs="仿宋_GB2312" w:hint="eastAsia"/>
          <w:bCs/>
        </w:rPr>
        <w:t>申请式退租</w:t>
      </w:r>
      <w:proofErr w:type="gramEnd"/>
      <w:r w:rsidR="00CA1744">
        <w:rPr>
          <w:rFonts w:hAnsi="仿宋_GB2312" w:cs="仿宋_GB2312" w:hint="eastAsia"/>
          <w:bCs/>
        </w:rPr>
        <w:t>、换租、房屋置换等方式，完善配套功能，改善居住环境，加强历史文化保护，恢复传统四合院基本格局；按照核心区控制性详细规划合理利用腾退房屋，建立健全平房区社会管理机制。核心区以外的地区可以参照执行。</w:t>
      </w:r>
    </w:p>
    <w:p w:rsidR="00A62746" w:rsidRDefault="00CA1744">
      <w:pPr>
        <w:ind w:firstLine="640"/>
        <w:rPr>
          <w:rFonts w:hAnsi="仿宋_GB2312" w:cs="仿宋_GB2312"/>
          <w:bCs/>
        </w:rPr>
      </w:pPr>
      <w:r>
        <w:rPr>
          <w:rFonts w:hAnsi="仿宋_GB2312" w:cs="仿宋_GB2312" w:hint="eastAsia"/>
          <w:bCs/>
        </w:rPr>
        <w:t>支持社会资本开展更新房屋再利用，实施主体完成直管公房</w:t>
      </w:r>
      <w:proofErr w:type="gramStart"/>
      <w:r>
        <w:rPr>
          <w:rFonts w:hAnsi="仿宋_GB2312" w:cs="仿宋_GB2312" w:hint="eastAsia"/>
          <w:bCs/>
        </w:rPr>
        <w:t>申请式退租</w:t>
      </w:r>
      <w:proofErr w:type="gramEnd"/>
      <w:r>
        <w:rPr>
          <w:rFonts w:hAnsi="仿宋_GB2312" w:cs="仿宋_GB2312" w:hint="eastAsia"/>
          <w:bCs/>
        </w:rPr>
        <w:t>和恢复性修建后，可获得房屋经营权。推进直管公房经营权质押，鼓励金融机构向获得区政府批准授权的实施主体给予贷款支持。</w:t>
      </w:r>
    </w:p>
    <w:p w:rsidR="00A62746" w:rsidRDefault="00CA1744">
      <w:pPr>
        <w:widowControl w:val="0"/>
        <w:spacing w:line="560" w:lineRule="exact"/>
        <w:ind w:firstLine="640"/>
      </w:pPr>
      <w:r>
        <w:rPr>
          <w:rFonts w:hAnsi="仿宋_GB2312" w:cs="仿宋_GB2312" w:hint="eastAsia"/>
          <w:bCs/>
        </w:rPr>
        <w:t>首都功能核心区平房（院落）腾退空间，在</w:t>
      </w:r>
      <w:r>
        <w:rPr>
          <w:rFonts w:hint="eastAsia"/>
        </w:rPr>
        <w:t>满足居民共生</w:t>
      </w:r>
      <w:proofErr w:type="gramStart"/>
      <w:r>
        <w:rPr>
          <w:rFonts w:hint="eastAsia"/>
        </w:rPr>
        <w:t>院改造</w:t>
      </w:r>
      <w:proofErr w:type="gramEnd"/>
      <w:r>
        <w:rPr>
          <w:rFonts w:hint="eastAsia"/>
        </w:rPr>
        <w:t>和申请</w:t>
      </w:r>
      <w:proofErr w:type="gramStart"/>
      <w:r>
        <w:rPr>
          <w:rFonts w:hint="eastAsia"/>
        </w:rPr>
        <w:t>式改善</w:t>
      </w:r>
      <w:proofErr w:type="gramEnd"/>
      <w:r>
        <w:rPr>
          <w:rFonts w:hint="eastAsia"/>
        </w:rPr>
        <w:t>的基础上，允许实施主体依据街区控制性详细规划，利用腾退空间发展租赁住房、便民服务及</w:t>
      </w:r>
      <w:proofErr w:type="gramStart"/>
      <w:r>
        <w:rPr>
          <w:rFonts w:hint="eastAsia"/>
        </w:rPr>
        <w:t>文旅服务</w:t>
      </w:r>
      <w:proofErr w:type="gramEnd"/>
      <w:r>
        <w:rPr>
          <w:rFonts w:hint="eastAsia"/>
        </w:rPr>
        <w:t>等行业。</w:t>
      </w:r>
    </w:p>
    <w:p w:rsidR="00A62746" w:rsidRDefault="00F70114">
      <w:pPr>
        <w:ind w:firstLine="640"/>
        <w:rPr>
          <w:rStyle w:val="NormalCharacter"/>
          <w:rFonts w:ascii="仿宋" w:hAnsi="仿宋" w:cs="仿宋"/>
          <w:kern w:val="2"/>
          <w:szCs w:val="32"/>
        </w:rPr>
      </w:pPr>
      <w:r>
        <w:rPr>
          <w:rStyle w:val="NormalCharacter"/>
          <w:rFonts w:ascii="仿宋" w:hAnsi="仿宋" w:cs="仿宋" w:hint="eastAsia"/>
          <w:kern w:val="2"/>
          <w:szCs w:val="32"/>
        </w:rPr>
        <w:t xml:space="preserve">第四十条　</w:t>
      </w:r>
      <w:r w:rsidR="00CA1744">
        <w:rPr>
          <w:rStyle w:val="NormalCharacter"/>
          <w:rFonts w:ascii="仿宋" w:hAnsi="仿宋" w:cs="仿宋" w:hint="eastAsia"/>
          <w:kern w:val="2"/>
          <w:szCs w:val="32"/>
        </w:rPr>
        <w:t>实施简易楼和危旧楼房改建。建立居民出资、社会筹资参与、政府支持的资金筹集模式，支持居民提取住房公积金或利用公积金贷款用于支付改建成本费用。</w:t>
      </w:r>
    </w:p>
    <w:p w:rsidR="00A62746" w:rsidRDefault="00CA1744">
      <w:pPr>
        <w:ind w:firstLine="640"/>
        <w:rPr>
          <w:rStyle w:val="NormalCharacter"/>
          <w:rFonts w:ascii="仿宋" w:hAnsi="仿宋" w:cs="仿宋"/>
          <w:szCs w:val="32"/>
        </w:rPr>
      </w:pPr>
      <w:r>
        <w:rPr>
          <w:rStyle w:val="NormalCharacter"/>
          <w:rFonts w:ascii="仿宋" w:hAnsi="仿宋" w:cs="仿宋" w:hint="eastAsia"/>
          <w:kern w:val="2"/>
          <w:szCs w:val="32"/>
        </w:rPr>
        <w:t>改建项目应当提升规划功能、不增加城市人口，可利用地上、地下空间，补充部分城市功能，适度改善居民居住条件，可适当增加建筑面积作为共有产权住房或保障性租赁住房。</w:t>
      </w:r>
    </w:p>
    <w:p w:rsidR="00A62746" w:rsidRDefault="00CA1744">
      <w:pPr>
        <w:ind w:firstLine="640"/>
        <w:rPr>
          <w:rStyle w:val="NormalCharacter"/>
          <w:rFonts w:ascii="仿宋" w:hAnsi="仿宋" w:cs="仿宋"/>
          <w:kern w:val="2"/>
          <w:szCs w:val="32"/>
        </w:rPr>
      </w:pPr>
      <w:r>
        <w:rPr>
          <w:rStyle w:val="NormalCharacter"/>
          <w:rFonts w:ascii="仿宋" w:hAnsi="仿宋" w:cs="仿宋" w:hint="eastAsia"/>
          <w:kern w:val="2"/>
          <w:szCs w:val="32"/>
        </w:rPr>
        <w:lastRenderedPageBreak/>
        <w:t>对于位于重点地区和历史文化街区内的危旧楼房和简易楼，鼓励居民腾退外迁，改善居住条件。</w:t>
      </w:r>
    </w:p>
    <w:p w:rsidR="00A62746" w:rsidRDefault="000805EB">
      <w:pPr>
        <w:ind w:firstLine="640"/>
        <w:rPr>
          <w:rFonts w:ascii="仿宋" w:hAnsi="仿宋"/>
          <w:szCs w:val="32"/>
        </w:rPr>
      </w:pPr>
      <w:r>
        <w:rPr>
          <w:rFonts w:ascii="仿宋" w:hAnsi="仿宋" w:hint="eastAsia"/>
          <w:szCs w:val="32"/>
        </w:rPr>
        <w:t xml:space="preserve">第四十一条　</w:t>
      </w:r>
      <w:r w:rsidR="00CA1744">
        <w:rPr>
          <w:rFonts w:ascii="仿宋" w:hAnsi="仿宋" w:hint="eastAsia"/>
          <w:szCs w:val="32"/>
        </w:rPr>
        <w:t>实施</w:t>
      </w:r>
      <w:r w:rsidR="00CA1744">
        <w:rPr>
          <w:rFonts w:ascii="仿宋" w:hAnsi="仿宋"/>
          <w:szCs w:val="32"/>
        </w:rPr>
        <w:t>老旧小区综合整治改造</w:t>
      </w:r>
      <w:r w:rsidR="00CA1744">
        <w:rPr>
          <w:rFonts w:ascii="仿宋" w:hAnsi="仿宋" w:hint="eastAsia"/>
          <w:szCs w:val="32"/>
        </w:rPr>
        <w:t>。根据</w:t>
      </w:r>
      <w:r w:rsidR="00CA1744">
        <w:rPr>
          <w:rFonts w:ascii="仿宋" w:hAnsi="仿宋"/>
          <w:szCs w:val="32"/>
        </w:rPr>
        <w:t>国家和本市有关要求，</w:t>
      </w:r>
      <w:r w:rsidR="00CA1744">
        <w:rPr>
          <w:rFonts w:ascii="仿宋" w:hAnsi="仿宋" w:hint="eastAsia"/>
          <w:szCs w:val="32"/>
        </w:rPr>
        <w:t>明确</w:t>
      </w:r>
      <w:r w:rsidR="00CA1744">
        <w:rPr>
          <w:rFonts w:ascii="仿宋" w:hAnsi="仿宋"/>
          <w:szCs w:val="32"/>
        </w:rPr>
        <w:t>界定老旧小区</w:t>
      </w:r>
      <w:r w:rsidR="00CA1744">
        <w:rPr>
          <w:rFonts w:ascii="仿宋" w:hAnsi="仿宋" w:hint="eastAsia"/>
          <w:szCs w:val="32"/>
        </w:rPr>
        <w:t>范围。依法拆除小区</w:t>
      </w:r>
      <w:r w:rsidR="00CA1744">
        <w:rPr>
          <w:rFonts w:ascii="仿宋" w:hAnsi="仿宋"/>
          <w:szCs w:val="32"/>
        </w:rPr>
        <w:t>内违法建设</w:t>
      </w:r>
      <w:r w:rsidR="00CA1744">
        <w:rPr>
          <w:rFonts w:ascii="仿宋" w:hAnsi="仿宋" w:hint="eastAsia"/>
          <w:szCs w:val="32"/>
        </w:rPr>
        <w:t>，</w:t>
      </w:r>
      <w:r w:rsidR="00CA1744">
        <w:rPr>
          <w:rFonts w:ascii="仿宋" w:hAnsi="仿宋"/>
          <w:szCs w:val="32"/>
        </w:rPr>
        <w:t>整治提升</w:t>
      </w:r>
      <w:r w:rsidR="00CA1744">
        <w:rPr>
          <w:rFonts w:ascii="仿宋" w:hAnsi="仿宋" w:hint="eastAsia"/>
          <w:szCs w:val="32"/>
        </w:rPr>
        <w:t>小区</w:t>
      </w:r>
      <w:r w:rsidR="00CA1744">
        <w:rPr>
          <w:rFonts w:ascii="仿宋" w:hAnsi="仿宋"/>
          <w:szCs w:val="32"/>
        </w:rPr>
        <w:t>环境</w:t>
      </w:r>
      <w:r w:rsidR="00CA1744">
        <w:rPr>
          <w:rFonts w:ascii="仿宋" w:hAnsi="仿宋" w:hint="eastAsia"/>
          <w:szCs w:val="32"/>
        </w:rPr>
        <w:t>，开展住宅楼房</w:t>
      </w:r>
      <w:r w:rsidR="00CA1744">
        <w:rPr>
          <w:rFonts w:ascii="仿宋" w:hAnsi="仿宋"/>
          <w:szCs w:val="32"/>
        </w:rPr>
        <w:t>抗震</w:t>
      </w:r>
      <w:r w:rsidR="00CA1744">
        <w:rPr>
          <w:rFonts w:ascii="仿宋" w:hAnsi="仿宋" w:hint="eastAsia"/>
          <w:szCs w:val="32"/>
        </w:rPr>
        <w:t>加固</w:t>
      </w:r>
      <w:r w:rsidR="00CA1744">
        <w:rPr>
          <w:rFonts w:ascii="仿宋" w:hAnsi="仿宋"/>
          <w:szCs w:val="32"/>
        </w:rPr>
        <w:t>和节能综合改造</w:t>
      </w:r>
      <w:r w:rsidR="00CA1744">
        <w:rPr>
          <w:rFonts w:ascii="仿宋" w:hAnsi="仿宋" w:hint="eastAsia"/>
          <w:szCs w:val="32"/>
        </w:rPr>
        <w:t>，健全</w:t>
      </w:r>
      <w:r w:rsidR="00CA1744">
        <w:rPr>
          <w:rFonts w:ascii="仿宋" w:hAnsi="仿宋"/>
          <w:szCs w:val="32"/>
        </w:rPr>
        <w:t>物业管理长效机制，改善老旧小区居住品质。</w:t>
      </w:r>
      <w:r w:rsidR="00CA1744">
        <w:rPr>
          <w:rFonts w:ascii="仿宋" w:hAnsi="仿宋" w:hint="eastAsia"/>
          <w:szCs w:val="32"/>
        </w:rPr>
        <w:t>经</w:t>
      </w:r>
      <w:r w:rsidR="00CA1744">
        <w:rPr>
          <w:rFonts w:ascii="仿宋" w:hAnsi="仿宋"/>
          <w:szCs w:val="32"/>
        </w:rPr>
        <w:t>业主共同决定，</w:t>
      </w:r>
      <w:r w:rsidR="00CA1744">
        <w:rPr>
          <w:rFonts w:ascii="仿宋" w:hAnsi="仿宋" w:hint="eastAsia"/>
          <w:szCs w:val="32"/>
        </w:rPr>
        <w:t>业主</w:t>
      </w:r>
      <w:r w:rsidR="00CA1744">
        <w:rPr>
          <w:rFonts w:ascii="仿宋" w:hAnsi="仿宋"/>
          <w:szCs w:val="32"/>
        </w:rPr>
        <w:t>共有的</w:t>
      </w:r>
      <w:r w:rsidR="00CA1744">
        <w:rPr>
          <w:rFonts w:ascii="仿宋" w:hAnsi="仿宋" w:hint="eastAsia"/>
          <w:szCs w:val="32"/>
        </w:rPr>
        <w:t>设施</w:t>
      </w:r>
      <w:r w:rsidR="00CA1744">
        <w:rPr>
          <w:rFonts w:ascii="仿宋" w:hAnsi="仿宋"/>
          <w:szCs w:val="32"/>
        </w:rPr>
        <w:t>与</w:t>
      </w:r>
      <w:r w:rsidR="00CA1744">
        <w:rPr>
          <w:rFonts w:ascii="仿宋" w:hAnsi="仿宋" w:hint="eastAsia"/>
          <w:szCs w:val="32"/>
        </w:rPr>
        <w:t>公共</w:t>
      </w:r>
      <w:r w:rsidR="00CA1744">
        <w:rPr>
          <w:rFonts w:ascii="仿宋" w:hAnsi="仿宋"/>
          <w:szCs w:val="32"/>
        </w:rPr>
        <w:t>空间</w:t>
      </w:r>
      <w:r w:rsidR="00CA1744">
        <w:rPr>
          <w:rFonts w:ascii="仿宋" w:hAnsi="仿宋" w:hint="eastAsia"/>
          <w:szCs w:val="32"/>
        </w:rPr>
        <w:t>，</w:t>
      </w:r>
      <w:r w:rsidR="00CA1744">
        <w:rPr>
          <w:rFonts w:ascii="仿宋" w:hAnsi="仿宋"/>
          <w:szCs w:val="32"/>
        </w:rPr>
        <w:t>可</w:t>
      </w:r>
      <w:r w:rsidR="00CA1744">
        <w:rPr>
          <w:rFonts w:ascii="仿宋" w:hAnsi="仿宋" w:hint="eastAsia"/>
          <w:szCs w:val="32"/>
        </w:rPr>
        <w:t>通过</w:t>
      </w:r>
      <w:r w:rsidR="00CA1744">
        <w:rPr>
          <w:rFonts w:ascii="仿宋" w:hAnsi="仿宋"/>
          <w:szCs w:val="32"/>
        </w:rPr>
        <w:t>改扩建用于补充小区便民服务设施</w:t>
      </w:r>
      <w:r w:rsidR="00CA1744">
        <w:rPr>
          <w:rFonts w:ascii="仿宋" w:hAnsi="仿宋" w:hint="eastAsia"/>
          <w:szCs w:val="32"/>
        </w:rPr>
        <w:t>、增加停车</w:t>
      </w:r>
      <w:r w:rsidR="00CA1744">
        <w:rPr>
          <w:rFonts w:ascii="仿宋" w:hAnsi="仿宋"/>
          <w:szCs w:val="32"/>
        </w:rPr>
        <w:t>位</w:t>
      </w:r>
      <w:r w:rsidR="00CA1744">
        <w:rPr>
          <w:rFonts w:ascii="仿宋" w:hAnsi="仿宋" w:hint="eastAsia"/>
          <w:szCs w:val="32"/>
        </w:rPr>
        <w:t>。</w:t>
      </w:r>
    </w:p>
    <w:p w:rsidR="00A62746" w:rsidRDefault="00CA1744">
      <w:pPr>
        <w:ind w:firstLine="640"/>
        <w:rPr>
          <w:rFonts w:ascii="仿宋" w:hAnsi="仿宋"/>
          <w:szCs w:val="32"/>
        </w:rPr>
      </w:pPr>
      <w:r>
        <w:rPr>
          <w:rFonts w:ascii="仿宋" w:hAnsi="仿宋" w:hint="eastAsia"/>
          <w:szCs w:val="32"/>
        </w:rPr>
        <w:t>实施老旧</w:t>
      </w:r>
      <w:r>
        <w:rPr>
          <w:rFonts w:ascii="仿宋" w:hAnsi="仿宋"/>
          <w:szCs w:val="32"/>
        </w:rPr>
        <w:t>住宅楼房加装电梯。</w:t>
      </w:r>
      <w:r>
        <w:rPr>
          <w:rFonts w:ascii="仿宋" w:hAnsi="仿宋" w:hint="eastAsia"/>
          <w:szCs w:val="32"/>
        </w:rPr>
        <w:t>加装</w:t>
      </w:r>
      <w:r>
        <w:rPr>
          <w:rFonts w:ascii="仿宋" w:hAnsi="仿宋"/>
          <w:szCs w:val="32"/>
        </w:rPr>
        <w:t>电梯应</w:t>
      </w:r>
      <w:r w:rsidR="000805EB">
        <w:rPr>
          <w:rFonts w:ascii="仿宋" w:hAnsi="仿宋" w:hint="eastAsia"/>
          <w:szCs w:val="32"/>
        </w:rPr>
        <w:t>当</w:t>
      </w:r>
      <w:r>
        <w:rPr>
          <w:rFonts w:ascii="仿宋" w:hAnsi="仿宋" w:hint="eastAsia"/>
          <w:szCs w:val="32"/>
        </w:rPr>
        <w:t>依法征得本单元业主及受加装电梯</w:t>
      </w:r>
      <w:r>
        <w:rPr>
          <w:rFonts w:ascii="仿宋" w:hAnsi="仿宋"/>
          <w:szCs w:val="32"/>
        </w:rPr>
        <w:t>影响的相关</w:t>
      </w:r>
      <w:r>
        <w:rPr>
          <w:rFonts w:ascii="仿宋" w:hAnsi="仿宋" w:hint="eastAsia"/>
          <w:szCs w:val="32"/>
        </w:rPr>
        <w:t>业主</w:t>
      </w:r>
      <w:r>
        <w:rPr>
          <w:rFonts w:ascii="仿宋" w:hAnsi="仿宋"/>
          <w:szCs w:val="32"/>
        </w:rPr>
        <w:t>同意</w:t>
      </w:r>
      <w:r>
        <w:rPr>
          <w:rFonts w:ascii="仿宋" w:hAnsi="仿宋" w:hint="eastAsia"/>
          <w:szCs w:val="32"/>
        </w:rPr>
        <w:t>。受益</w:t>
      </w:r>
      <w:r>
        <w:rPr>
          <w:rFonts w:ascii="仿宋" w:hAnsi="仿宋"/>
          <w:szCs w:val="32"/>
        </w:rPr>
        <w:t>业主</w:t>
      </w:r>
      <w:r>
        <w:rPr>
          <w:rFonts w:ascii="仿宋" w:hAnsi="仿宋" w:hint="eastAsia"/>
          <w:szCs w:val="32"/>
        </w:rPr>
        <w:t>应</w:t>
      </w:r>
      <w:r w:rsidR="000805EB">
        <w:rPr>
          <w:rFonts w:ascii="仿宋" w:hAnsi="仿宋" w:hint="eastAsia"/>
          <w:szCs w:val="32"/>
        </w:rPr>
        <w:t>当</w:t>
      </w:r>
      <w:r>
        <w:rPr>
          <w:rFonts w:ascii="仿宋" w:hAnsi="仿宋"/>
          <w:szCs w:val="32"/>
        </w:rPr>
        <w:t>承担加装电梯</w:t>
      </w:r>
      <w:r>
        <w:rPr>
          <w:rFonts w:ascii="仿宋" w:hAnsi="仿宋" w:hint="eastAsia"/>
          <w:szCs w:val="32"/>
        </w:rPr>
        <w:t>建设</w:t>
      </w:r>
      <w:r>
        <w:rPr>
          <w:rFonts w:ascii="仿宋" w:hAnsi="仿宋"/>
          <w:szCs w:val="32"/>
        </w:rPr>
        <w:t>和</w:t>
      </w:r>
      <w:r>
        <w:rPr>
          <w:rFonts w:ascii="仿宋" w:hAnsi="仿宋" w:hint="eastAsia"/>
          <w:szCs w:val="32"/>
        </w:rPr>
        <w:t>维保</w:t>
      </w:r>
      <w:r>
        <w:rPr>
          <w:rFonts w:ascii="仿宋" w:hAnsi="仿宋"/>
          <w:szCs w:val="32"/>
        </w:rPr>
        <w:t>、运维费用。</w:t>
      </w:r>
    </w:p>
    <w:p w:rsidR="00A62746" w:rsidRDefault="00CA1744">
      <w:pPr>
        <w:widowControl w:val="0"/>
        <w:spacing w:line="560" w:lineRule="exact"/>
        <w:ind w:firstLine="640"/>
      </w:pPr>
      <w:r>
        <w:rPr>
          <w:rFonts w:hint="eastAsia"/>
        </w:rPr>
        <w:t>售后公房参与老旧小区综合整治改造工作的，售房单位应</w:t>
      </w:r>
      <w:r w:rsidR="000805EB">
        <w:rPr>
          <w:rFonts w:hint="eastAsia"/>
        </w:rPr>
        <w:t>当</w:t>
      </w:r>
      <w:r>
        <w:rPr>
          <w:rFonts w:hint="eastAsia"/>
        </w:rPr>
        <w:t>在整治改造开展前完成专项维修资金的补建工作。</w:t>
      </w:r>
    </w:p>
    <w:p w:rsidR="00A62746" w:rsidRDefault="000805EB">
      <w:pPr>
        <w:autoSpaceDE w:val="0"/>
        <w:autoSpaceDN w:val="0"/>
        <w:adjustRightInd w:val="0"/>
        <w:ind w:firstLine="640"/>
        <w:jc w:val="left"/>
        <w:rPr>
          <w:rFonts w:ascii="仿宋" w:hAnsi="仿宋" w:cs="仿宋"/>
          <w:szCs w:val="32"/>
        </w:rPr>
      </w:pPr>
      <w:bookmarkStart w:id="426" w:name="_Toc1878915404"/>
      <w:bookmarkEnd w:id="422"/>
      <w:bookmarkEnd w:id="423"/>
      <w:bookmarkEnd w:id="424"/>
      <w:bookmarkEnd w:id="425"/>
      <w:r>
        <w:rPr>
          <w:rFonts w:ascii="仿宋" w:hAnsi="仿宋" w:cs="仿宋" w:hint="eastAsia"/>
          <w:szCs w:val="32"/>
        </w:rPr>
        <w:t xml:space="preserve">第四十二条　</w:t>
      </w:r>
      <w:r w:rsidR="00CA1744">
        <w:rPr>
          <w:rFonts w:ascii="仿宋" w:hAnsi="仿宋" w:cs="仿宋" w:hint="eastAsia"/>
          <w:szCs w:val="32"/>
        </w:rPr>
        <w:t>实施老旧厂房更新改造，发展与街区功能定位相适应的产业</w:t>
      </w:r>
      <w:proofErr w:type="gramStart"/>
      <w:r w:rsidR="00CA1744">
        <w:rPr>
          <w:rFonts w:ascii="仿宋" w:hAnsi="仿宋" w:cs="仿宋" w:hint="eastAsia"/>
          <w:szCs w:val="32"/>
        </w:rPr>
        <w:t>业</w:t>
      </w:r>
      <w:proofErr w:type="gramEnd"/>
      <w:r w:rsidR="00CA1744">
        <w:rPr>
          <w:rFonts w:ascii="仿宋" w:hAnsi="仿宋" w:cs="仿宋" w:hint="eastAsia"/>
          <w:szCs w:val="32"/>
        </w:rPr>
        <w:t>态，</w:t>
      </w:r>
      <w:r w:rsidR="00CA1744">
        <w:rPr>
          <w:rFonts w:hint="eastAsia"/>
          <w:szCs w:val="32"/>
        </w:rPr>
        <w:t>补充公共服务设施，补齐城市功能短板，发展高精尖产业</w:t>
      </w:r>
      <w:r w:rsidR="00CA1744">
        <w:rPr>
          <w:rFonts w:ascii="仿宋" w:hAnsi="仿宋" w:cs="仿宋" w:hint="eastAsia"/>
          <w:szCs w:val="32"/>
        </w:rPr>
        <w:t>。</w:t>
      </w:r>
    </w:p>
    <w:p w:rsidR="00A62746" w:rsidRDefault="00CA1744">
      <w:pPr>
        <w:autoSpaceDE w:val="0"/>
        <w:autoSpaceDN w:val="0"/>
        <w:adjustRightInd w:val="0"/>
        <w:ind w:firstLine="640"/>
        <w:jc w:val="left"/>
        <w:rPr>
          <w:rFonts w:ascii="仿宋" w:hAnsi="仿宋" w:cs="仿宋"/>
          <w:szCs w:val="32"/>
        </w:rPr>
      </w:pPr>
      <w:r>
        <w:rPr>
          <w:rFonts w:ascii="仿宋" w:hAnsi="仿宋" w:cs="仿宋" w:hint="eastAsia"/>
          <w:szCs w:val="32"/>
        </w:rPr>
        <w:t>对于已开工或完工的，因手续缺失尚未办理消防验收等手续的老旧厂房改造项目，可参照新建项目补办相关手续。</w:t>
      </w:r>
    </w:p>
    <w:p w:rsidR="00A62746" w:rsidRDefault="00CA1744">
      <w:pPr>
        <w:pStyle w:val="a0"/>
        <w:ind w:firstLine="640"/>
      </w:pPr>
      <w:r>
        <w:rPr>
          <w:rFonts w:hint="eastAsia"/>
        </w:rPr>
        <w:t>在符合设计要求、保障建筑安全的基础上，可以合理利用厂房空间进行加层改造。</w:t>
      </w:r>
    </w:p>
    <w:p w:rsidR="00A62746" w:rsidRDefault="00734613">
      <w:pPr>
        <w:autoSpaceDE w:val="0"/>
        <w:autoSpaceDN w:val="0"/>
        <w:adjustRightInd w:val="0"/>
        <w:ind w:firstLine="640"/>
        <w:jc w:val="left"/>
        <w:rPr>
          <w:rFonts w:ascii="仿宋" w:hAnsi="仿宋" w:cs="仿宋"/>
          <w:szCs w:val="32"/>
        </w:rPr>
      </w:pPr>
      <w:r>
        <w:rPr>
          <w:rFonts w:ascii="仿宋" w:hAnsi="仿宋" w:cs="仿宋" w:hint="eastAsia"/>
          <w:szCs w:val="32"/>
        </w:rPr>
        <w:t xml:space="preserve">第四十三条　</w:t>
      </w:r>
      <w:r w:rsidR="00CA1744">
        <w:rPr>
          <w:rFonts w:ascii="仿宋" w:hAnsi="仿宋" w:cs="仿宋" w:hint="eastAsia"/>
          <w:szCs w:val="32"/>
        </w:rPr>
        <w:t>实施低效产业园区更新，推动传统产业转型升级，发展新产业、新业态，聚集创新资源、培育新兴产业，完善产业园区配套设施。</w:t>
      </w:r>
    </w:p>
    <w:p w:rsidR="00A62746" w:rsidRDefault="00CA1744">
      <w:pPr>
        <w:autoSpaceDE w:val="0"/>
        <w:autoSpaceDN w:val="0"/>
        <w:adjustRightInd w:val="0"/>
        <w:ind w:firstLine="640"/>
        <w:jc w:val="left"/>
        <w:rPr>
          <w:rFonts w:ascii="仿宋" w:hAnsi="仿宋" w:cs="仿宋"/>
          <w:color w:val="FF0000"/>
          <w:szCs w:val="32"/>
        </w:rPr>
      </w:pPr>
      <w:r>
        <w:rPr>
          <w:rFonts w:ascii="仿宋" w:hAnsi="仿宋" w:cs="仿宋" w:hint="eastAsia"/>
          <w:szCs w:val="32"/>
        </w:rPr>
        <w:lastRenderedPageBreak/>
        <w:t>区人民政府应当建立产业园区分级分类认定标准，将产业类型、投资强度、产出效率、创新能力、节能环保等要求，作为产业园区土地供应的前置条件。区</w:t>
      </w:r>
      <w:r w:rsidR="00734613">
        <w:rPr>
          <w:rFonts w:ascii="仿宋" w:hAnsi="仿宋" w:cs="仿宋" w:hint="eastAsia"/>
          <w:szCs w:val="32"/>
        </w:rPr>
        <w:t>人民</w:t>
      </w:r>
      <w:r>
        <w:rPr>
          <w:rFonts w:ascii="仿宋" w:hAnsi="仿宋" w:cs="仿宋" w:hint="eastAsia"/>
          <w:szCs w:val="32"/>
        </w:rPr>
        <w:t>政府组织与产权主体及实施主体签订履约监管协议，约定违约时的土地收回方式，作为建设用地有偿使用合同的附件。对于未达到履约监管协议约定条件的，区</w:t>
      </w:r>
      <w:r w:rsidR="00734613">
        <w:rPr>
          <w:rFonts w:ascii="仿宋" w:hAnsi="仿宋" w:cs="仿宋" w:hint="eastAsia"/>
          <w:szCs w:val="32"/>
        </w:rPr>
        <w:t>人民</w:t>
      </w:r>
      <w:r>
        <w:rPr>
          <w:rFonts w:ascii="仿宋" w:hAnsi="仿宋" w:cs="仿宋" w:hint="eastAsia"/>
          <w:szCs w:val="32"/>
        </w:rPr>
        <w:t xml:space="preserve">政府应当按照约定收回建设用地使用权。　</w:t>
      </w:r>
    </w:p>
    <w:p w:rsidR="00A62746" w:rsidRDefault="00734613">
      <w:pPr>
        <w:pStyle w:val="a0"/>
        <w:ind w:firstLine="640"/>
      </w:pPr>
      <w:r>
        <w:rPr>
          <w:rFonts w:hint="eastAsia"/>
        </w:rPr>
        <w:t xml:space="preserve">第四十四条　</w:t>
      </w:r>
      <w:r w:rsidR="00CA1744">
        <w:rPr>
          <w:rFonts w:hint="eastAsia"/>
        </w:rPr>
        <w:t>实施老旧低效楼宇更新。</w:t>
      </w:r>
      <w:proofErr w:type="gramStart"/>
      <w:r w:rsidR="00CA1744">
        <w:rPr>
          <w:rFonts w:hint="eastAsia"/>
        </w:rPr>
        <w:t>优化业</w:t>
      </w:r>
      <w:proofErr w:type="gramEnd"/>
      <w:r w:rsidR="00CA1744">
        <w:rPr>
          <w:rFonts w:hint="eastAsia"/>
        </w:rPr>
        <w:t>态结构、完善建筑安全和使用功能、提升空间品质、提高服务水平，拓展新场景、挖掘新消费潜力、提升城市活力，提高智能化水平、满足现代商务办公需求，促进国际消费中心城市和智慧城市建设。</w:t>
      </w:r>
    </w:p>
    <w:p w:rsidR="00A62746" w:rsidRPr="00734613" w:rsidRDefault="00CA1744">
      <w:pPr>
        <w:pStyle w:val="a0"/>
        <w:ind w:firstLine="640"/>
      </w:pPr>
      <w:r>
        <w:rPr>
          <w:rFonts w:hint="eastAsia"/>
        </w:rPr>
        <w:t>对存在安全隐患或严重抗震安全隐患</w:t>
      </w:r>
      <w:r w:rsidRPr="00734613">
        <w:rPr>
          <w:rFonts w:hint="eastAsia"/>
        </w:rPr>
        <w:t>、以及节能水平严重不符合本市标准的，物业权利人应当及时进行更新。相关物业权利人没有能力更新的，可以向区人民政府申请收购建筑物所有权、退回土地使用权，由区人民政府组织更新。</w:t>
      </w:r>
    </w:p>
    <w:p w:rsidR="00A62746" w:rsidRPr="00734613" w:rsidRDefault="00CA1744">
      <w:pPr>
        <w:widowControl w:val="0"/>
        <w:ind w:firstLine="640"/>
        <w:jc w:val="left"/>
      </w:pPr>
      <w:r w:rsidRPr="00734613">
        <w:rPr>
          <w:rFonts w:hint="eastAsia"/>
        </w:rPr>
        <w:t>在同一建筑中允许不同功能用途相互混合，在符合相关安全等规定的条件下，可在商业、商务办公建筑内安排文化、体育、教育、医疗、社会福利、宿舍居住等功能。</w:t>
      </w:r>
    </w:p>
    <w:p w:rsidR="00A62746" w:rsidRPr="00734613" w:rsidRDefault="00734613">
      <w:pPr>
        <w:ind w:firstLine="640"/>
      </w:pPr>
      <w:r w:rsidRPr="00734613">
        <w:rPr>
          <w:rFonts w:hint="eastAsia"/>
        </w:rPr>
        <w:t xml:space="preserve">第四十五条　</w:t>
      </w:r>
      <w:r w:rsidR="00CA1744" w:rsidRPr="00734613">
        <w:rPr>
          <w:rFonts w:hint="eastAsia"/>
        </w:rPr>
        <w:t>实施老旧、闲置公共服务设施的更新改造。鼓励利用存量资源改造为公共服务设施和便民服务设施，按照民生需求优化功能、丰富供给，提升公共服务设施的服务能力与品质。</w:t>
      </w:r>
    </w:p>
    <w:p w:rsidR="00A62746" w:rsidRPr="00734613" w:rsidRDefault="00CA1744">
      <w:pPr>
        <w:ind w:firstLine="640"/>
      </w:pPr>
      <w:bookmarkStart w:id="427" w:name="_Toc100322827"/>
      <w:bookmarkStart w:id="428" w:name="_Toc100259746"/>
      <w:bookmarkStart w:id="429" w:name="_Toc100305893"/>
      <w:bookmarkStart w:id="430" w:name="_Toc100354895"/>
      <w:bookmarkStart w:id="431" w:name="_Toc100304964"/>
      <w:bookmarkEnd w:id="427"/>
      <w:bookmarkEnd w:id="428"/>
      <w:bookmarkEnd w:id="429"/>
      <w:bookmarkEnd w:id="430"/>
      <w:bookmarkEnd w:id="431"/>
      <w:r w:rsidRPr="00734613">
        <w:rPr>
          <w:rFonts w:hint="eastAsia"/>
        </w:rPr>
        <w:lastRenderedPageBreak/>
        <w:t>实施老旧交通设施的更新改造。结合城市更新活动完善道路网络，补足交通设施短板，强化轨道交通一体化建设、鼓励场站复合利用，促进绿色交通设施改造，提升智慧交通建设水平。</w:t>
      </w:r>
    </w:p>
    <w:p w:rsidR="00A62746" w:rsidRPr="00734613" w:rsidRDefault="00CA1744">
      <w:pPr>
        <w:ind w:firstLine="640"/>
      </w:pPr>
      <w:r w:rsidRPr="00734613">
        <w:rPr>
          <w:rFonts w:hint="eastAsia"/>
        </w:rPr>
        <w:t>实施老旧市政基础设施的更新改造。推进综合管廊建设，完善市政供给体系，提升可持续支撑能力。加强市政系统承载能力、安全水平，加快信息化建设，推进基础设施高质量发展、功能融合以及绿色低碳能源转型。</w:t>
      </w:r>
    </w:p>
    <w:p w:rsidR="00A62746" w:rsidRPr="00734613" w:rsidRDefault="00CA1744">
      <w:pPr>
        <w:pStyle w:val="a0"/>
        <w:ind w:firstLine="640"/>
      </w:pPr>
      <w:r w:rsidRPr="00734613">
        <w:rPr>
          <w:rFonts w:hint="eastAsia"/>
        </w:rPr>
        <w:t>建立市政专业整合工作推进机制，统筹道路施工和地下管线建设，形成配套道路、随路管线、厂站源头等设施内外衔接、梯级配置、联合保障。新建道路的地下管线工程原则上应随同新建道路工程同步办理立项、规划和施工许可。</w:t>
      </w:r>
    </w:p>
    <w:p w:rsidR="00A62746" w:rsidRPr="00734613" w:rsidRDefault="00CA1744">
      <w:pPr>
        <w:pStyle w:val="a0"/>
        <w:ind w:firstLine="640"/>
      </w:pPr>
      <w:r w:rsidRPr="00734613">
        <w:rPr>
          <w:rFonts w:hint="eastAsia"/>
        </w:rPr>
        <w:t>实施老旧公共安全设施更新改造，加强首都安全保障，多</w:t>
      </w:r>
      <w:proofErr w:type="gramStart"/>
      <w:r w:rsidRPr="00734613">
        <w:rPr>
          <w:rFonts w:hint="eastAsia"/>
        </w:rPr>
        <w:t>措</w:t>
      </w:r>
      <w:proofErr w:type="gramEnd"/>
      <w:r w:rsidRPr="00734613">
        <w:rPr>
          <w:rFonts w:hint="eastAsia"/>
        </w:rPr>
        <w:t>并举提高城市韧性，切实提高城市应对多风险叠加能力，确保首都持续安全稳定。</w:t>
      </w:r>
    </w:p>
    <w:p w:rsidR="00A62746" w:rsidRDefault="00CA1744">
      <w:pPr>
        <w:pStyle w:val="a0"/>
        <w:ind w:firstLine="640"/>
      </w:pPr>
      <w:r w:rsidRPr="00734613">
        <w:rPr>
          <w:rFonts w:hint="eastAsia"/>
        </w:rPr>
        <w:t>集体经营性建设用地上的城市更新项目，用地范围内为本项目服务的配套公共服务设施、道路和市政设施，可采取占地方式建设，由相关单位接收并实施监督管理，确保按规划用途使用。</w:t>
      </w:r>
    </w:p>
    <w:p w:rsidR="00A62746" w:rsidRDefault="00734613">
      <w:pPr>
        <w:ind w:firstLine="640"/>
        <w:rPr>
          <w:szCs w:val="32"/>
        </w:rPr>
      </w:pPr>
      <w:bookmarkStart w:id="432" w:name="_Toc101008178"/>
      <w:bookmarkStart w:id="433" w:name="_Toc101007840"/>
      <w:bookmarkStart w:id="434" w:name="_Toc663141322"/>
      <w:bookmarkStart w:id="435" w:name="_Toc176396253"/>
      <w:bookmarkStart w:id="436" w:name="_Toc882682000"/>
      <w:bookmarkStart w:id="437" w:name="_Toc1527547375"/>
      <w:bookmarkStart w:id="438" w:name="_Toc151384894"/>
      <w:bookmarkStart w:id="439" w:name="_Toc11070"/>
      <w:bookmarkStart w:id="440" w:name="_Toc81484763"/>
      <w:bookmarkStart w:id="441" w:name="_Toc734242016"/>
      <w:bookmarkStart w:id="442" w:name="_Toc81486334"/>
      <w:bookmarkStart w:id="443" w:name="_Toc97901697"/>
      <w:bookmarkStart w:id="444" w:name="_Toc81486458"/>
      <w:bookmarkEnd w:id="403"/>
      <w:bookmarkEnd w:id="404"/>
      <w:bookmarkEnd w:id="405"/>
      <w:bookmarkEnd w:id="406"/>
      <w:bookmarkEnd w:id="407"/>
      <w:bookmarkEnd w:id="408"/>
      <w:bookmarkEnd w:id="409"/>
      <w:bookmarkEnd w:id="426"/>
      <w:bookmarkEnd w:id="432"/>
      <w:bookmarkEnd w:id="433"/>
      <w:r>
        <w:rPr>
          <w:rFonts w:hint="eastAsia"/>
          <w:szCs w:val="32"/>
        </w:rPr>
        <w:t xml:space="preserve">第四十六条　</w:t>
      </w:r>
      <w:r w:rsidR="00CA1744">
        <w:rPr>
          <w:rFonts w:hint="eastAsia"/>
          <w:szCs w:val="32"/>
        </w:rPr>
        <w:t>实施老旧公共空间的更新改造，以绿色空间、滨水空间、慢行系统、边角地、插花地、</w:t>
      </w:r>
      <w:proofErr w:type="gramStart"/>
      <w:r w:rsidR="00CA1744">
        <w:rPr>
          <w:rFonts w:hint="eastAsia"/>
          <w:szCs w:val="32"/>
        </w:rPr>
        <w:t>夹心地</w:t>
      </w:r>
      <w:proofErr w:type="gramEnd"/>
      <w:r w:rsidR="00CA1744">
        <w:rPr>
          <w:rFonts w:hint="eastAsia"/>
          <w:szCs w:val="32"/>
        </w:rPr>
        <w:t>等为对象，提升精细</w:t>
      </w:r>
      <w:proofErr w:type="gramStart"/>
      <w:r w:rsidR="00CA1744">
        <w:rPr>
          <w:rFonts w:hint="eastAsia"/>
          <w:szCs w:val="32"/>
        </w:rPr>
        <w:t>化治理</w:t>
      </w:r>
      <w:proofErr w:type="gramEnd"/>
      <w:r w:rsidR="00CA1744">
        <w:rPr>
          <w:rFonts w:hint="eastAsia"/>
          <w:szCs w:val="32"/>
        </w:rPr>
        <w:t>水平，改善环境品质与风貌特色。</w:t>
      </w:r>
    </w:p>
    <w:bookmarkEnd w:id="434"/>
    <w:p w:rsidR="00A62746" w:rsidRDefault="00CA1744">
      <w:pPr>
        <w:pStyle w:val="a0"/>
        <w:ind w:firstLine="640"/>
      </w:pPr>
      <w:r>
        <w:rPr>
          <w:rFonts w:hint="eastAsia"/>
        </w:rPr>
        <w:lastRenderedPageBreak/>
        <w:t>实施居住类、产业类城市更新项目时，可将边角地</w:t>
      </w:r>
      <w:r w:rsidR="00B52045">
        <w:rPr>
          <w:rFonts w:hint="eastAsia"/>
        </w:rPr>
        <w:t>、</w:t>
      </w:r>
      <w:r>
        <w:rPr>
          <w:rFonts w:hint="eastAsia"/>
        </w:rPr>
        <w:t>插花地同步纳入相关更新规划，并同步组织实施。鼓励社会投资主体一体实施相邻公共空间更新。</w:t>
      </w:r>
    </w:p>
    <w:p w:rsidR="00A62746" w:rsidRDefault="00CA1744">
      <w:pPr>
        <w:pStyle w:val="a0"/>
        <w:ind w:firstLine="640"/>
      </w:pPr>
      <w:r>
        <w:rPr>
          <w:rFonts w:hint="eastAsia"/>
        </w:rPr>
        <w:t>公共空间类更新项目由项目所在地街道办事处、乡镇人民政府或其授权的单位担任实施主体。相关专业部门、公共服务企业予以专项支持，企业可通过提供专业化物业服务、作为实施主体等方式参与公共空间改造，实现公共空间长期运营。</w:t>
      </w:r>
    </w:p>
    <w:p w:rsidR="00A62746" w:rsidRDefault="001F31A3">
      <w:pPr>
        <w:ind w:firstLine="640"/>
      </w:pPr>
      <w:r>
        <w:rPr>
          <w:rFonts w:hint="eastAsia"/>
        </w:rPr>
        <w:t xml:space="preserve">第四十七条　</w:t>
      </w:r>
      <w:r w:rsidR="00CA1744">
        <w:rPr>
          <w:rFonts w:hint="eastAsia"/>
        </w:rPr>
        <w:t>推动街区更新，整合街区各类空间资源，补短板、强弱项，统筹推进居住类、产业类、设施类、公共空间类更新改造，促进生活空间改善提升、生产空间提质增效，加强街区城市修补和生态修复。</w:t>
      </w:r>
    </w:p>
    <w:p w:rsidR="00A62746" w:rsidRDefault="00CA1744">
      <w:pPr>
        <w:ind w:firstLine="640"/>
      </w:pPr>
      <w:r>
        <w:rPr>
          <w:rFonts w:hint="eastAsia"/>
        </w:rPr>
        <w:t>推动轨道交通场站及周边存量建筑一体化更新。推进场站用地综合利用，实现轨道交通与城市更新有机融合，带动周边存量资源提质增效，促进场站与周边商业、办公、居住等功能融合，补充公共服务设施。</w:t>
      </w:r>
    </w:p>
    <w:p w:rsidR="00A62746" w:rsidRDefault="00CA1744">
      <w:pPr>
        <w:ind w:firstLine="640"/>
      </w:pPr>
      <w:r>
        <w:rPr>
          <w:rFonts w:hint="eastAsia"/>
        </w:rPr>
        <w:t>推动重大项目及周边地区更新。本市重大项目建设时，应当梳理周边地区功能及配套设施短板，提出更新改造范围和内容，推动周边地区老旧楼宇与传统商圈、老旧厂房与低效产业园区提质增效，促进公共空间与公共设施品质提升。</w:t>
      </w:r>
      <w:bookmarkStart w:id="445" w:name="_Toc101521649"/>
      <w:bookmarkStart w:id="446" w:name="_Toc101530570"/>
      <w:bookmarkStart w:id="447" w:name="_Toc26165"/>
      <w:bookmarkStart w:id="448" w:name="_Toc81484767"/>
      <w:bookmarkStart w:id="449" w:name="_Toc81486462"/>
      <w:bookmarkStart w:id="450" w:name="_Toc97901699"/>
      <w:bookmarkStart w:id="451" w:name="_Toc81486338"/>
      <w:bookmarkStart w:id="452" w:name="_Toc1062378879"/>
      <w:bookmarkStart w:id="453" w:name="_Toc81486479"/>
      <w:bookmarkStart w:id="454" w:name="_Toc81486355"/>
      <w:bookmarkStart w:id="455" w:name="_Toc235611329"/>
      <w:bookmarkStart w:id="456" w:name="_Toc81486460"/>
      <w:bookmarkStart w:id="457" w:name="_Toc81484805"/>
      <w:bookmarkStart w:id="458" w:name="_Toc81484765"/>
      <w:bookmarkStart w:id="459" w:name="_Toc81486336"/>
      <w:bookmarkEnd w:id="445"/>
      <w:bookmarkEnd w:id="446"/>
    </w:p>
    <w:p w:rsidR="00A62746" w:rsidRPr="00676F1A" w:rsidRDefault="00CA1744">
      <w:pPr>
        <w:pStyle w:val="1"/>
        <w:rPr>
          <w:rFonts w:ascii="仿宋" w:eastAsia="仿宋" w:hAnsi="仿宋" w:cs="Arial"/>
          <w:bCs/>
          <w:iCs/>
          <w:kern w:val="0"/>
        </w:rPr>
      </w:pPr>
      <w:bookmarkStart w:id="460" w:name="_Toc1589203223"/>
      <w:bookmarkEnd w:id="447"/>
      <w:bookmarkEnd w:id="448"/>
      <w:bookmarkEnd w:id="449"/>
      <w:bookmarkEnd w:id="450"/>
      <w:bookmarkEnd w:id="451"/>
      <w:bookmarkEnd w:id="452"/>
      <w:bookmarkEnd w:id="453"/>
      <w:bookmarkEnd w:id="454"/>
      <w:bookmarkEnd w:id="455"/>
      <w:bookmarkEnd w:id="456"/>
      <w:bookmarkEnd w:id="457"/>
      <w:bookmarkEnd w:id="458"/>
      <w:bookmarkEnd w:id="459"/>
      <w:r w:rsidRPr="00676F1A">
        <w:rPr>
          <w:rFonts w:ascii="仿宋" w:eastAsia="仿宋" w:hAnsi="仿宋" w:cs="Arial" w:hint="eastAsia"/>
          <w:bCs/>
          <w:iCs/>
          <w:kern w:val="0"/>
        </w:rPr>
        <w:t>第二节  项目实施与管理</w:t>
      </w:r>
      <w:bookmarkEnd w:id="460"/>
    </w:p>
    <w:bookmarkEnd w:id="435"/>
    <w:p w:rsidR="00A62746" w:rsidRDefault="00676F1A">
      <w:pPr>
        <w:pStyle w:val="a0"/>
        <w:ind w:firstLine="640"/>
      </w:pPr>
      <w:r>
        <w:rPr>
          <w:rFonts w:hint="eastAsia"/>
        </w:rPr>
        <w:lastRenderedPageBreak/>
        <w:t xml:space="preserve">第四十八条　</w:t>
      </w:r>
      <w:r w:rsidR="00CA1744">
        <w:rPr>
          <w:rFonts w:hint="eastAsia"/>
        </w:rPr>
        <w:t>建立市、区城市更新项目库，实行城市更新项目常态申报和动态调整机制，具备实施条件的项目纳入城市更新计划。</w:t>
      </w:r>
    </w:p>
    <w:bookmarkEnd w:id="436"/>
    <w:p w:rsidR="00A62746" w:rsidRDefault="00676F1A">
      <w:pPr>
        <w:ind w:firstLine="640"/>
      </w:pPr>
      <w:r>
        <w:rPr>
          <w:rFonts w:hint="eastAsia"/>
        </w:rPr>
        <w:t xml:space="preserve">第四十九条　</w:t>
      </w:r>
      <w:r w:rsidR="00CA1744">
        <w:rPr>
          <w:rFonts w:hint="eastAsia"/>
        </w:rPr>
        <w:t>实施主体编制城市更新项目实施方案时，应当进行现状评估、房屋建筑性能评估、消防安全评估、更新需求征询、资源整合等工作，并报区城市更新主管部门。</w:t>
      </w:r>
    </w:p>
    <w:p w:rsidR="00A62746" w:rsidRDefault="00CA1744">
      <w:pPr>
        <w:ind w:firstLine="640"/>
      </w:pPr>
      <w:r>
        <w:rPr>
          <w:rFonts w:hint="eastAsia"/>
        </w:rPr>
        <w:t>项目实施方案应结合实际情况，明确更新范围、内容、方式及建筑规模、使用功能、设计方案、建设计划、土地取得方式、市政基础设施和公共服务设施建设、成本测算、资金筹措方式、运营管理模式、产权办理等内容。</w:t>
      </w:r>
    </w:p>
    <w:p w:rsidR="00A62746" w:rsidRDefault="00CA1744">
      <w:pPr>
        <w:pStyle w:val="a0"/>
        <w:ind w:firstLine="640"/>
      </w:pPr>
      <w:r>
        <w:rPr>
          <w:rFonts w:hint="eastAsia"/>
        </w:rPr>
        <w:t>更新项目使用土地过渡期政策的，应当在实施方案中明确过渡期满或转让时的建设用地使用权配置方式、土地使用年期、土地价款评估标准等内容。</w:t>
      </w:r>
    </w:p>
    <w:p w:rsidR="00A62746" w:rsidRDefault="00CA1744">
      <w:pPr>
        <w:ind w:firstLine="640"/>
        <w:rPr>
          <w:szCs w:val="32"/>
        </w:rPr>
      </w:pPr>
      <w:bookmarkStart w:id="461" w:name="_Toc97901691"/>
      <w:bookmarkStart w:id="462" w:name="_Toc1684162058"/>
      <w:bookmarkStart w:id="463" w:name="_Toc835626129"/>
      <w:bookmarkStart w:id="464" w:name="_Toc28917"/>
      <w:r>
        <w:rPr>
          <w:rFonts w:hint="eastAsia"/>
          <w:szCs w:val="32"/>
        </w:rPr>
        <w:t>更新项目涉及多个物业权利人的，实施主体应当按照本条例规定与相关物业权利人充分协商，项目实施方案应当按照《民法典》规定经表决通过。</w:t>
      </w:r>
    </w:p>
    <w:bookmarkEnd w:id="461"/>
    <w:bookmarkEnd w:id="462"/>
    <w:bookmarkEnd w:id="463"/>
    <w:bookmarkEnd w:id="464"/>
    <w:p w:rsidR="00A62746" w:rsidRDefault="00676F1A">
      <w:pPr>
        <w:ind w:firstLine="640"/>
        <w:rPr>
          <w:szCs w:val="32"/>
        </w:rPr>
      </w:pPr>
      <w:r>
        <w:rPr>
          <w:rFonts w:hint="eastAsia"/>
        </w:rPr>
        <w:t xml:space="preserve">第五十条　</w:t>
      </w:r>
      <w:r w:rsidR="00CA1744">
        <w:rPr>
          <w:rFonts w:hint="eastAsia"/>
        </w:rPr>
        <w:t>项目实施方案由区</w:t>
      </w:r>
      <w:r w:rsidR="00E54FB8">
        <w:rPr>
          <w:rFonts w:hint="eastAsia"/>
        </w:rPr>
        <w:t>人民</w:t>
      </w:r>
      <w:r w:rsidR="00CA1744">
        <w:rPr>
          <w:rFonts w:hint="eastAsia"/>
        </w:rPr>
        <w:t>政府组织区相关行业主管部门进行联合审查。审查通过的，由区城市更新主管部门会同相关行业主管部门出具相关意见，并在城市更新信息系统上公示，公示时间不得少于十个工作日。</w:t>
      </w:r>
    </w:p>
    <w:p w:rsidR="00A62746" w:rsidRDefault="00CA1744">
      <w:pPr>
        <w:ind w:firstLine="640"/>
        <w:rPr>
          <w:szCs w:val="32"/>
        </w:rPr>
      </w:pPr>
      <w:r>
        <w:rPr>
          <w:rFonts w:hint="eastAsia"/>
          <w:szCs w:val="32"/>
        </w:rPr>
        <w:t>对项目实施方案应重点审核以下内容：</w:t>
      </w:r>
    </w:p>
    <w:p w:rsidR="00A62746" w:rsidRDefault="00CA1744">
      <w:pPr>
        <w:ind w:firstLine="640"/>
        <w:rPr>
          <w:szCs w:val="32"/>
        </w:rPr>
      </w:pPr>
      <w:r>
        <w:rPr>
          <w:rFonts w:hint="eastAsia"/>
          <w:szCs w:val="32"/>
        </w:rPr>
        <w:t>（一）物业权利人对项目实施方案的表决情况；</w:t>
      </w:r>
    </w:p>
    <w:p w:rsidR="00A62746" w:rsidRDefault="00CA1744">
      <w:pPr>
        <w:ind w:firstLine="640"/>
        <w:rPr>
          <w:szCs w:val="32"/>
        </w:rPr>
      </w:pPr>
      <w:r>
        <w:rPr>
          <w:rFonts w:hint="eastAsia"/>
          <w:szCs w:val="32"/>
        </w:rPr>
        <w:t>（二）项目实施方案的建筑规模、主体结构、使用用途调整等情况是否符合相关规划；</w:t>
      </w:r>
    </w:p>
    <w:p w:rsidR="00A62746" w:rsidRDefault="00CA1744">
      <w:pPr>
        <w:ind w:firstLine="640"/>
        <w:rPr>
          <w:szCs w:val="32"/>
        </w:rPr>
      </w:pPr>
      <w:r>
        <w:rPr>
          <w:rFonts w:hint="eastAsia"/>
          <w:szCs w:val="32"/>
        </w:rPr>
        <w:lastRenderedPageBreak/>
        <w:t>（三）现状评估、房屋建筑性能评估等工作情况；</w:t>
      </w:r>
    </w:p>
    <w:p w:rsidR="00A62746" w:rsidRDefault="00CA1744">
      <w:pPr>
        <w:ind w:firstLine="640"/>
        <w:rPr>
          <w:szCs w:val="32"/>
        </w:rPr>
      </w:pPr>
      <w:r>
        <w:rPr>
          <w:rFonts w:hint="eastAsia"/>
          <w:szCs w:val="32"/>
        </w:rPr>
        <w:t>（四）项目资金和用地保障情况；</w:t>
      </w:r>
    </w:p>
    <w:p w:rsidR="00A62746" w:rsidRDefault="00CA1744">
      <w:pPr>
        <w:ind w:firstLine="640"/>
        <w:rPr>
          <w:szCs w:val="32"/>
        </w:rPr>
      </w:pPr>
      <w:r>
        <w:rPr>
          <w:rFonts w:hint="eastAsia"/>
          <w:szCs w:val="32"/>
        </w:rPr>
        <w:t>（五）专业技术评价、更新改造空间利用及运营情况；</w:t>
      </w:r>
    </w:p>
    <w:p w:rsidR="00A62746" w:rsidRDefault="00CA1744">
      <w:pPr>
        <w:pStyle w:val="a0"/>
        <w:ind w:firstLine="640"/>
      </w:pPr>
      <w:r>
        <w:rPr>
          <w:rFonts w:hint="eastAsia"/>
        </w:rPr>
        <w:t>（六）是否符合城市更新规划和</w:t>
      </w:r>
      <w:proofErr w:type="gramStart"/>
      <w:r>
        <w:rPr>
          <w:rFonts w:hint="eastAsia"/>
        </w:rPr>
        <w:t>导则</w:t>
      </w:r>
      <w:proofErr w:type="gramEnd"/>
      <w:r>
        <w:rPr>
          <w:rFonts w:hint="eastAsia"/>
        </w:rPr>
        <w:t>相关要求；</w:t>
      </w:r>
    </w:p>
    <w:p w:rsidR="00A62746" w:rsidRDefault="00CA1744">
      <w:pPr>
        <w:ind w:firstLine="640"/>
      </w:pPr>
      <w:r>
        <w:rPr>
          <w:rFonts w:hint="eastAsia"/>
        </w:rPr>
        <w:t>（七）是否符合本条例第十六条相关要求。</w:t>
      </w:r>
    </w:p>
    <w:p w:rsidR="00A62746" w:rsidRDefault="00E54FB8">
      <w:pPr>
        <w:pStyle w:val="a0"/>
        <w:ind w:firstLine="640"/>
      </w:pPr>
      <w:r>
        <w:rPr>
          <w:rFonts w:hint="eastAsia"/>
        </w:rPr>
        <w:t xml:space="preserve">第五十一条　</w:t>
      </w:r>
      <w:r w:rsidR="00CA1744">
        <w:rPr>
          <w:rFonts w:hint="eastAsia"/>
        </w:rPr>
        <w:t>政府投资为主的城市更新项目，可由区</w:t>
      </w:r>
      <w:r>
        <w:rPr>
          <w:rFonts w:hint="eastAsia"/>
        </w:rPr>
        <w:t>人民</w:t>
      </w:r>
      <w:r w:rsidR="00CA1744">
        <w:rPr>
          <w:rFonts w:hint="eastAsia"/>
        </w:rPr>
        <w:t>政府或实施主体将相同、相近类型项目或同</w:t>
      </w:r>
      <w:proofErr w:type="gramStart"/>
      <w:r w:rsidR="00CA1744">
        <w:rPr>
          <w:rFonts w:hint="eastAsia"/>
        </w:rPr>
        <w:t>一实施</w:t>
      </w:r>
      <w:proofErr w:type="gramEnd"/>
      <w:r w:rsidR="00CA1744">
        <w:rPr>
          <w:rFonts w:hint="eastAsia"/>
        </w:rPr>
        <w:t>单元内</w:t>
      </w:r>
      <w:r>
        <w:rPr>
          <w:rFonts w:hint="eastAsia"/>
        </w:rPr>
        <w:t>的项目</w:t>
      </w:r>
      <w:r w:rsidR="00CA1744">
        <w:rPr>
          <w:rFonts w:hint="eastAsia"/>
        </w:rPr>
        <w:t>合并招标，统一设计。</w:t>
      </w:r>
    </w:p>
    <w:p w:rsidR="00A62746" w:rsidRDefault="00CA1744">
      <w:pPr>
        <w:pStyle w:val="a0"/>
        <w:ind w:firstLine="640"/>
      </w:pPr>
      <w:r>
        <w:rPr>
          <w:rFonts w:hint="eastAsia"/>
        </w:rPr>
        <w:t>根据项目实际情况，区</w:t>
      </w:r>
      <w:r w:rsidR="00E54FB8">
        <w:rPr>
          <w:rFonts w:hint="eastAsia"/>
        </w:rPr>
        <w:t>人民</w:t>
      </w:r>
      <w:r>
        <w:rPr>
          <w:rFonts w:hint="eastAsia"/>
        </w:rPr>
        <w:t>政府或实施主体可在项目纳入城市更新计划后或在项目主体、招标内容和资金来源等基本明确的前提下，在编制实施方案阶段先期开展勘察设计招标等工作。鼓励中小企业和事务所积极承接更新项目。</w:t>
      </w:r>
    </w:p>
    <w:p w:rsidR="00A62746" w:rsidRDefault="00E54FB8">
      <w:pPr>
        <w:ind w:firstLine="640"/>
        <w:rPr>
          <w:szCs w:val="32"/>
        </w:rPr>
      </w:pPr>
      <w:r>
        <w:rPr>
          <w:rFonts w:hint="eastAsia"/>
          <w:szCs w:val="32"/>
        </w:rPr>
        <w:t xml:space="preserve">第五十二条　</w:t>
      </w:r>
      <w:r w:rsidR="00CA1744">
        <w:rPr>
          <w:rFonts w:hint="eastAsia"/>
          <w:szCs w:val="32"/>
        </w:rPr>
        <w:t>项目实施主体依据审查通过的项目实施方案申请办理投资、土地、规划、建设等行政许可</w:t>
      </w:r>
      <w:r>
        <w:rPr>
          <w:rFonts w:hint="eastAsia"/>
          <w:szCs w:val="32"/>
        </w:rPr>
        <w:t>或备案</w:t>
      </w:r>
      <w:r w:rsidR="00CA1744">
        <w:rPr>
          <w:rFonts w:hint="eastAsia"/>
          <w:szCs w:val="32"/>
        </w:rPr>
        <w:t>，各主管部门应当实行联合审批。</w:t>
      </w:r>
    </w:p>
    <w:p w:rsidR="00A62746" w:rsidRDefault="00CA1744">
      <w:pPr>
        <w:ind w:firstLine="640"/>
        <w:rPr>
          <w:szCs w:val="32"/>
        </w:rPr>
      </w:pPr>
      <w:r>
        <w:rPr>
          <w:rFonts w:hint="eastAsia"/>
        </w:rPr>
        <w:t>经审查通过的项目实施方案中载明的实施主体可认定为项目建设单位。</w:t>
      </w:r>
    </w:p>
    <w:p w:rsidR="00A62746" w:rsidRDefault="00E54FB8">
      <w:pPr>
        <w:widowControl w:val="0"/>
        <w:spacing w:line="560" w:lineRule="exact"/>
        <w:ind w:firstLine="640"/>
      </w:pPr>
      <w:r>
        <w:rPr>
          <w:rFonts w:hint="eastAsia"/>
        </w:rPr>
        <w:t xml:space="preserve">第五十三条　</w:t>
      </w:r>
      <w:r w:rsidR="00CA1744">
        <w:rPr>
          <w:rFonts w:hint="eastAsia"/>
        </w:rPr>
        <w:t>在保障公共安全的前提下，城市更新中既有建筑改造的绿地率可按区域统筹核算，人防、建筑退线、日照间距、日照时间、机动车停车数量等无法达到现行标准和规范的，可按照改造后不低于现状的标准进行审批。</w:t>
      </w:r>
    </w:p>
    <w:p w:rsidR="00A62746" w:rsidRDefault="00CA1744">
      <w:pPr>
        <w:widowControl w:val="0"/>
        <w:spacing w:line="560" w:lineRule="exact"/>
        <w:ind w:firstLine="640"/>
        <w:rPr>
          <w:rFonts w:ascii="仿宋" w:hAnsi="仿宋" w:cs="仿宋_GB2312"/>
          <w:szCs w:val="32"/>
        </w:rPr>
      </w:pPr>
      <w:r>
        <w:rPr>
          <w:rFonts w:hint="eastAsia"/>
        </w:rPr>
        <w:lastRenderedPageBreak/>
        <w:t>相关行业主管部门可按照环境改善和整体功能提升的原则，制定适合城市更新既有建筑改造的标准和规范</w:t>
      </w:r>
      <w:r>
        <w:rPr>
          <w:rFonts w:ascii="仿宋" w:hAnsi="仿宋" w:cs="仿宋_GB2312" w:hint="eastAsia"/>
          <w:szCs w:val="32"/>
        </w:rPr>
        <w:t>。</w:t>
      </w:r>
    </w:p>
    <w:p w:rsidR="00A62746" w:rsidRDefault="00E54FB8">
      <w:pPr>
        <w:ind w:firstLine="640"/>
      </w:pPr>
      <w:bookmarkStart w:id="465" w:name="_Toc101008213"/>
      <w:bookmarkStart w:id="466" w:name="_Toc100354930"/>
      <w:bookmarkStart w:id="467" w:name="_Toc100917473"/>
      <w:bookmarkStart w:id="468" w:name="_Toc101008214"/>
      <w:bookmarkStart w:id="469" w:name="_Toc101007876"/>
      <w:bookmarkStart w:id="470" w:name="_Toc100917474"/>
      <w:bookmarkStart w:id="471" w:name="_Toc101007875"/>
      <w:bookmarkStart w:id="472" w:name="_Toc97901693"/>
      <w:bookmarkEnd w:id="437"/>
      <w:bookmarkEnd w:id="465"/>
      <w:bookmarkEnd w:id="466"/>
      <w:bookmarkEnd w:id="467"/>
      <w:bookmarkEnd w:id="468"/>
      <w:bookmarkEnd w:id="469"/>
      <w:bookmarkEnd w:id="470"/>
      <w:bookmarkEnd w:id="471"/>
      <w:r>
        <w:rPr>
          <w:rFonts w:hint="eastAsia"/>
        </w:rPr>
        <w:t xml:space="preserve">第五十四条　</w:t>
      </w:r>
      <w:r w:rsidR="00CA1744">
        <w:rPr>
          <w:rFonts w:hint="eastAsia"/>
        </w:rPr>
        <w:t>城市更新既有建筑改造应当确保消防安全。按照尊重历史、因地制宜的原则，改造项目受条件制约执行现行消防技术标准确有困难的，可按照不低于建成时的消防技术标准或采用消防性能化方法进行设计。</w:t>
      </w:r>
    </w:p>
    <w:p w:rsidR="00A62746" w:rsidRDefault="00CA1744">
      <w:pPr>
        <w:ind w:firstLine="640"/>
      </w:pPr>
      <w:r>
        <w:rPr>
          <w:rFonts w:hint="eastAsia"/>
        </w:rPr>
        <w:t>相关行政主管部门可根据城市更新要求，制定相适应的既有建筑改造消防技术标准或方案审查流程。</w:t>
      </w:r>
    </w:p>
    <w:p w:rsidR="00A62746" w:rsidRDefault="00E54FB8">
      <w:pPr>
        <w:ind w:firstLine="640"/>
        <w:rPr>
          <w:szCs w:val="32"/>
        </w:rPr>
      </w:pPr>
      <w:bookmarkStart w:id="473" w:name="_Toc101008219"/>
      <w:bookmarkStart w:id="474" w:name="_Toc100765523"/>
      <w:bookmarkStart w:id="475" w:name="_Toc100917479"/>
      <w:bookmarkStart w:id="476" w:name="_Toc100765522"/>
      <w:bookmarkStart w:id="477" w:name="_Toc101007881"/>
      <w:bookmarkEnd w:id="473"/>
      <w:bookmarkEnd w:id="474"/>
      <w:bookmarkEnd w:id="475"/>
      <w:bookmarkEnd w:id="476"/>
      <w:bookmarkEnd w:id="477"/>
      <w:r>
        <w:rPr>
          <w:rFonts w:hint="eastAsia"/>
          <w:szCs w:val="32"/>
        </w:rPr>
        <w:t xml:space="preserve">第五十五条　</w:t>
      </w:r>
      <w:r w:rsidR="00CA1744">
        <w:rPr>
          <w:rFonts w:hint="eastAsia"/>
          <w:szCs w:val="32"/>
        </w:rPr>
        <w:t>利用更新改造空间按项目实施方案从事经营活动的，相关部门可予办理经营许可。</w:t>
      </w:r>
    </w:p>
    <w:p w:rsidR="00A62746" w:rsidRDefault="00CA1744">
      <w:pPr>
        <w:pStyle w:val="a0"/>
        <w:ind w:firstLine="640"/>
      </w:pPr>
      <w:r>
        <w:rPr>
          <w:rFonts w:hint="eastAsia"/>
        </w:rPr>
        <w:t>对于原有建筑物进行多种功能使用，不变更不动产登记的，不影响实施主体办理市场主体登记等经营许可手续。</w:t>
      </w:r>
      <w:bookmarkStart w:id="478" w:name="_____206"/>
      <w:bookmarkStart w:id="479" w:name="_____212"/>
      <w:bookmarkStart w:id="480" w:name="_____178"/>
      <w:bookmarkStart w:id="481" w:name="_Toc81484591"/>
      <w:bookmarkStart w:id="482" w:name="_Toc81484774"/>
      <w:bookmarkStart w:id="483" w:name="_Toc91682106"/>
      <w:bookmarkStart w:id="484" w:name="_____198"/>
      <w:bookmarkStart w:id="485" w:name="_Toc81484273"/>
      <w:bookmarkStart w:id="486" w:name="_Toc81484593"/>
      <w:bookmarkStart w:id="487" w:name="_Toc81484772"/>
      <w:bookmarkStart w:id="488" w:name="_Toc81484592"/>
      <w:bookmarkStart w:id="489" w:name="_Toc81484788"/>
      <w:bookmarkStart w:id="490" w:name="_Toc81484272"/>
      <w:bookmarkStart w:id="491" w:name="_____140"/>
      <w:bookmarkStart w:id="492" w:name="_Toc81485510"/>
      <w:bookmarkStart w:id="493" w:name="_Toc81485497"/>
      <w:bookmarkStart w:id="494" w:name="_Toc81484773"/>
      <w:bookmarkStart w:id="495" w:name="_Toc81484578"/>
      <w:bookmarkStart w:id="496" w:name="_Toc81485516"/>
      <w:bookmarkStart w:id="497" w:name="_Toc81485498"/>
      <w:bookmarkStart w:id="498" w:name="_Toc81484575"/>
      <w:bookmarkStart w:id="499" w:name="_____210"/>
      <w:bookmarkStart w:id="500" w:name="_____200"/>
      <w:bookmarkStart w:id="501" w:name="_____136"/>
      <w:bookmarkStart w:id="502" w:name="_Toc81485496"/>
      <w:bookmarkStart w:id="503" w:name="_____148"/>
      <w:bookmarkStart w:id="504" w:name="_Toc89968997"/>
      <w:bookmarkStart w:id="505" w:name="_Toc81484787"/>
      <w:bookmarkStart w:id="506" w:name="_Toc81484597"/>
      <w:bookmarkStart w:id="507" w:name="_____208"/>
      <w:bookmarkStart w:id="508" w:name="_Toc81484775"/>
      <w:bookmarkStart w:id="509" w:name="_Toc81484576"/>
      <w:bookmarkStart w:id="510" w:name="_Toc89968549"/>
      <w:bookmarkStart w:id="511" w:name="_Toc81484789"/>
      <w:bookmarkStart w:id="512" w:name="_Toc81484288"/>
      <w:bookmarkStart w:id="513" w:name="_____134"/>
      <w:bookmarkStart w:id="514" w:name="_Toc81485495"/>
      <w:bookmarkStart w:id="515" w:name="_Toc81484287"/>
      <w:bookmarkStart w:id="516" w:name="_Toc81484286"/>
      <w:bookmarkStart w:id="517" w:name="_Toc81484577"/>
      <w:bookmarkStart w:id="518" w:name="_Toc81484292"/>
      <w:bookmarkStart w:id="519" w:name="_Toc81485494"/>
      <w:bookmarkStart w:id="520" w:name="_Toc89969941"/>
      <w:bookmarkStart w:id="521" w:name="_Toc81484270"/>
      <w:bookmarkStart w:id="522" w:name="_____234"/>
      <w:bookmarkStart w:id="523" w:name="_____146"/>
      <w:bookmarkStart w:id="524" w:name="_Toc81484271"/>
      <w:bookmarkStart w:id="525" w:name="_____150"/>
      <w:bookmarkStart w:id="526" w:name="_____152"/>
      <w:bookmarkStart w:id="527" w:name="_Toc81484793"/>
      <w:bookmarkStart w:id="528" w:name="_____188"/>
      <w:bookmarkStart w:id="529" w:name="_Toc81484771"/>
      <w:bookmarkStart w:id="530" w:name="_____142"/>
      <w:bookmarkStart w:id="531" w:name="_____144"/>
      <w:bookmarkStart w:id="532" w:name="_Toc89969818"/>
      <w:bookmarkStart w:id="533" w:name="_Toc81485512"/>
      <w:bookmarkStart w:id="534" w:name="_Toc81485511"/>
      <w:bookmarkStart w:id="535" w:name="_Toc81484579"/>
      <w:bookmarkStart w:id="536" w:name="_____138"/>
      <w:bookmarkStart w:id="537" w:name="_Toc81484274"/>
      <w:bookmarkStart w:id="538" w:name="_____202"/>
      <w:bookmarkEnd w:id="472"/>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A62746" w:rsidRDefault="00CD3E4A">
      <w:pPr>
        <w:ind w:firstLine="640"/>
      </w:pPr>
      <w:bookmarkStart w:id="539" w:name="_Toc101007795"/>
      <w:bookmarkStart w:id="540" w:name="_Toc101008133"/>
      <w:bookmarkStart w:id="541" w:name="_Toc97901705"/>
      <w:bookmarkStart w:id="542" w:name="_Toc3053"/>
      <w:bookmarkStart w:id="543" w:name="_Toc1251164570"/>
      <w:bookmarkStart w:id="544" w:name="_Toc1034663144"/>
      <w:bookmarkEnd w:id="438"/>
      <w:bookmarkEnd w:id="439"/>
      <w:bookmarkEnd w:id="440"/>
      <w:bookmarkEnd w:id="441"/>
      <w:bookmarkEnd w:id="442"/>
      <w:bookmarkEnd w:id="443"/>
      <w:bookmarkEnd w:id="444"/>
      <w:bookmarkEnd w:id="539"/>
      <w:bookmarkEnd w:id="540"/>
      <w:r>
        <w:rPr>
          <w:rFonts w:hint="eastAsia"/>
        </w:rPr>
        <w:t xml:space="preserve">第五十六条　</w:t>
      </w:r>
      <w:r w:rsidR="00CA1744">
        <w:rPr>
          <w:rFonts w:hint="eastAsia"/>
        </w:rPr>
        <w:t>市、区人民政府应当对涉及公共利益、产业提升的城市更新项目予以资金支持，引导社会资本参与。鼓励通过依法发行地方政府债券、企业债券等方式，筹集改造资金。</w:t>
      </w:r>
      <w:bookmarkStart w:id="545" w:name="_____186"/>
      <w:bookmarkStart w:id="546" w:name="_____182"/>
      <w:bookmarkStart w:id="547" w:name="_____184"/>
      <w:bookmarkEnd w:id="545"/>
      <w:bookmarkEnd w:id="546"/>
      <w:bookmarkEnd w:id="547"/>
    </w:p>
    <w:p w:rsidR="00A62746" w:rsidRDefault="00CA1744">
      <w:pPr>
        <w:ind w:firstLine="640"/>
      </w:pPr>
      <w:r>
        <w:rPr>
          <w:rFonts w:hint="eastAsia"/>
        </w:rPr>
        <w:t>纳入城市更新计划的项目，依法享受行政事业性收费减免，涉及纳税人依法享受税收优惠政策。</w:t>
      </w:r>
    </w:p>
    <w:p w:rsidR="00A62746" w:rsidRDefault="00CA1744">
      <w:pPr>
        <w:ind w:firstLine="640"/>
        <w:rPr>
          <w:szCs w:val="32"/>
        </w:rPr>
      </w:pPr>
      <w:r>
        <w:rPr>
          <w:rFonts w:hint="eastAsia"/>
          <w:szCs w:val="32"/>
        </w:rPr>
        <w:t>鼓励金融机构依法开展多样化金融产品和服务创新，满足城市更新融资需求，依据审查通过的项目实施方案提供项目融资。鼓励住房公积金支持</w:t>
      </w:r>
      <w:bookmarkStart w:id="548" w:name="_____196"/>
      <w:bookmarkEnd w:id="548"/>
      <w:r>
        <w:rPr>
          <w:rFonts w:hint="eastAsia"/>
          <w:szCs w:val="32"/>
        </w:rPr>
        <w:t>城市更新项目。</w:t>
      </w:r>
    </w:p>
    <w:p w:rsidR="00A62746" w:rsidRPr="00CD3E4A" w:rsidRDefault="00CA1744" w:rsidP="00CD3E4A">
      <w:pPr>
        <w:pStyle w:val="a0"/>
        <w:ind w:firstLine="640"/>
        <w:jc w:val="center"/>
        <w:rPr>
          <w:rFonts w:ascii="仿宋" w:hAnsi="仿宋" w:cs="Arial"/>
          <w:bCs/>
          <w:iCs/>
          <w:color w:val="000000"/>
          <w:szCs w:val="32"/>
        </w:rPr>
      </w:pPr>
      <w:bookmarkStart w:id="549" w:name="_Toc1794491327"/>
      <w:r w:rsidRPr="00CD3E4A">
        <w:rPr>
          <w:rFonts w:ascii="仿宋" w:hAnsi="仿宋" w:cs="Arial" w:hint="eastAsia"/>
          <w:bCs/>
          <w:iCs/>
          <w:color w:val="000000"/>
          <w:szCs w:val="32"/>
        </w:rPr>
        <w:t>第六章</w:t>
      </w:r>
      <w:bookmarkEnd w:id="541"/>
      <w:bookmarkEnd w:id="542"/>
      <w:bookmarkEnd w:id="543"/>
      <w:bookmarkEnd w:id="544"/>
      <w:r w:rsidRPr="00CD3E4A">
        <w:rPr>
          <w:rFonts w:ascii="仿宋" w:hAnsi="仿宋" w:cs="Arial" w:hint="eastAsia"/>
          <w:bCs/>
          <w:iCs/>
          <w:color w:val="000000"/>
          <w:szCs w:val="32"/>
        </w:rPr>
        <w:t xml:space="preserve"> 监督管理</w:t>
      </w:r>
      <w:bookmarkEnd w:id="549"/>
    </w:p>
    <w:p w:rsidR="00A62746" w:rsidRDefault="00CD3E4A">
      <w:pPr>
        <w:ind w:firstLine="640"/>
        <w:rPr>
          <w:szCs w:val="32"/>
        </w:rPr>
      </w:pPr>
      <w:bookmarkStart w:id="550" w:name="_Toc27129"/>
      <w:bookmarkStart w:id="551" w:name="_Toc97901706"/>
      <w:r>
        <w:rPr>
          <w:rFonts w:hint="eastAsia"/>
          <w:szCs w:val="32"/>
        </w:rPr>
        <w:t xml:space="preserve">第五十七条　</w:t>
      </w:r>
      <w:r w:rsidR="00CA1744">
        <w:rPr>
          <w:rFonts w:hint="eastAsia"/>
          <w:szCs w:val="32"/>
        </w:rPr>
        <w:t>全面实施城市体检评估制度，落实各区人民政府和相关主管部门工作责任，定期评估考核。</w:t>
      </w:r>
    </w:p>
    <w:p w:rsidR="00A62746" w:rsidRDefault="00CA1744">
      <w:pPr>
        <w:ind w:firstLine="640"/>
        <w:rPr>
          <w:szCs w:val="32"/>
        </w:rPr>
      </w:pPr>
      <w:r>
        <w:rPr>
          <w:rFonts w:hint="eastAsia"/>
          <w:szCs w:val="32"/>
        </w:rPr>
        <w:lastRenderedPageBreak/>
        <w:t>市人民政府及相关行业主管部门应当对区人民政府及相关部门城市更新过程中规划计划编制、实施主体确定、实施方案审核、审批手续办理、信息</w:t>
      </w:r>
      <w:r w:rsidR="00CD3E4A">
        <w:rPr>
          <w:rFonts w:hint="eastAsia"/>
          <w:szCs w:val="32"/>
        </w:rPr>
        <w:t>系统</w:t>
      </w:r>
      <w:r>
        <w:rPr>
          <w:rFonts w:hint="eastAsia"/>
          <w:szCs w:val="32"/>
        </w:rPr>
        <w:t>公示等情况进行监督指导</w:t>
      </w:r>
      <w:r>
        <w:rPr>
          <w:rFonts w:hint="eastAsia"/>
        </w:rPr>
        <w:t>、评估考核和协调调度</w:t>
      </w:r>
      <w:r>
        <w:rPr>
          <w:rFonts w:hint="eastAsia"/>
          <w:szCs w:val="32"/>
        </w:rPr>
        <w:t>。</w:t>
      </w:r>
    </w:p>
    <w:p w:rsidR="00A62746" w:rsidRDefault="001803EC">
      <w:pPr>
        <w:ind w:firstLine="640"/>
        <w:rPr>
          <w:szCs w:val="32"/>
        </w:rPr>
      </w:pPr>
      <w:bookmarkStart w:id="552" w:name="_____194"/>
      <w:bookmarkStart w:id="553" w:name="_Hlk81143889"/>
      <w:bookmarkStart w:id="554" w:name="_Toc14891"/>
      <w:bookmarkStart w:id="555" w:name="_Toc775763698"/>
      <w:bookmarkStart w:id="556" w:name="_Toc1478578799"/>
      <w:bookmarkEnd w:id="550"/>
      <w:bookmarkEnd w:id="551"/>
      <w:bookmarkEnd w:id="552"/>
      <w:r>
        <w:rPr>
          <w:rFonts w:hint="eastAsia"/>
          <w:szCs w:val="32"/>
        </w:rPr>
        <w:t xml:space="preserve">第五十八条　</w:t>
      </w:r>
      <w:r w:rsidR="00CA1744">
        <w:rPr>
          <w:rFonts w:hint="eastAsia"/>
          <w:szCs w:val="32"/>
        </w:rPr>
        <w:t>市、区</w:t>
      </w:r>
      <w:r w:rsidR="00CA1744">
        <w:rPr>
          <w:rFonts w:hint="eastAsia"/>
        </w:rPr>
        <w:t>城市更新主管部门会同</w:t>
      </w:r>
      <w:r w:rsidR="00CA1744">
        <w:rPr>
          <w:rFonts w:hint="eastAsia"/>
          <w:szCs w:val="32"/>
        </w:rPr>
        <w:t>行业主管部门对城市更新项目进行全过程监督。</w:t>
      </w:r>
    </w:p>
    <w:p w:rsidR="00A62746" w:rsidRDefault="00CA1744">
      <w:pPr>
        <w:ind w:firstLine="640"/>
      </w:pPr>
      <w:r>
        <w:rPr>
          <w:rFonts w:hint="eastAsia"/>
        </w:rPr>
        <w:t>市区国有资产监督管理机构应当建立健全与国有企业参与城市更新活动相适应的考核机制。</w:t>
      </w:r>
    </w:p>
    <w:bookmarkEnd w:id="553"/>
    <w:bookmarkEnd w:id="554"/>
    <w:bookmarkEnd w:id="555"/>
    <w:bookmarkEnd w:id="556"/>
    <w:p w:rsidR="00A62746" w:rsidRDefault="001803EC">
      <w:pPr>
        <w:ind w:firstLine="640"/>
        <w:rPr>
          <w:szCs w:val="32"/>
        </w:rPr>
      </w:pPr>
      <w:r>
        <w:rPr>
          <w:rFonts w:hint="eastAsia"/>
          <w:szCs w:val="32"/>
        </w:rPr>
        <w:t xml:space="preserve">第五十九条　</w:t>
      </w:r>
      <w:r w:rsidR="00CA1744">
        <w:rPr>
          <w:rFonts w:hint="eastAsia"/>
          <w:szCs w:val="32"/>
        </w:rPr>
        <w:t>对于违反城市更新相关规定的行为，任何单位和个人有权向市、区人民政府及相关部门投诉、举报。市、区人民政府及其有关部门应当按照规定及时核实，处理投诉、举报。</w:t>
      </w:r>
    </w:p>
    <w:p w:rsidR="00A62746" w:rsidRPr="001803EC" w:rsidRDefault="00CA1744" w:rsidP="001803EC">
      <w:pPr>
        <w:pStyle w:val="a0"/>
        <w:ind w:firstLine="640"/>
        <w:jc w:val="center"/>
        <w:rPr>
          <w:rFonts w:ascii="仿宋" w:hAnsi="仿宋" w:cs="Arial"/>
          <w:bCs/>
          <w:iCs/>
          <w:color w:val="000000"/>
          <w:szCs w:val="32"/>
        </w:rPr>
      </w:pPr>
      <w:bookmarkStart w:id="557" w:name="_____284"/>
      <w:bookmarkStart w:id="558" w:name="_____292"/>
      <w:bookmarkStart w:id="559" w:name="_____288"/>
      <w:bookmarkStart w:id="560" w:name="_____250"/>
      <w:bookmarkStart w:id="561" w:name="_____290"/>
      <w:bookmarkStart w:id="562" w:name="_____286"/>
      <w:bookmarkStart w:id="563" w:name="_Toc235053194"/>
      <w:bookmarkStart w:id="564" w:name="_Toc81486518"/>
      <w:bookmarkStart w:id="565" w:name="_Toc686358569"/>
      <w:bookmarkStart w:id="566" w:name="_Toc3771"/>
      <w:bookmarkStart w:id="567" w:name="_Toc81486394"/>
      <w:bookmarkStart w:id="568" w:name="_Toc97901712"/>
      <w:bookmarkStart w:id="569" w:name="_Toc1914305892"/>
      <w:bookmarkStart w:id="570" w:name="_Toc81484844"/>
      <w:bookmarkEnd w:id="557"/>
      <w:bookmarkEnd w:id="558"/>
      <w:bookmarkEnd w:id="559"/>
      <w:bookmarkEnd w:id="560"/>
      <w:bookmarkEnd w:id="561"/>
      <w:bookmarkEnd w:id="562"/>
      <w:r w:rsidRPr="001803EC">
        <w:rPr>
          <w:rFonts w:ascii="仿宋" w:hAnsi="仿宋" w:cs="Arial" w:hint="eastAsia"/>
          <w:bCs/>
          <w:iCs/>
          <w:color w:val="000000"/>
          <w:szCs w:val="32"/>
        </w:rPr>
        <w:t xml:space="preserve">第七章 </w:t>
      </w:r>
      <w:r w:rsidRPr="001803EC">
        <w:rPr>
          <w:rFonts w:ascii="仿宋" w:hAnsi="仿宋" w:cs="Arial"/>
          <w:bCs/>
          <w:iCs/>
          <w:color w:val="000000"/>
          <w:szCs w:val="32"/>
        </w:rPr>
        <w:t>法律责任</w:t>
      </w:r>
      <w:bookmarkEnd w:id="563"/>
      <w:bookmarkEnd w:id="564"/>
      <w:bookmarkEnd w:id="565"/>
      <w:bookmarkEnd w:id="566"/>
      <w:bookmarkEnd w:id="567"/>
      <w:bookmarkEnd w:id="568"/>
      <w:bookmarkEnd w:id="569"/>
      <w:bookmarkEnd w:id="570"/>
    </w:p>
    <w:p w:rsidR="00A62746" w:rsidRDefault="001803EC">
      <w:pPr>
        <w:ind w:firstLine="640"/>
        <w:rPr>
          <w:szCs w:val="32"/>
        </w:rPr>
      </w:pPr>
      <w:r>
        <w:rPr>
          <w:rFonts w:hint="eastAsia"/>
          <w:szCs w:val="30"/>
        </w:rPr>
        <w:t xml:space="preserve">第六十条　</w:t>
      </w:r>
      <w:r w:rsidR="00CA1744">
        <w:rPr>
          <w:szCs w:val="30"/>
        </w:rPr>
        <w:t>违反本条例规定的行为，法律、法规已有处理规定的，从其规定</w:t>
      </w:r>
      <w:r w:rsidR="00CA1744">
        <w:rPr>
          <w:rFonts w:hint="eastAsia"/>
          <w:szCs w:val="30"/>
        </w:rPr>
        <w:t>。</w:t>
      </w:r>
    </w:p>
    <w:p w:rsidR="00A62746" w:rsidRDefault="001803EC">
      <w:pPr>
        <w:ind w:firstLine="640"/>
        <w:rPr>
          <w:bCs/>
          <w:iCs/>
        </w:rPr>
      </w:pPr>
      <w:bookmarkStart w:id="571" w:name="_Toc1374017285"/>
      <w:bookmarkStart w:id="572" w:name="_Toc1784617699"/>
      <w:r>
        <w:rPr>
          <w:rFonts w:hint="eastAsia"/>
        </w:rPr>
        <w:t xml:space="preserve">第六十一条　</w:t>
      </w:r>
      <w:r w:rsidR="00CA1744">
        <w:rPr>
          <w:rFonts w:hint="eastAsia"/>
        </w:rPr>
        <w:t>违反本条例第二十八条第（三）项规定，相关物业权利人拒不</w:t>
      </w:r>
      <w:r>
        <w:rPr>
          <w:rFonts w:hint="eastAsia"/>
        </w:rPr>
        <w:t>遵守相关更新规定的</w:t>
      </w:r>
      <w:r w:rsidR="00CA1744">
        <w:rPr>
          <w:rFonts w:hint="eastAsia"/>
        </w:rPr>
        <w:t>，可</w:t>
      </w:r>
      <w:r w:rsidR="00CA1744">
        <w:rPr>
          <w:rFonts w:hint="eastAsia"/>
          <w:bCs/>
          <w:iCs/>
        </w:rPr>
        <w:t>由区城市更新主管部门责令限期改正，逾期不改的，给予警告</w:t>
      </w:r>
      <w:r w:rsidR="00CA1744">
        <w:rPr>
          <w:rFonts w:hint="eastAsia"/>
          <w:szCs w:val="32"/>
        </w:rPr>
        <w:t>、</w:t>
      </w:r>
      <w:r w:rsidR="00CA1744">
        <w:rPr>
          <w:rFonts w:hint="eastAsia"/>
          <w:bCs/>
          <w:iCs/>
        </w:rPr>
        <w:t>通报批评的处罚。</w:t>
      </w:r>
      <w:bookmarkStart w:id="573" w:name="_Toc11616"/>
      <w:bookmarkEnd w:id="571"/>
      <w:bookmarkEnd w:id="572"/>
    </w:p>
    <w:p w:rsidR="00A62746" w:rsidRPr="001803EC" w:rsidRDefault="001803EC" w:rsidP="00DE40C9">
      <w:pPr>
        <w:ind w:firstLine="640"/>
        <w:rPr>
          <w:rFonts w:ascii="仿宋" w:hAnsi="仿宋" w:cs="Arial"/>
          <w:bCs/>
          <w:iCs/>
          <w:color w:val="000000"/>
          <w:szCs w:val="32"/>
        </w:rPr>
      </w:pPr>
      <w:r>
        <w:rPr>
          <w:rFonts w:hint="eastAsia"/>
        </w:rPr>
        <w:t xml:space="preserve">第六十二条　</w:t>
      </w:r>
      <w:r w:rsidR="00CA1744">
        <w:rPr>
          <w:rFonts w:hint="eastAsia"/>
        </w:rPr>
        <w:t>实施主体</w:t>
      </w:r>
      <w:r w:rsidR="00CA1744">
        <w:rPr>
          <w:rFonts w:hint="eastAsia"/>
          <w:szCs w:val="32"/>
        </w:rPr>
        <w:t>在编制实施方案中弄虚作假、采取欺骗方式取得联合审查意见的</w:t>
      </w:r>
      <w:r w:rsidR="00CA1744">
        <w:rPr>
          <w:rFonts w:hint="eastAsia"/>
        </w:rPr>
        <w:t>，由区城市更新主管部门责令改正，给予</w:t>
      </w:r>
      <w:r w:rsidR="00CA1744">
        <w:rPr>
          <w:rFonts w:hint="eastAsia"/>
          <w:bCs/>
          <w:iCs/>
        </w:rPr>
        <w:t>警告</w:t>
      </w:r>
      <w:r w:rsidR="00CA1744">
        <w:rPr>
          <w:rFonts w:hint="eastAsia"/>
          <w:szCs w:val="32"/>
        </w:rPr>
        <w:t>、</w:t>
      </w:r>
      <w:r w:rsidR="00CA1744">
        <w:rPr>
          <w:rFonts w:hint="eastAsia"/>
          <w:bCs/>
          <w:iCs/>
        </w:rPr>
        <w:t>通报批评，并</w:t>
      </w:r>
      <w:r w:rsidR="00CA1744">
        <w:rPr>
          <w:rFonts w:hint="eastAsia"/>
        </w:rPr>
        <w:t>处五万以上十万以下罚款；情节严重的，处十万以上二十万以下罚款。</w:t>
      </w:r>
      <w:bookmarkStart w:id="574" w:name="_GoBack"/>
      <w:bookmarkEnd w:id="574"/>
    </w:p>
    <w:p w:rsidR="00A62746" w:rsidRPr="001803EC" w:rsidRDefault="00CA1744" w:rsidP="001803EC">
      <w:pPr>
        <w:pStyle w:val="a0"/>
        <w:ind w:firstLineChars="62" w:firstLine="198"/>
        <w:jc w:val="center"/>
        <w:rPr>
          <w:rFonts w:ascii="仿宋" w:hAnsi="仿宋" w:cs="Arial"/>
          <w:bCs/>
          <w:iCs/>
          <w:color w:val="000000"/>
          <w:szCs w:val="32"/>
        </w:rPr>
      </w:pPr>
      <w:bookmarkStart w:id="575" w:name="_____296"/>
      <w:bookmarkStart w:id="576" w:name="_____294"/>
      <w:bookmarkStart w:id="577" w:name="_____300"/>
      <w:bookmarkStart w:id="578" w:name="_____298"/>
      <w:bookmarkStart w:id="579" w:name="_____302"/>
      <w:bookmarkStart w:id="580" w:name="_Toc48469655"/>
      <w:bookmarkStart w:id="581" w:name="_Toc1461899537"/>
      <w:bookmarkStart w:id="582" w:name="_Toc81484855"/>
      <w:bookmarkStart w:id="583" w:name="_Toc81486529"/>
      <w:bookmarkStart w:id="584" w:name="_Toc97901719"/>
      <w:bookmarkStart w:id="585" w:name="_Toc97054632"/>
      <w:bookmarkStart w:id="586" w:name="_Toc81486405"/>
      <w:bookmarkEnd w:id="573"/>
      <w:bookmarkEnd w:id="575"/>
      <w:bookmarkEnd w:id="576"/>
      <w:bookmarkEnd w:id="577"/>
      <w:bookmarkEnd w:id="578"/>
      <w:bookmarkEnd w:id="579"/>
      <w:r w:rsidRPr="001803EC">
        <w:rPr>
          <w:rFonts w:ascii="仿宋" w:hAnsi="仿宋" w:cs="Arial" w:hint="eastAsia"/>
          <w:bCs/>
          <w:iCs/>
          <w:color w:val="000000"/>
          <w:szCs w:val="32"/>
        </w:rPr>
        <w:t>第八章</w:t>
      </w:r>
      <w:r w:rsidR="001803EC">
        <w:rPr>
          <w:rFonts w:ascii="仿宋" w:hAnsi="仿宋" w:cs="Arial" w:hint="eastAsia"/>
          <w:bCs/>
          <w:iCs/>
          <w:color w:val="000000"/>
          <w:szCs w:val="32"/>
        </w:rPr>
        <w:t xml:space="preserve">　</w:t>
      </w:r>
      <w:r w:rsidRPr="001803EC">
        <w:rPr>
          <w:rFonts w:ascii="仿宋" w:hAnsi="仿宋" w:cs="Arial" w:hint="eastAsia"/>
          <w:bCs/>
          <w:iCs/>
          <w:color w:val="000000"/>
          <w:szCs w:val="32"/>
        </w:rPr>
        <w:t>附则</w:t>
      </w:r>
      <w:bookmarkEnd w:id="580"/>
      <w:bookmarkEnd w:id="581"/>
    </w:p>
    <w:bookmarkEnd w:id="582"/>
    <w:bookmarkEnd w:id="583"/>
    <w:bookmarkEnd w:id="584"/>
    <w:bookmarkEnd w:id="585"/>
    <w:bookmarkEnd w:id="586"/>
    <w:p w:rsidR="00A62746" w:rsidRDefault="001803EC">
      <w:pPr>
        <w:ind w:firstLine="640"/>
      </w:pPr>
      <w:r>
        <w:rPr>
          <w:rFonts w:hint="eastAsia"/>
        </w:rPr>
        <w:t xml:space="preserve">第六十三条　</w:t>
      </w:r>
      <w:r w:rsidR="00CA1744">
        <w:rPr>
          <w:rFonts w:hint="eastAsia"/>
        </w:rPr>
        <w:t>本条例自</w:t>
      </w:r>
      <w:r w:rsidR="00C0173D">
        <w:rPr>
          <w:rFonts w:hint="eastAsia"/>
        </w:rPr>
        <w:t xml:space="preserve">　</w:t>
      </w:r>
      <w:r w:rsidR="00CA1744">
        <w:rPr>
          <w:rFonts w:hint="eastAsia"/>
        </w:rPr>
        <w:t>年</w:t>
      </w:r>
      <w:r w:rsidR="00C0173D">
        <w:rPr>
          <w:rFonts w:hint="eastAsia"/>
        </w:rPr>
        <w:t xml:space="preserve">　</w:t>
      </w:r>
      <w:r w:rsidR="00CA1744">
        <w:rPr>
          <w:rFonts w:hint="eastAsia"/>
        </w:rPr>
        <w:t>月</w:t>
      </w:r>
      <w:r w:rsidR="00C0173D">
        <w:rPr>
          <w:rFonts w:hint="eastAsia"/>
        </w:rPr>
        <w:t xml:space="preserve">　</w:t>
      </w:r>
      <w:r w:rsidR="00CA1744">
        <w:rPr>
          <w:rFonts w:hint="eastAsia"/>
        </w:rPr>
        <w:t>日起施行。</w:t>
      </w:r>
    </w:p>
    <w:sectPr w:rsidR="00A6274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96" w:rsidRDefault="00520B96">
      <w:pPr>
        <w:spacing w:line="240" w:lineRule="auto"/>
        <w:ind w:firstLine="640"/>
      </w:pPr>
      <w:r>
        <w:separator/>
      </w:r>
    </w:p>
  </w:endnote>
  <w:endnote w:type="continuationSeparator" w:id="0">
    <w:p w:rsidR="00520B96" w:rsidRDefault="00520B9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YaHei UI">
    <w:altName w:val="Arial Unicode MS"/>
    <w:charset w:val="00"/>
    <w:family w:val="swiss"/>
    <w:pitch w:val="default"/>
    <w:sig w:usb0="00000000" w:usb1="00000000" w:usb2="00000016" w:usb3="00000000" w:csb0="0004001F" w:csb1="00000000"/>
  </w:font>
  <w:font w:name="楷体">
    <w:altName w:val="方正楷体_GBK"/>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46" w:rsidRDefault="00A62746">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46" w:rsidRDefault="00CA1744">
    <w:pPr>
      <w:pStyle w:val="a9"/>
      <w:ind w:firstLine="360"/>
      <w:jc w:val="center"/>
    </w:pPr>
    <w:r>
      <w:fldChar w:fldCharType="begin"/>
    </w:r>
    <w:r>
      <w:instrText>PAGE   \* MERGEFORMAT</w:instrText>
    </w:r>
    <w:r>
      <w:fldChar w:fldCharType="separate"/>
    </w:r>
    <w:r w:rsidR="00DE40C9" w:rsidRPr="00DE40C9">
      <w:rPr>
        <w:noProof/>
        <w:lang w:val="zh-CN"/>
      </w:rPr>
      <w:t>26</w:t>
    </w:r>
    <w:r>
      <w:rPr>
        <w:lang w:val="zh-CN"/>
      </w:rPr>
      <w:fldChar w:fldCharType="end"/>
    </w:r>
  </w:p>
  <w:p w:rsidR="00A62746" w:rsidRDefault="00A62746">
    <w:pPr>
      <w:pStyle w:val="a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46" w:rsidRDefault="00A62746">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96" w:rsidRDefault="00520B96">
      <w:pPr>
        <w:spacing w:line="240" w:lineRule="auto"/>
        <w:ind w:firstLine="640"/>
      </w:pPr>
      <w:r>
        <w:separator/>
      </w:r>
    </w:p>
  </w:footnote>
  <w:footnote w:type="continuationSeparator" w:id="0">
    <w:p w:rsidR="00520B96" w:rsidRDefault="00520B96">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46" w:rsidRDefault="00A62746">
    <w:pPr>
      <w:pStyle w:val="aa"/>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46" w:rsidRDefault="00A62746">
    <w:pPr>
      <w:pStyle w:val="aa"/>
      <w:pBdr>
        <w:bottom w:val="none" w:sz="0" w:space="0" w:color="auto"/>
      </w:pBdr>
      <w:ind w:firstLineChars="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46" w:rsidRDefault="00A62746">
    <w:pPr>
      <w:pStyle w:val="aa"/>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41779"/>
    <w:multiLevelType w:val="multilevel"/>
    <w:tmpl w:val="49D41779"/>
    <w:lvl w:ilvl="0">
      <w:start w:val="1"/>
      <w:numFmt w:val="chineseCountingThousand"/>
      <w:pStyle w:val="2"/>
      <w:lvlText w:val="第%1条 "/>
      <w:lvlJc w:val="left"/>
      <w:pPr>
        <w:ind w:left="704" w:hanging="420"/>
      </w:pPr>
      <w:rPr>
        <w:rFonts w:ascii="黑体" w:eastAsia="黑体" w:hAnsi="黑体" w:hint="eastAsia"/>
        <w:lang w:val="en-US"/>
      </w:rPr>
    </w:lvl>
    <w:lvl w:ilvl="1">
      <w:start w:val="1"/>
      <w:numFmt w:val="lowerLetter"/>
      <w:lvlText w:val="%2)"/>
      <w:lvlJc w:val="left"/>
      <w:pPr>
        <w:ind w:left="-2104" w:hanging="420"/>
      </w:pPr>
    </w:lvl>
    <w:lvl w:ilvl="2">
      <w:start w:val="1"/>
      <w:numFmt w:val="lowerRoman"/>
      <w:lvlText w:val="%3."/>
      <w:lvlJc w:val="right"/>
      <w:pPr>
        <w:ind w:left="-1684" w:hanging="420"/>
      </w:pPr>
    </w:lvl>
    <w:lvl w:ilvl="3">
      <w:start w:val="1"/>
      <w:numFmt w:val="decimal"/>
      <w:lvlText w:val="%4."/>
      <w:lvlJc w:val="left"/>
      <w:pPr>
        <w:ind w:left="-1264" w:hanging="420"/>
      </w:pPr>
    </w:lvl>
    <w:lvl w:ilvl="4">
      <w:start w:val="1"/>
      <w:numFmt w:val="lowerLetter"/>
      <w:lvlText w:val="%5)"/>
      <w:lvlJc w:val="left"/>
      <w:pPr>
        <w:ind w:left="-844" w:hanging="420"/>
      </w:pPr>
    </w:lvl>
    <w:lvl w:ilvl="5">
      <w:start w:val="1"/>
      <w:numFmt w:val="lowerRoman"/>
      <w:lvlText w:val="%6."/>
      <w:lvlJc w:val="right"/>
      <w:pPr>
        <w:ind w:left="-424" w:hanging="420"/>
      </w:pPr>
    </w:lvl>
    <w:lvl w:ilvl="6">
      <w:start w:val="1"/>
      <w:numFmt w:val="decimal"/>
      <w:lvlText w:val="%7."/>
      <w:lvlJc w:val="left"/>
      <w:pPr>
        <w:ind w:left="-4" w:hanging="420"/>
      </w:pPr>
    </w:lvl>
    <w:lvl w:ilvl="7">
      <w:start w:val="1"/>
      <w:numFmt w:val="lowerLetter"/>
      <w:lvlText w:val="%8)"/>
      <w:lvlJc w:val="left"/>
      <w:pPr>
        <w:ind w:left="416" w:hanging="420"/>
      </w:pPr>
    </w:lvl>
    <w:lvl w:ilvl="8">
      <w:start w:val="1"/>
      <w:numFmt w:val="lowerRoman"/>
      <w:lvlText w:val="%9."/>
      <w:lvlJc w:val="right"/>
      <w:pPr>
        <w:ind w:left="836"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os">
    <w15:presenceInfo w15:providerId="None" w15:userId="u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yMjM2NTI1NjQ5MWM2ZDdhZjg0YTUxN2ViZjIzMjAifQ=="/>
  </w:docVars>
  <w:rsids>
    <w:rsidRoot w:val="006D61A8"/>
    <w:rsid w:val="969E86A6"/>
    <w:rsid w:val="9BAD0767"/>
    <w:rsid w:val="A7FBE49B"/>
    <w:rsid w:val="B9DF8843"/>
    <w:rsid w:val="C7D7D550"/>
    <w:rsid w:val="CBF5C7F8"/>
    <w:rsid w:val="CC79DC62"/>
    <w:rsid w:val="D3FF52F8"/>
    <w:rsid w:val="D3FF9767"/>
    <w:rsid w:val="DFC76FBD"/>
    <w:rsid w:val="DFDF9D9A"/>
    <w:rsid w:val="E6FD7E1E"/>
    <w:rsid w:val="E7FEDD36"/>
    <w:rsid w:val="EB765216"/>
    <w:rsid w:val="EBDFA895"/>
    <w:rsid w:val="ECBF1122"/>
    <w:rsid w:val="EF2B70B5"/>
    <w:rsid w:val="EFFF7BB5"/>
    <w:rsid w:val="F1B64A62"/>
    <w:rsid w:val="F3FF2849"/>
    <w:rsid w:val="F5F9E87F"/>
    <w:rsid w:val="F69D4208"/>
    <w:rsid w:val="F7FE27A7"/>
    <w:rsid w:val="F9ED1E34"/>
    <w:rsid w:val="F9FF8017"/>
    <w:rsid w:val="FB624771"/>
    <w:rsid w:val="FB9B0B19"/>
    <w:rsid w:val="FC3F04D1"/>
    <w:rsid w:val="FDFF3963"/>
    <w:rsid w:val="FEFB9046"/>
    <w:rsid w:val="FEFE4FE7"/>
    <w:rsid w:val="FF0B5345"/>
    <w:rsid w:val="FFD4B3BC"/>
    <w:rsid w:val="FFDD02A8"/>
    <w:rsid w:val="FFDF9806"/>
    <w:rsid w:val="0001038B"/>
    <w:rsid w:val="00017BAA"/>
    <w:rsid w:val="00021D77"/>
    <w:rsid w:val="00021FDD"/>
    <w:rsid w:val="00023D90"/>
    <w:rsid w:val="00027E09"/>
    <w:rsid w:val="000414F9"/>
    <w:rsid w:val="000465D8"/>
    <w:rsid w:val="00054D07"/>
    <w:rsid w:val="000578EE"/>
    <w:rsid w:val="00061360"/>
    <w:rsid w:val="00075030"/>
    <w:rsid w:val="00076DF3"/>
    <w:rsid w:val="00077224"/>
    <w:rsid w:val="000805EB"/>
    <w:rsid w:val="000845C2"/>
    <w:rsid w:val="00090A6C"/>
    <w:rsid w:val="000939EB"/>
    <w:rsid w:val="000A357B"/>
    <w:rsid w:val="000A51B6"/>
    <w:rsid w:val="000B0EFF"/>
    <w:rsid w:val="000B2470"/>
    <w:rsid w:val="000C0AE2"/>
    <w:rsid w:val="000C2888"/>
    <w:rsid w:val="000C3034"/>
    <w:rsid w:val="000D512A"/>
    <w:rsid w:val="000D534C"/>
    <w:rsid w:val="000E42F9"/>
    <w:rsid w:val="000E50A4"/>
    <w:rsid w:val="000E6A29"/>
    <w:rsid w:val="000E7674"/>
    <w:rsid w:val="000F301A"/>
    <w:rsid w:val="00104A4F"/>
    <w:rsid w:val="001079B7"/>
    <w:rsid w:val="00107DCC"/>
    <w:rsid w:val="00111046"/>
    <w:rsid w:val="00112D0D"/>
    <w:rsid w:val="00113AE8"/>
    <w:rsid w:val="00114CCD"/>
    <w:rsid w:val="00115931"/>
    <w:rsid w:val="001209CA"/>
    <w:rsid w:val="001243AD"/>
    <w:rsid w:val="00125CCA"/>
    <w:rsid w:val="001275EB"/>
    <w:rsid w:val="0013684A"/>
    <w:rsid w:val="00137085"/>
    <w:rsid w:val="00142985"/>
    <w:rsid w:val="001531DF"/>
    <w:rsid w:val="00165278"/>
    <w:rsid w:val="00165AE4"/>
    <w:rsid w:val="00167048"/>
    <w:rsid w:val="00175DBF"/>
    <w:rsid w:val="0018027D"/>
    <w:rsid w:val="001803EC"/>
    <w:rsid w:val="0018320E"/>
    <w:rsid w:val="0018372C"/>
    <w:rsid w:val="0018449A"/>
    <w:rsid w:val="00192910"/>
    <w:rsid w:val="00193A06"/>
    <w:rsid w:val="001950BD"/>
    <w:rsid w:val="00195914"/>
    <w:rsid w:val="001A4365"/>
    <w:rsid w:val="001B7067"/>
    <w:rsid w:val="001C223F"/>
    <w:rsid w:val="001C3838"/>
    <w:rsid w:val="001C3C1E"/>
    <w:rsid w:val="001C3FC0"/>
    <w:rsid w:val="001C4901"/>
    <w:rsid w:val="001D09E2"/>
    <w:rsid w:val="001E28F9"/>
    <w:rsid w:val="001E650F"/>
    <w:rsid w:val="001E69E3"/>
    <w:rsid w:val="001E74B8"/>
    <w:rsid w:val="001F31A3"/>
    <w:rsid w:val="001F5D6D"/>
    <w:rsid w:val="00202E89"/>
    <w:rsid w:val="0021440F"/>
    <w:rsid w:val="00214B8C"/>
    <w:rsid w:val="00226F82"/>
    <w:rsid w:val="002334E2"/>
    <w:rsid w:val="00234EBC"/>
    <w:rsid w:val="00257297"/>
    <w:rsid w:val="00257424"/>
    <w:rsid w:val="00262754"/>
    <w:rsid w:val="00262F4A"/>
    <w:rsid w:val="002645EA"/>
    <w:rsid w:val="002650B5"/>
    <w:rsid w:val="00266279"/>
    <w:rsid w:val="00266D73"/>
    <w:rsid w:val="00273609"/>
    <w:rsid w:val="0027487F"/>
    <w:rsid w:val="00282C84"/>
    <w:rsid w:val="00296056"/>
    <w:rsid w:val="0029636B"/>
    <w:rsid w:val="0029642D"/>
    <w:rsid w:val="002A086E"/>
    <w:rsid w:val="002A6726"/>
    <w:rsid w:val="002C1A7D"/>
    <w:rsid w:val="002C703E"/>
    <w:rsid w:val="002D03E0"/>
    <w:rsid w:val="002D5FB1"/>
    <w:rsid w:val="002F4972"/>
    <w:rsid w:val="003008CD"/>
    <w:rsid w:val="00303603"/>
    <w:rsid w:val="003037A1"/>
    <w:rsid w:val="003143F0"/>
    <w:rsid w:val="003225A7"/>
    <w:rsid w:val="00323062"/>
    <w:rsid w:val="00330A5B"/>
    <w:rsid w:val="00330B18"/>
    <w:rsid w:val="00341CC3"/>
    <w:rsid w:val="00350AED"/>
    <w:rsid w:val="00370C2D"/>
    <w:rsid w:val="003776C4"/>
    <w:rsid w:val="0038165F"/>
    <w:rsid w:val="0038196B"/>
    <w:rsid w:val="003875DB"/>
    <w:rsid w:val="003956C9"/>
    <w:rsid w:val="003970A6"/>
    <w:rsid w:val="003974D8"/>
    <w:rsid w:val="003A08A7"/>
    <w:rsid w:val="003A0F36"/>
    <w:rsid w:val="003A2258"/>
    <w:rsid w:val="003A67B2"/>
    <w:rsid w:val="003A72F1"/>
    <w:rsid w:val="003A7ACD"/>
    <w:rsid w:val="003B4473"/>
    <w:rsid w:val="003C466A"/>
    <w:rsid w:val="003D2D6A"/>
    <w:rsid w:val="003E16ED"/>
    <w:rsid w:val="003F00E3"/>
    <w:rsid w:val="003F1F8C"/>
    <w:rsid w:val="003F4671"/>
    <w:rsid w:val="003F53D4"/>
    <w:rsid w:val="0040094B"/>
    <w:rsid w:val="00403A9F"/>
    <w:rsid w:val="00404A50"/>
    <w:rsid w:val="00407D41"/>
    <w:rsid w:val="00410EF4"/>
    <w:rsid w:val="004120CB"/>
    <w:rsid w:val="00413CD2"/>
    <w:rsid w:val="004148E6"/>
    <w:rsid w:val="004201F0"/>
    <w:rsid w:val="00421255"/>
    <w:rsid w:val="00423392"/>
    <w:rsid w:val="004234DE"/>
    <w:rsid w:val="00426697"/>
    <w:rsid w:val="00431AE7"/>
    <w:rsid w:val="00433ED6"/>
    <w:rsid w:val="00454F04"/>
    <w:rsid w:val="00457D4F"/>
    <w:rsid w:val="00480A5A"/>
    <w:rsid w:val="0048340D"/>
    <w:rsid w:val="00486180"/>
    <w:rsid w:val="0049227A"/>
    <w:rsid w:val="004A0602"/>
    <w:rsid w:val="004A7968"/>
    <w:rsid w:val="004D12FA"/>
    <w:rsid w:val="0051611E"/>
    <w:rsid w:val="00516494"/>
    <w:rsid w:val="00516D47"/>
    <w:rsid w:val="00520B96"/>
    <w:rsid w:val="00522977"/>
    <w:rsid w:val="00526AAA"/>
    <w:rsid w:val="00530209"/>
    <w:rsid w:val="00531E9F"/>
    <w:rsid w:val="00534416"/>
    <w:rsid w:val="00534DD8"/>
    <w:rsid w:val="005375D2"/>
    <w:rsid w:val="0055355C"/>
    <w:rsid w:val="005575F6"/>
    <w:rsid w:val="00565457"/>
    <w:rsid w:val="0057220A"/>
    <w:rsid w:val="0057311C"/>
    <w:rsid w:val="00575AC2"/>
    <w:rsid w:val="005872E5"/>
    <w:rsid w:val="00587870"/>
    <w:rsid w:val="00597822"/>
    <w:rsid w:val="005A54C1"/>
    <w:rsid w:val="005A60E4"/>
    <w:rsid w:val="005B0789"/>
    <w:rsid w:val="005B2D4D"/>
    <w:rsid w:val="005B7891"/>
    <w:rsid w:val="005C2D48"/>
    <w:rsid w:val="005C3794"/>
    <w:rsid w:val="005D03C3"/>
    <w:rsid w:val="005D3501"/>
    <w:rsid w:val="005D3D85"/>
    <w:rsid w:val="005D543A"/>
    <w:rsid w:val="005F153B"/>
    <w:rsid w:val="005F493E"/>
    <w:rsid w:val="005F6EB3"/>
    <w:rsid w:val="006008B3"/>
    <w:rsid w:val="0060484C"/>
    <w:rsid w:val="0060667C"/>
    <w:rsid w:val="00627906"/>
    <w:rsid w:val="00637434"/>
    <w:rsid w:val="00643B91"/>
    <w:rsid w:val="006454A2"/>
    <w:rsid w:val="00650D85"/>
    <w:rsid w:val="00651B3E"/>
    <w:rsid w:val="00662D92"/>
    <w:rsid w:val="00667FEA"/>
    <w:rsid w:val="00672AEC"/>
    <w:rsid w:val="00676F1A"/>
    <w:rsid w:val="00677439"/>
    <w:rsid w:val="00681E69"/>
    <w:rsid w:val="00682878"/>
    <w:rsid w:val="00684FC0"/>
    <w:rsid w:val="00686282"/>
    <w:rsid w:val="0069098E"/>
    <w:rsid w:val="0069577F"/>
    <w:rsid w:val="006A0D56"/>
    <w:rsid w:val="006A6B2A"/>
    <w:rsid w:val="006B2AA0"/>
    <w:rsid w:val="006C2D1E"/>
    <w:rsid w:val="006C6DD1"/>
    <w:rsid w:val="006D61A8"/>
    <w:rsid w:val="006D757B"/>
    <w:rsid w:val="006E5EC1"/>
    <w:rsid w:val="006F6C4C"/>
    <w:rsid w:val="006F7AFF"/>
    <w:rsid w:val="0070118D"/>
    <w:rsid w:val="007039F4"/>
    <w:rsid w:val="00704D2E"/>
    <w:rsid w:val="00704DFA"/>
    <w:rsid w:val="00712343"/>
    <w:rsid w:val="00717AE3"/>
    <w:rsid w:val="00723F44"/>
    <w:rsid w:val="0073047E"/>
    <w:rsid w:val="00734613"/>
    <w:rsid w:val="00735196"/>
    <w:rsid w:val="00740D17"/>
    <w:rsid w:val="00742198"/>
    <w:rsid w:val="00745FAB"/>
    <w:rsid w:val="007510F0"/>
    <w:rsid w:val="007511F0"/>
    <w:rsid w:val="007562C6"/>
    <w:rsid w:val="0075781A"/>
    <w:rsid w:val="00764E42"/>
    <w:rsid w:val="00767FE8"/>
    <w:rsid w:val="0077687F"/>
    <w:rsid w:val="00786F3D"/>
    <w:rsid w:val="00792340"/>
    <w:rsid w:val="007A2B3F"/>
    <w:rsid w:val="007B0CE4"/>
    <w:rsid w:val="007C53F9"/>
    <w:rsid w:val="007C7021"/>
    <w:rsid w:val="007C7A65"/>
    <w:rsid w:val="007D555E"/>
    <w:rsid w:val="007D671D"/>
    <w:rsid w:val="007D7F0F"/>
    <w:rsid w:val="007E00AE"/>
    <w:rsid w:val="007E158A"/>
    <w:rsid w:val="007E3ACA"/>
    <w:rsid w:val="007E723E"/>
    <w:rsid w:val="007F4ECA"/>
    <w:rsid w:val="00802669"/>
    <w:rsid w:val="00814ED4"/>
    <w:rsid w:val="008153B6"/>
    <w:rsid w:val="008161C9"/>
    <w:rsid w:val="00831C8A"/>
    <w:rsid w:val="008345A3"/>
    <w:rsid w:val="00853AC9"/>
    <w:rsid w:val="00855826"/>
    <w:rsid w:val="00856767"/>
    <w:rsid w:val="008609A0"/>
    <w:rsid w:val="008639F4"/>
    <w:rsid w:val="00866E23"/>
    <w:rsid w:val="008704D7"/>
    <w:rsid w:val="00873231"/>
    <w:rsid w:val="00876759"/>
    <w:rsid w:val="00881C40"/>
    <w:rsid w:val="00883615"/>
    <w:rsid w:val="00886318"/>
    <w:rsid w:val="00886938"/>
    <w:rsid w:val="00891FB2"/>
    <w:rsid w:val="0089448E"/>
    <w:rsid w:val="008960DB"/>
    <w:rsid w:val="00896280"/>
    <w:rsid w:val="008A2D89"/>
    <w:rsid w:val="008B06B8"/>
    <w:rsid w:val="008B0ECD"/>
    <w:rsid w:val="008B7A60"/>
    <w:rsid w:val="008C09FD"/>
    <w:rsid w:val="008C204B"/>
    <w:rsid w:val="008C284A"/>
    <w:rsid w:val="008D51DA"/>
    <w:rsid w:val="008D631D"/>
    <w:rsid w:val="008D7C9F"/>
    <w:rsid w:val="008E03C3"/>
    <w:rsid w:val="008F1840"/>
    <w:rsid w:val="008F2AB5"/>
    <w:rsid w:val="008F6B37"/>
    <w:rsid w:val="00900399"/>
    <w:rsid w:val="00905071"/>
    <w:rsid w:val="0090655F"/>
    <w:rsid w:val="009075C8"/>
    <w:rsid w:val="00910A5E"/>
    <w:rsid w:val="00912BDF"/>
    <w:rsid w:val="00917ED3"/>
    <w:rsid w:val="009269B4"/>
    <w:rsid w:val="00934A57"/>
    <w:rsid w:val="009432CC"/>
    <w:rsid w:val="009438E8"/>
    <w:rsid w:val="0094415A"/>
    <w:rsid w:val="00946712"/>
    <w:rsid w:val="00967833"/>
    <w:rsid w:val="00974446"/>
    <w:rsid w:val="00975BF9"/>
    <w:rsid w:val="0098318B"/>
    <w:rsid w:val="00991757"/>
    <w:rsid w:val="0099425D"/>
    <w:rsid w:val="009943B0"/>
    <w:rsid w:val="00994D15"/>
    <w:rsid w:val="009A10D1"/>
    <w:rsid w:val="009A34AA"/>
    <w:rsid w:val="009A5235"/>
    <w:rsid w:val="009A52DB"/>
    <w:rsid w:val="009B1BA5"/>
    <w:rsid w:val="009B3F11"/>
    <w:rsid w:val="009B5A64"/>
    <w:rsid w:val="009C2C41"/>
    <w:rsid w:val="009C32D0"/>
    <w:rsid w:val="009C559F"/>
    <w:rsid w:val="009D37AA"/>
    <w:rsid w:val="009D4630"/>
    <w:rsid w:val="009D78C5"/>
    <w:rsid w:val="009E5460"/>
    <w:rsid w:val="009E5E07"/>
    <w:rsid w:val="009E67BD"/>
    <w:rsid w:val="009F3DBC"/>
    <w:rsid w:val="00A00736"/>
    <w:rsid w:val="00A03D99"/>
    <w:rsid w:val="00A0460D"/>
    <w:rsid w:val="00A11B8C"/>
    <w:rsid w:val="00A14718"/>
    <w:rsid w:val="00A16D7B"/>
    <w:rsid w:val="00A219EC"/>
    <w:rsid w:val="00A3577E"/>
    <w:rsid w:val="00A35906"/>
    <w:rsid w:val="00A35F38"/>
    <w:rsid w:val="00A3623E"/>
    <w:rsid w:val="00A41479"/>
    <w:rsid w:val="00A45721"/>
    <w:rsid w:val="00A50E2A"/>
    <w:rsid w:val="00A53146"/>
    <w:rsid w:val="00A53168"/>
    <w:rsid w:val="00A539D2"/>
    <w:rsid w:val="00A55973"/>
    <w:rsid w:val="00A55C78"/>
    <w:rsid w:val="00A62746"/>
    <w:rsid w:val="00A65894"/>
    <w:rsid w:val="00A70BC0"/>
    <w:rsid w:val="00A80B62"/>
    <w:rsid w:val="00A84057"/>
    <w:rsid w:val="00A845AA"/>
    <w:rsid w:val="00A84977"/>
    <w:rsid w:val="00A90353"/>
    <w:rsid w:val="00A9049E"/>
    <w:rsid w:val="00A90E38"/>
    <w:rsid w:val="00A931C8"/>
    <w:rsid w:val="00A9464A"/>
    <w:rsid w:val="00A963E5"/>
    <w:rsid w:val="00AA5BE3"/>
    <w:rsid w:val="00AA6D7E"/>
    <w:rsid w:val="00AA727D"/>
    <w:rsid w:val="00AB41EC"/>
    <w:rsid w:val="00AB476D"/>
    <w:rsid w:val="00AB4DC4"/>
    <w:rsid w:val="00AB6497"/>
    <w:rsid w:val="00AC1F7B"/>
    <w:rsid w:val="00AD5954"/>
    <w:rsid w:val="00AD5F47"/>
    <w:rsid w:val="00AD602C"/>
    <w:rsid w:val="00AE10F1"/>
    <w:rsid w:val="00AE17C4"/>
    <w:rsid w:val="00AE296B"/>
    <w:rsid w:val="00AF2C79"/>
    <w:rsid w:val="00B01D55"/>
    <w:rsid w:val="00B04E7F"/>
    <w:rsid w:val="00B073EC"/>
    <w:rsid w:val="00B12C2D"/>
    <w:rsid w:val="00B14671"/>
    <w:rsid w:val="00B21175"/>
    <w:rsid w:val="00B26427"/>
    <w:rsid w:val="00B31867"/>
    <w:rsid w:val="00B455F0"/>
    <w:rsid w:val="00B464C0"/>
    <w:rsid w:val="00B47196"/>
    <w:rsid w:val="00B47F81"/>
    <w:rsid w:val="00B51A5C"/>
    <w:rsid w:val="00B52045"/>
    <w:rsid w:val="00B614C6"/>
    <w:rsid w:val="00B64A28"/>
    <w:rsid w:val="00B64F35"/>
    <w:rsid w:val="00B6525A"/>
    <w:rsid w:val="00B65441"/>
    <w:rsid w:val="00B67191"/>
    <w:rsid w:val="00B67C15"/>
    <w:rsid w:val="00B70639"/>
    <w:rsid w:val="00B85056"/>
    <w:rsid w:val="00B872F1"/>
    <w:rsid w:val="00B900B0"/>
    <w:rsid w:val="00B92213"/>
    <w:rsid w:val="00BA2069"/>
    <w:rsid w:val="00BB4508"/>
    <w:rsid w:val="00BB5FA5"/>
    <w:rsid w:val="00BC20AC"/>
    <w:rsid w:val="00BC661C"/>
    <w:rsid w:val="00BD036A"/>
    <w:rsid w:val="00BD3A93"/>
    <w:rsid w:val="00BD50F7"/>
    <w:rsid w:val="00BD590E"/>
    <w:rsid w:val="00BD7633"/>
    <w:rsid w:val="00BF2AE9"/>
    <w:rsid w:val="00BF486C"/>
    <w:rsid w:val="00C0173D"/>
    <w:rsid w:val="00C02E4F"/>
    <w:rsid w:val="00C0757A"/>
    <w:rsid w:val="00C11568"/>
    <w:rsid w:val="00C16B80"/>
    <w:rsid w:val="00C20DD2"/>
    <w:rsid w:val="00C22841"/>
    <w:rsid w:val="00C27232"/>
    <w:rsid w:val="00C359BA"/>
    <w:rsid w:val="00C369D0"/>
    <w:rsid w:val="00C40B4A"/>
    <w:rsid w:val="00C46A46"/>
    <w:rsid w:val="00C4707E"/>
    <w:rsid w:val="00C558F1"/>
    <w:rsid w:val="00C6281A"/>
    <w:rsid w:val="00C66FD9"/>
    <w:rsid w:val="00C83612"/>
    <w:rsid w:val="00C86C7A"/>
    <w:rsid w:val="00C90BB5"/>
    <w:rsid w:val="00C9367A"/>
    <w:rsid w:val="00CA1744"/>
    <w:rsid w:val="00CA6FF9"/>
    <w:rsid w:val="00CB08B2"/>
    <w:rsid w:val="00CB08ED"/>
    <w:rsid w:val="00CB2E7A"/>
    <w:rsid w:val="00CB5671"/>
    <w:rsid w:val="00CC379E"/>
    <w:rsid w:val="00CD3E4A"/>
    <w:rsid w:val="00CD57C4"/>
    <w:rsid w:val="00CE00FE"/>
    <w:rsid w:val="00CE33FB"/>
    <w:rsid w:val="00CF163C"/>
    <w:rsid w:val="00CF211A"/>
    <w:rsid w:val="00CF4271"/>
    <w:rsid w:val="00D00114"/>
    <w:rsid w:val="00D02863"/>
    <w:rsid w:val="00D03790"/>
    <w:rsid w:val="00D03AD1"/>
    <w:rsid w:val="00D11757"/>
    <w:rsid w:val="00D12BD2"/>
    <w:rsid w:val="00D168AD"/>
    <w:rsid w:val="00D1797E"/>
    <w:rsid w:val="00D2392D"/>
    <w:rsid w:val="00D23DAA"/>
    <w:rsid w:val="00D43073"/>
    <w:rsid w:val="00D45988"/>
    <w:rsid w:val="00D5108D"/>
    <w:rsid w:val="00D55AAE"/>
    <w:rsid w:val="00D60E84"/>
    <w:rsid w:val="00D67B8B"/>
    <w:rsid w:val="00D71A91"/>
    <w:rsid w:val="00D85E77"/>
    <w:rsid w:val="00D905E6"/>
    <w:rsid w:val="00D912FB"/>
    <w:rsid w:val="00D94F69"/>
    <w:rsid w:val="00D96D53"/>
    <w:rsid w:val="00DA1C22"/>
    <w:rsid w:val="00DA3F80"/>
    <w:rsid w:val="00DA455E"/>
    <w:rsid w:val="00DA568A"/>
    <w:rsid w:val="00DA65FB"/>
    <w:rsid w:val="00DA70BF"/>
    <w:rsid w:val="00DB4E55"/>
    <w:rsid w:val="00DB5AFD"/>
    <w:rsid w:val="00DC37B3"/>
    <w:rsid w:val="00DD51FB"/>
    <w:rsid w:val="00DD54C1"/>
    <w:rsid w:val="00DD6211"/>
    <w:rsid w:val="00DD6847"/>
    <w:rsid w:val="00DE40C9"/>
    <w:rsid w:val="00DF2B28"/>
    <w:rsid w:val="00DF2BA7"/>
    <w:rsid w:val="00E017A4"/>
    <w:rsid w:val="00E1021F"/>
    <w:rsid w:val="00E14F97"/>
    <w:rsid w:val="00E178B7"/>
    <w:rsid w:val="00E22B94"/>
    <w:rsid w:val="00E2340D"/>
    <w:rsid w:val="00E33C20"/>
    <w:rsid w:val="00E367B8"/>
    <w:rsid w:val="00E4129C"/>
    <w:rsid w:val="00E41435"/>
    <w:rsid w:val="00E41AC3"/>
    <w:rsid w:val="00E41CB1"/>
    <w:rsid w:val="00E54C38"/>
    <w:rsid w:val="00E54FB8"/>
    <w:rsid w:val="00E555FB"/>
    <w:rsid w:val="00E61418"/>
    <w:rsid w:val="00E676C0"/>
    <w:rsid w:val="00E70019"/>
    <w:rsid w:val="00EA48D0"/>
    <w:rsid w:val="00EA6B4E"/>
    <w:rsid w:val="00EA6E4E"/>
    <w:rsid w:val="00EC1D80"/>
    <w:rsid w:val="00EC4429"/>
    <w:rsid w:val="00EC4800"/>
    <w:rsid w:val="00EC6067"/>
    <w:rsid w:val="00ED3FF4"/>
    <w:rsid w:val="00EE490A"/>
    <w:rsid w:val="00EE541C"/>
    <w:rsid w:val="00EE77B2"/>
    <w:rsid w:val="00EF1916"/>
    <w:rsid w:val="00EF6EA5"/>
    <w:rsid w:val="00F0706B"/>
    <w:rsid w:val="00F227E3"/>
    <w:rsid w:val="00F30538"/>
    <w:rsid w:val="00F306C5"/>
    <w:rsid w:val="00F33B0E"/>
    <w:rsid w:val="00F34779"/>
    <w:rsid w:val="00F35210"/>
    <w:rsid w:val="00F36049"/>
    <w:rsid w:val="00F37141"/>
    <w:rsid w:val="00F41395"/>
    <w:rsid w:val="00F507BF"/>
    <w:rsid w:val="00F53B5E"/>
    <w:rsid w:val="00F54F3D"/>
    <w:rsid w:val="00F61433"/>
    <w:rsid w:val="00F70114"/>
    <w:rsid w:val="00F7024C"/>
    <w:rsid w:val="00F714A1"/>
    <w:rsid w:val="00F722FF"/>
    <w:rsid w:val="00F9071B"/>
    <w:rsid w:val="00F950ED"/>
    <w:rsid w:val="00F96D76"/>
    <w:rsid w:val="00FA04F6"/>
    <w:rsid w:val="00FA55A3"/>
    <w:rsid w:val="00FB7B97"/>
    <w:rsid w:val="00FC4B46"/>
    <w:rsid w:val="00FC7F63"/>
    <w:rsid w:val="00FD4806"/>
    <w:rsid w:val="00FD5460"/>
    <w:rsid w:val="00FE57CF"/>
    <w:rsid w:val="0C9F6CA2"/>
    <w:rsid w:val="0D6261E2"/>
    <w:rsid w:val="10042986"/>
    <w:rsid w:val="19EF21D0"/>
    <w:rsid w:val="1E875215"/>
    <w:rsid w:val="1FBE8A98"/>
    <w:rsid w:val="20BE33A0"/>
    <w:rsid w:val="21D63C16"/>
    <w:rsid w:val="23D871BD"/>
    <w:rsid w:val="296D6B05"/>
    <w:rsid w:val="2B70236E"/>
    <w:rsid w:val="2BFD3D16"/>
    <w:rsid w:val="2D893995"/>
    <w:rsid w:val="2DF00719"/>
    <w:rsid w:val="2DFBABA7"/>
    <w:rsid w:val="2F1BD905"/>
    <w:rsid w:val="2F5C0CD0"/>
    <w:rsid w:val="3057197E"/>
    <w:rsid w:val="32CE3D7D"/>
    <w:rsid w:val="33F97112"/>
    <w:rsid w:val="379326B9"/>
    <w:rsid w:val="3A8FD2B5"/>
    <w:rsid w:val="3B3A77FE"/>
    <w:rsid w:val="3D7EAB9D"/>
    <w:rsid w:val="3F9FC91C"/>
    <w:rsid w:val="3FD45530"/>
    <w:rsid w:val="3FD70C97"/>
    <w:rsid w:val="403976F5"/>
    <w:rsid w:val="49BF805F"/>
    <w:rsid w:val="504F7091"/>
    <w:rsid w:val="56DF4F3A"/>
    <w:rsid w:val="56F03943"/>
    <w:rsid w:val="585B6DBA"/>
    <w:rsid w:val="5A2453D9"/>
    <w:rsid w:val="5B9C00AC"/>
    <w:rsid w:val="5E580449"/>
    <w:rsid w:val="6432055C"/>
    <w:rsid w:val="657A6C78"/>
    <w:rsid w:val="66EEB93A"/>
    <w:rsid w:val="6E7FB664"/>
    <w:rsid w:val="72C1503F"/>
    <w:rsid w:val="733938C6"/>
    <w:rsid w:val="73D59185"/>
    <w:rsid w:val="76FFBF1C"/>
    <w:rsid w:val="77FB3843"/>
    <w:rsid w:val="79A61220"/>
    <w:rsid w:val="7ACCF263"/>
    <w:rsid w:val="7C6C0EEF"/>
    <w:rsid w:val="7DDDEED2"/>
    <w:rsid w:val="7DE69210"/>
    <w:rsid w:val="7DFDDB80"/>
    <w:rsid w:val="7F37509A"/>
    <w:rsid w:val="7F8D2F6B"/>
    <w:rsid w:val="7FAF2191"/>
    <w:rsid w:val="7FF944C3"/>
    <w:rsid w:val="7FFBAAF4"/>
    <w:rsid w:val="7FFF2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spacing w:line="520" w:lineRule="exact"/>
      <w:ind w:firstLineChars="200" w:firstLine="200"/>
      <w:jc w:val="both"/>
    </w:pPr>
    <w:rPr>
      <w:rFonts w:eastAsia="仿宋"/>
      <w:sz w:val="32"/>
      <w:szCs w:val="28"/>
    </w:rPr>
  </w:style>
  <w:style w:type="paragraph" w:styleId="1">
    <w:name w:val="heading 1"/>
    <w:basedOn w:val="a"/>
    <w:next w:val="a"/>
    <w:qFormat/>
    <w:pPr>
      <w:spacing w:before="156" w:after="156" w:line="610" w:lineRule="exact"/>
      <w:ind w:firstLineChars="0" w:firstLine="0"/>
      <w:jc w:val="center"/>
      <w:outlineLvl w:val="0"/>
    </w:pPr>
    <w:rPr>
      <w:rFonts w:ascii="宋体" w:eastAsia="黑体" w:hAnsi="宋体" w:cs="宋体"/>
      <w:color w:val="000000"/>
      <w:kern w:val="32"/>
      <w:szCs w:val="32"/>
    </w:rPr>
  </w:style>
  <w:style w:type="paragraph" w:styleId="2">
    <w:name w:val="heading 2"/>
    <w:basedOn w:val="a"/>
    <w:next w:val="a"/>
    <w:link w:val="2Char"/>
    <w:qFormat/>
    <w:pPr>
      <w:numPr>
        <w:numId w:val="1"/>
      </w:numPr>
      <w:spacing w:before="360" w:after="156"/>
      <w:ind w:left="0" w:firstLine="640"/>
      <w:outlineLvl w:val="1"/>
    </w:pPr>
    <w:rPr>
      <w:rFonts w:eastAsia="黑体" w:cs="Arial"/>
      <w:bCs/>
      <w:iCs/>
      <w:color w:val="000000"/>
      <w:szCs w:val="32"/>
    </w:rPr>
  </w:style>
  <w:style w:type="paragraph" w:styleId="3">
    <w:name w:val="heading 3"/>
    <w:basedOn w:val="a"/>
    <w:next w:val="a"/>
    <w:link w:val="3Char"/>
    <w:qFormat/>
    <w:pPr>
      <w:keepNext/>
      <w:spacing w:beforeLines="50"/>
      <w:ind w:firstLineChars="0" w:firstLine="0"/>
      <w:jc w:val="center"/>
      <w:outlineLvl w:val="2"/>
    </w:pPr>
    <w:rPr>
      <w:rFonts w:eastAsia="黑体" w:cs="Arial"/>
      <w:bCs/>
      <w:szCs w:val="26"/>
    </w:rPr>
  </w:style>
  <w:style w:type="paragraph" w:styleId="4">
    <w:name w:val="heading 4"/>
    <w:basedOn w:val="a"/>
    <w:next w:val="a"/>
    <w:qFormat/>
    <w:pPr>
      <w:keepNext/>
      <w:spacing w:before="156"/>
      <w:ind w:firstLine="562"/>
      <w:outlineLvl w:val="3"/>
    </w:pPr>
    <w:rPr>
      <w:rFonts w:ascii="宋体" w:eastAsia="宋体" w:hAnsi="宋体" w:cs="宋体"/>
      <w:b/>
      <w:i/>
      <w:iCs/>
    </w:rPr>
  </w:style>
  <w:style w:type="paragraph" w:styleId="5">
    <w:name w:val="heading 5"/>
    <w:basedOn w:val="a"/>
    <w:next w:val="a"/>
    <w:qFormat/>
    <w:pPr>
      <w:spacing w:after="60"/>
      <w:outlineLvl w:val="4"/>
    </w:pPr>
    <w:rPr>
      <w:b/>
      <w:bCs/>
      <w:i/>
      <w:iCs/>
      <w:sz w:val="26"/>
      <w:szCs w:val="26"/>
    </w:rPr>
  </w:style>
  <w:style w:type="paragraph" w:styleId="6">
    <w:name w:val="heading 6"/>
    <w:basedOn w:val="a"/>
    <w:next w:val="a"/>
    <w:qFormat/>
    <w:pPr>
      <w:spacing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after="120"/>
    </w:pPr>
  </w:style>
  <w:style w:type="paragraph" w:styleId="7">
    <w:name w:val="toc 7"/>
    <w:basedOn w:val="a"/>
    <w:next w:val="a"/>
    <w:uiPriority w:val="39"/>
    <w:unhideWhenUsed/>
    <w:qFormat/>
    <w:pPr>
      <w:widowControl w:val="0"/>
      <w:ind w:leftChars="1200" w:left="2520"/>
    </w:pPr>
    <w:rPr>
      <w:rFonts w:ascii="Calibri" w:hAnsi="Calibri"/>
      <w:kern w:val="2"/>
      <w:sz w:val="21"/>
      <w:szCs w:val="22"/>
    </w:rPr>
  </w:style>
  <w:style w:type="paragraph" w:styleId="a4">
    <w:name w:val="Normal Indent"/>
    <w:basedOn w:val="a"/>
    <w:qFormat/>
    <w:pPr>
      <w:ind w:firstLine="420"/>
    </w:pPr>
  </w:style>
  <w:style w:type="paragraph" w:styleId="a5">
    <w:name w:val="Document Map"/>
    <w:basedOn w:val="a"/>
    <w:link w:val="Char0"/>
    <w:qFormat/>
    <w:rPr>
      <w:rFonts w:ascii="Microsoft YaHei UI" w:eastAsia="Microsoft YaHei UI"/>
      <w:sz w:val="18"/>
      <w:szCs w:val="18"/>
    </w:rPr>
  </w:style>
  <w:style w:type="paragraph" w:styleId="a6">
    <w:name w:val="annotation text"/>
    <w:basedOn w:val="a"/>
    <w:link w:val="Char1"/>
    <w:qFormat/>
  </w:style>
  <w:style w:type="paragraph" w:styleId="50">
    <w:name w:val="toc 5"/>
    <w:basedOn w:val="a"/>
    <w:next w:val="a"/>
    <w:uiPriority w:val="39"/>
    <w:unhideWhenUsed/>
    <w:qFormat/>
    <w:pPr>
      <w:widowControl w:val="0"/>
      <w:ind w:leftChars="800" w:left="1680"/>
    </w:pPr>
    <w:rPr>
      <w:rFonts w:ascii="Calibri" w:hAnsi="Calibri"/>
      <w:kern w:val="2"/>
      <w:sz w:val="21"/>
      <w:szCs w:val="22"/>
    </w:rPr>
  </w:style>
  <w:style w:type="paragraph" w:styleId="30">
    <w:name w:val="toc 3"/>
    <w:basedOn w:val="a"/>
    <w:next w:val="a"/>
    <w:uiPriority w:val="39"/>
    <w:qFormat/>
    <w:pPr>
      <w:tabs>
        <w:tab w:val="left" w:pos="1400"/>
        <w:tab w:val="right" w:leader="dot" w:pos="8296"/>
      </w:tabs>
      <w:spacing w:line="360" w:lineRule="exact"/>
      <w:ind w:firstLineChars="300" w:firstLine="840"/>
    </w:pPr>
    <w:rPr>
      <w:rFonts w:eastAsia="楷体"/>
      <w:szCs w:val="24"/>
    </w:rPr>
  </w:style>
  <w:style w:type="paragraph" w:styleId="a7">
    <w:name w:val="Plain Text"/>
    <w:basedOn w:val="a"/>
    <w:link w:val="Char2"/>
    <w:qFormat/>
    <w:rPr>
      <w:rFonts w:ascii="宋体" w:eastAsia="宋体" w:hAnsi="Courier New" w:cs="Courier New"/>
    </w:rPr>
  </w:style>
  <w:style w:type="paragraph" w:styleId="8">
    <w:name w:val="toc 8"/>
    <w:basedOn w:val="a"/>
    <w:next w:val="a"/>
    <w:uiPriority w:val="39"/>
    <w:unhideWhenUsed/>
    <w:qFormat/>
    <w:pPr>
      <w:widowControl w:val="0"/>
      <w:ind w:leftChars="1400" w:left="2940"/>
    </w:pPr>
    <w:rPr>
      <w:rFonts w:ascii="Calibri" w:hAnsi="Calibri"/>
      <w:kern w:val="2"/>
      <w:sz w:val="21"/>
      <w:szCs w:val="22"/>
    </w:rPr>
  </w:style>
  <w:style w:type="paragraph" w:styleId="20">
    <w:name w:val="Body Text Indent 2"/>
    <w:basedOn w:val="a"/>
    <w:link w:val="2Char0"/>
    <w:qFormat/>
    <w:pPr>
      <w:widowControl w:val="0"/>
      <w:suppressAutoHyphens/>
      <w:spacing w:after="120" w:line="480" w:lineRule="auto"/>
      <w:ind w:leftChars="200" w:left="420" w:firstLineChars="0" w:firstLine="0"/>
    </w:pPr>
    <w:rPr>
      <w:rFonts w:ascii="Calibri" w:eastAsia="宋体" w:hAnsi="Calibri"/>
      <w:kern w:val="2"/>
      <w:sz w:val="21"/>
      <w:szCs w:val="24"/>
    </w:rPr>
  </w:style>
  <w:style w:type="paragraph" w:styleId="a8">
    <w:name w:val="Balloon Text"/>
    <w:basedOn w:val="a"/>
    <w:link w:val="Char3"/>
    <w:unhideWhenUsed/>
    <w:qFormat/>
    <w:pPr>
      <w:spacing w:line="240" w:lineRule="auto"/>
    </w:pPr>
    <w:rPr>
      <w:sz w:val="18"/>
      <w:szCs w:val="18"/>
    </w:rPr>
  </w:style>
  <w:style w:type="paragraph" w:styleId="a9">
    <w:name w:val="footer"/>
    <w:basedOn w:val="a"/>
    <w:link w:val="Char4"/>
    <w:uiPriority w:val="99"/>
    <w:qFormat/>
    <w:pPr>
      <w:tabs>
        <w:tab w:val="center" w:pos="4153"/>
        <w:tab w:val="right" w:pos="8306"/>
      </w:tabs>
      <w:snapToGrid w:val="0"/>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beforeLines="50" w:afterLines="50" w:line="400" w:lineRule="exact"/>
      <w:ind w:firstLine="562"/>
    </w:pPr>
    <w:rPr>
      <w:rFonts w:eastAsia="黑体"/>
      <w:b/>
      <w:bCs/>
    </w:rPr>
  </w:style>
  <w:style w:type="paragraph" w:styleId="40">
    <w:name w:val="toc 4"/>
    <w:basedOn w:val="a"/>
    <w:next w:val="a"/>
    <w:uiPriority w:val="39"/>
    <w:unhideWhenUsed/>
    <w:qFormat/>
    <w:pPr>
      <w:widowControl w:val="0"/>
      <w:ind w:leftChars="600" w:left="1680"/>
    </w:pPr>
    <w:rPr>
      <w:rFonts w:ascii="Calibri" w:hAnsi="Calibri"/>
      <w:kern w:val="2"/>
      <w:sz w:val="21"/>
      <w:szCs w:val="22"/>
    </w:rPr>
  </w:style>
  <w:style w:type="paragraph" w:styleId="60">
    <w:name w:val="toc 6"/>
    <w:basedOn w:val="a"/>
    <w:next w:val="a"/>
    <w:uiPriority w:val="39"/>
    <w:unhideWhenUsed/>
    <w:qFormat/>
    <w:pPr>
      <w:widowControl w:val="0"/>
      <w:ind w:leftChars="1000" w:left="2100"/>
    </w:pPr>
    <w:rPr>
      <w:rFonts w:ascii="Calibri" w:hAnsi="Calibri"/>
      <w:kern w:val="2"/>
      <w:sz w:val="21"/>
      <w:szCs w:val="22"/>
    </w:rPr>
  </w:style>
  <w:style w:type="paragraph" w:styleId="21">
    <w:name w:val="toc 2"/>
    <w:basedOn w:val="a"/>
    <w:next w:val="a"/>
    <w:uiPriority w:val="39"/>
    <w:qFormat/>
    <w:pPr>
      <w:tabs>
        <w:tab w:val="left" w:pos="880"/>
        <w:tab w:val="left" w:pos="2100"/>
        <w:tab w:val="right" w:leader="dot" w:pos="8630"/>
      </w:tabs>
      <w:spacing w:line="400" w:lineRule="exact"/>
    </w:pPr>
    <w:rPr>
      <w:b/>
      <w:sz w:val="30"/>
    </w:rPr>
  </w:style>
  <w:style w:type="paragraph" w:styleId="9">
    <w:name w:val="toc 9"/>
    <w:basedOn w:val="a"/>
    <w:next w:val="a"/>
    <w:uiPriority w:val="39"/>
    <w:unhideWhenUsed/>
    <w:qFormat/>
    <w:pPr>
      <w:widowControl w:val="0"/>
      <w:ind w:leftChars="1600" w:left="3360"/>
    </w:pPr>
    <w:rPr>
      <w:rFonts w:ascii="Calibri" w:hAnsi="Calibri"/>
      <w:kern w:val="2"/>
      <w:sz w:val="21"/>
      <w:szCs w:val="22"/>
    </w:rPr>
  </w:style>
  <w:style w:type="paragraph" w:styleId="ab">
    <w:name w:val="Normal (Web)"/>
    <w:basedOn w:val="a"/>
    <w:uiPriority w:val="99"/>
    <w:unhideWhenUsed/>
    <w:qFormat/>
    <w:pPr>
      <w:spacing w:before="100" w:beforeAutospacing="1" w:after="100" w:afterAutospacing="1"/>
      <w:ind w:firstLine="0"/>
    </w:pPr>
    <w:rPr>
      <w:rFonts w:ascii="宋体" w:eastAsia="宋体" w:hAnsi="宋体" w:cs="宋体"/>
    </w:rPr>
  </w:style>
  <w:style w:type="paragraph" w:styleId="ac">
    <w:name w:val="Title"/>
    <w:basedOn w:val="a"/>
    <w:qFormat/>
    <w:pPr>
      <w:spacing w:after="60"/>
      <w:jc w:val="center"/>
      <w:outlineLvl w:val="0"/>
    </w:pPr>
    <w:rPr>
      <w:rFonts w:ascii="Arial" w:hAnsi="Arial" w:cs="Arial"/>
      <w:b/>
      <w:bCs/>
      <w:kern w:val="28"/>
      <w:szCs w:val="32"/>
    </w:rPr>
  </w:style>
  <w:style w:type="paragraph" w:styleId="ad">
    <w:name w:val="annotation subject"/>
    <w:basedOn w:val="a6"/>
    <w:next w:val="a6"/>
    <w:link w:val="Char6"/>
    <w:unhideWhenUsed/>
    <w:qFormat/>
    <w:rPr>
      <w:b/>
      <w:bCs/>
    </w:rPr>
  </w:style>
  <w:style w:type="table" w:styleId="ae">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unhideWhenUsed/>
    <w:qFormat/>
    <w:rPr>
      <w:color w:val="800080"/>
      <w:u w:val="single"/>
    </w:rPr>
  </w:style>
  <w:style w:type="character" w:styleId="af0">
    <w:name w:val="Hyperlink"/>
    <w:uiPriority w:val="99"/>
    <w:qFormat/>
    <w:rPr>
      <w:color w:val="0000FF"/>
      <w:u w:val="single"/>
    </w:rPr>
  </w:style>
  <w:style w:type="character" w:styleId="af1">
    <w:name w:val="annotation reference"/>
    <w:qFormat/>
    <w:rPr>
      <w:sz w:val="21"/>
      <w:szCs w:val="21"/>
    </w:rPr>
  </w:style>
  <w:style w:type="character" w:styleId="HTML">
    <w:name w:val="HTML Cite"/>
    <w:qFormat/>
    <w:rPr>
      <w:i/>
      <w:iCs/>
    </w:rPr>
  </w:style>
  <w:style w:type="character" w:customStyle="1" w:styleId="Char">
    <w:name w:val="正文文本 Char"/>
    <w:link w:val="a0"/>
    <w:qFormat/>
    <w:rPr>
      <w:rFonts w:eastAsia="仿宋"/>
      <w:sz w:val="28"/>
      <w:szCs w:val="28"/>
    </w:rPr>
  </w:style>
  <w:style w:type="character" w:customStyle="1" w:styleId="2Char">
    <w:name w:val="标题 2 Char"/>
    <w:link w:val="2"/>
    <w:qFormat/>
    <w:rPr>
      <w:rFonts w:eastAsia="黑体" w:cs="Arial"/>
      <w:bCs/>
      <w:iCs/>
      <w:color w:val="000000"/>
      <w:sz w:val="32"/>
      <w:szCs w:val="32"/>
    </w:rPr>
  </w:style>
  <w:style w:type="character" w:customStyle="1" w:styleId="3Char">
    <w:name w:val="标题 3 Char"/>
    <w:link w:val="3"/>
    <w:qFormat/>
    <w:rPr>
      <w:rFonts w:eastAsia="黑体" w:cs="Arial"/>
      <w:bCs/>
      <w:sz w:val="32"/>
      <w:szCs w:val="26"/>
    </w:rPr>
  </w:style>
  <w:style w:type="character" w:customStyle="1" w:styleId="Char0">
    <w:name w:val="文档结构图 Char"/>
    <w:link w:val="a5"/>
    <w:qFormat/>
    <w:rPr>
      <w:rFonts w:ascii="Microsoft YaHei UI" w:eastAsia="Microsoft YaHei UI"/>
      <w:sz w:val="18"/>
      <w:szCs w:val="18"/>
    </w:rPr>
  </w:style>
  <w:style w:type="character" w:customStyle="1" w:styleId="Char1">
    <w:name w:val="批注文字 Char"/>
    <w:link w:val="a6"/>
    <w:qFormat/>
    <w:rPr>
      <w:rFonts w:eastAsia="仿宋"/>
      <w:sz w:val="28"/>
      <w:szCs w:val="28"/>
    </w:rPr>
  </w:style>
  <w:style w:type="character" w:customStyle="1" w:styleId="Char2">
    <w:name w:val="纯文本 Char"/>
    <w:link w:val="a7"/>
    <w:qFormat/>
    <w:rPr>
      <w:rFonts w:ascii="宋体" w:hAnsi="Courier New" w:cs="Courier New"/>
      <w:sz w:val="28"/>
      <w:szCs w:val="28"/>
    </w:rPr>
  </w:style>
  <w:style w:type="character" w:customStyle="1" w:styleId="2Char0">
    <w:name w:val="正文文本缩进 2 Char"/>
    <w:link w:val="20"/>
    <w:qFormat/>
    <w:rPr>
      <w:rFonts w:ascii="Calibri" w:hAnsi="Calibri"/>
      <w:kern w:val="2"/>
      <w:sz w:val="21"/>
      <w:szCs w:val="24"/>
    </w:rPr>
  </w:style>
  <w:style w:type="character" w:customStyle="1" w:styleId="Char3">
    <w:name w:val="批注框文本 Char"/>
    <w:link w:val="a8"/>
    <w:semiHidden/>
    <w:qFormat/>
    <w:rPr>
      <w:rFonts w:eastAsia="仿宋"/>
      <w:sz w:val="18"/>
      <w:szCs w:val="18"/>
    </w:rPr>
  </w:style>
  <w:style w:type="character" w:customStyle="1" w:styleId="Char4">
    <w:name w:val="页脚 Char"/>
    <w:link w:val="a9"/>
    <w:uiPriority w:val="99"/>
    <w:qFormat/>
    <w:rPr>
      <w:sz w:val="18"/>
      <w:szCs w:val="18"/>
    </w:rPr>
  </w:style>
  <w:style w:type="character" w:customStyle="1" w:styleId="Char5">
    <w:name w:val="页眉 Char"/>
    <w:link w:val="aa"/>
    <w:qFormat/>
    <w:rPr>
      <w:sz w:val="18"/>
      <w:szCs w:val="18"/>
    </w:rPr>
  </w:style>
  <w:style w:type="character" w:customStyle="1" w:styleId="Char6">
    <w:name w:val="批注主题 Char"/>
    <w:link w:val="ad"/>
    <w:semiHidden/>
    <w:qFormat/>
    <w:rPr>
      <w:rFonts w:eastAsia="仿宋"/>
      <w:b/>
      <w:bCs/>
      <w:sz w:val="28"/>
      <w:szCs w:val="28"/>
    </w:rPr>
  </w:style>
  <w:style w:type="paragraph" w:styleId="af2">
    <w:name w:val="List Paragraph"/>
    <w:basedOn w:val="a"/>
    <w:uiPriority w:val="99"/>
    <w:qFormat/>
    <w:rPr>
      <w:rFonts w:eastAsia="楷体"/>
      <w:color w:val="C00000"/>
      <w:u w:val="single"/>
    </w:rPr>
  </w:style>
  <w:style w:type="character" w:customStyle="1" w:styleId="11">
    <w:name w:val="未处理的提及1"/>
    <w:uiPriority w:val="99"/>
    <w:unhideWhenUsed/>
    <w:qFormat/>
    <w:rPr>
      <w:color w:val="605E5C"/>
      <w:shd w:val="clear" w:color="auto" w:fill="E1DFDD"/>
    </w:rPr>
  </w:style>
  <w:style w:type="paragraph" w:customStyle="1" w:styleId="af3">
    <w:name w:val="说明"/>
    <w:basedOn w:val="a"/>
    <w:qFormat/>
    <w:pPr>
      <w:spacing w:before="120" w:afterLines="50" w:line="400" w:lineRule="exact"/>
      <w:ind w:firstLine="480"/>
    </w:pPr>
    <w:rPr>
      <w:rFonts w:eastAsia="楷体"/>
      <w:bCs/>
      <w:sz w:val="24"/>
      <w:szCs w:val="24"/>
    </w:rPr>
  </w:style>
  <w:style w:type="paragraph" w:customStyle="1" w:styleId="12">
    <w:name w:val="修订1"/>
    <w:uiPriority w:val="99"/>
    <w:semiHidden/>
    <w:qFormat/>
    <w:pPr>
      <w:spacing w:before="240" w:line="520" w:lineRule="exact"/>
      <w:ind w:firstLine="420"/>
    </w:pPr>
    <w:rPr>
      <w:rFonts w:eastAsia="仿宋"/>
      <w:sz w:val="24"/>
      <w:szCs w:val="24"/>
    </w:rPr>
  </w:style>
  <w:style w:type="paragraph" w:customStyle="1" w:styleId="13">
    <w:name w:val="列表段落1"/>
    <w:basedOn w:val="a"/>
    <w:uiPriority w:val="34"/>
    <w:qFormat/>
    <w:pPr>
      <w:widowControl w:val="0"/>
      <w:overflowPunct w:val="0"/>
      <w:adjustRightInd w:val="0"/>
      <w:snapToGrid w:val="0"/>
      <w:spacing w:line="300" w:lineRule="auto"/>
    </w:pPr>
    <w:rPr>
      <w:rFonts w:ascii="仿宋" w:hAnsi="仿宋" w:cs="仿宋"/>
      <w:kern w:val="2"/>
      <w:szCs w:val="32"/>
    </w:rPr>
  </w:style>
  <w:style w:type="paragraph" w:customStyle="1" w:styleId="TOC1">
    <w:name w:val="TOC 标题1"/>
    <w:basedOn w:val="1"/>
    <w:next w:val="a"/>
    <w:uiPriority w:val="39"/>
    <w:unhideWhenUsed/>
    <w:qFormat/>
    <w:pPr>
      <w:keepNext/>
      <w:keepLines/>
      <w:spacing w:before="240" w:after="0" w:line="259" w:lineRule="auto"/>
      <w:jc w:val="left"/>
      <w:outlineLvl w:val="9"/>
    </w:pPr>
    <w:rPr>
      <w:rFonts w:ascii="Cambria" w:eastAsia="宋体" w:hAnsi="Cambria" w:cs="Times New Roman"/>
      <w:color w:val="365F91"/>
      <w:kern w:val="0"/>
    </w:rPr>
  </w:style>
  <w:style w:type="character" w:customStyle="1" w:styleId="22">
    <w:name w:val="未处理的提及2"/>
    <w:uiPriority w:val="99"/>
    <w:unhideWhenUsed/>
    <w:qFormat/>
    <w:rPr>
      <w:color w:val="605E5C"/>
      <w:shd w:val="clear" w:color="auto" w:fill="E1DFDD"/>
    </w:rPr>
  </w:style>
  <w:style w:type="paragraph" w:customStyle="1" w:styleId="af4">
    <w:name w:val="内容"/>
    <w:basedOn w:val="a"/>
    <w:qFormat/>
    <w:pPr>
      <w:spacing w:line="288" w:lineRule="auto"/>
      <w:ind w:firstLineChars="0" w:firstLine="0"/>
      <w:jc w:val="left"/>
    </w:pPr>
    <w:rPr>
      <w:rFonts w:eastAsia="宋体"/>
      <w:sz w:val="24"/>
      <w:szCs w:val="24"/>
    </w:rPr>
  </w:style>
  <w:style w:type="character" w:customStyle="1" w:styleId="31">
    <w:name w:val="未处理的提及3"/>
    <w:uiPriority w:val="99"/>
    <w:unhideWhenUsed/>
    <w:qFormat/>
    <w:rPr>
      <w:color w:val="605E5C"/>
      <w:shd w:val="clear" w:color="auto" w:fill="E1DFDD"/>
    </w:rPr>
  </w:style>
  <w:style w:type="paragraph" w:customStyle="1" w:styleId="23">
    <w:name w:val="修订2"/>
    <w:uiPriority w:val="99"/>
    <w:semiHidden/>
    <w:qFormat/>
    <w:rPr>
      <w:rFonts w:eastAsia="仿宋"/>
      <w:sz w:val="28"/>
      <w:szCs w:val="28"/>
    </w:rPr>
  </w:style>
  <w:style w:type="paragraph" w:customStyle="1" w:styleId="TOC2">
    <w:name w:val="TOC 标题2"/>
    <w:basedOn w:val="1"/>
    <w:next w:val="a"/>
    <w:uiPriority w:val="39"/>
    <w:unhideWhenUsed/>
    <w:qFormat/>
    <w:pPr>
      <w:keepNext/>
      <w:keepLines/>
      <w:spacing w:before="240" w:after="0" w:line="259" w:lineRule="auto"/>
      <w:jc w:val="left"/>
      <w:outlineLvl w:val="9"/>
    </w:pPr>
    <w:rPr>
      <w:rFonts w:ascii="Cambria" w:eastAsia="宋体" w:hAnsi="Cambria" w:cs="Times New Roman"/>
      <w:color w:val="365F91"/>
      <w:kern w:val="0"/>
    </w:rPr>
  </w:style>
  <w:style w:type="character" w:customStyle="1" w:styleId="41">
    <w:name w:val="未处理的提及4"/>
    <w:uiPriority w:val="99"/>
    <w:unhideWhenUsed/>
    <w:qFormat/>
    <w:rPr>
      <w:color w:val="605E5C"/>
      <w:shd w:val="clear" w:color="auto" w:fill="E1DFDD"/>
    </w:rPr>
  </w:style>
  <w:style w:type="paragraph" w:customStyle="1" w:styleId="110">
    <w:name w:val="目录 11"/>
    <w:next w:val="a"/>
    <w:qFormat/>
    <w:pPr>
      <w:wordWrap w:val="0"/>
      <w:jc w:val="both"/>
    </w:pPr>
    <w:rPr>
      <w:sz w:val="21"/>
      <w:szCs w:val="22"/>
    </w:rPr>
  </w:style>
  <w:style w:type="character" w:customStyle="1" w:styleId="51">
    <w:name w:val="未处理的提及5"/>
    <w:uiPriority w:val="99"/>
    <w:unhideWhenUsed/>
    <w:qFormat/>
    <w:rPr>
      <w:color w:val="605E5C"/>
      <w:shd w:val="clear" w:color="auto" w:fill="E1DFDD"/>
    </w:rPr>
  </w:style>
  <w:style w:type="character" w:customStyle="1" w:styleId="61">
    <w:name w:val="未处理的提及6"/>
    <w:uiPriority w:val="99"/>
    <w:unhideWhenUsed/>
    <w:qFormat/>
    <w:rPr>
      <w:color w:val="605E5C"/>
      <w:shd w:val="clear" w:color="auto" w:fill="E1DFDD"/>
    </w:rPr>
  </w:style>
  <w:style w:type="character" w:customStyle="1" w:styleId="UnresolvedMention">
    <w:name w:val="Unresolved Mention"/>
    <w:uiPriority w:val="99"/>
    <w:unhideWhenUsed/>
    <w:qFormat/>
    <w:rPr>
      <w:color w:val="605E5C"/>
      <w:shd w:val="clear" w:color="auto" w:fill="E1DFDD"/>
    </w:rPr>
  </w:style>
  <w:style w:type="paragraph" w:customStyle="1" w:styleId="32">
    <w:name w:val="修订3"/>
    <w:uiPriority w:val="99"/>
    <w:semiHidden/>
    <w:qFormat/>
    <w:rPr>
      <w:rFonts w:eastAsia="仿宋"/>
      <w:sz w:val="32"/>
      <w:szCs w:val="28"/>
    </w:rPr>
  </w:style>
  <w:style w:type="character" w:customStyle="1" w:styleId="NormalCharacter">
    <w:name w:val="NormalCharacter"/>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uiPriority="99"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spacing w:line="520" w:lineRule="exact"/>
      <w:ind w:firstLineChars="200" w:firstLine="200"/>
      <w:jc w:val="both"/>
    </w:pPr>
    <w:rPr>
      <w:rFonts w:eastAsia="仿宋"/>
      <w:sz w:val="32"/>
      <w:szCs w:val="28"/>
    </w:rPr>
  </w:style>
  <w:style w:type="paragraph" w:styleId="1">
    <w:name w:val="heading 1"/>
    <w:basedOn w:val="a"/>
    <w:next w:val="a"/>
    <w:qFormat/>
    <w:pPr>
      <w:spacing w:before="156" w:after="156" w:line="610" w:lineRule="exact"/>
      <w:ind w:firstLineChars="0" w:firstLine="0"/>
      <w:jc w:val="center"/>
      <w:outlineLvl w:val="0"/>
    </w:pPr>
    <w:rPr>
      <w:rFonts w:ascii="宋体" w:eastAsia="黑体" w:hAnsi="宋体" w:cs="宋体"/>
      <w:color w:val="000000"/>
      <w:kern w:val="32"/>
      <w:szCs w:val="32"/>
    </w:rPr>
  </w:style>
  <w:style w:type="paragraph" w:styleId="2">
    <w:name w:val="heading 2"/>
    <w:basedOn w:val="a"/>
    <w:next w:val="a"/>
    <w:link w:val="2Char"/>
    <w:qFormat/>
    <w:pPr>
      <w:numPr>
        <w:numId w:val="1"/>
      </w:numPr>
      <w:spacing w:before="360" w:after="156"/>
      <w:ind w:left="0" w:firstLine="640"/>
      <w:outlineLvl w:val="1"/>
    </w:pPr>
    <w:rPr>
      <w:rFonts w:eastAsia="黑体" w:cs="Arial"/>
      <w:bCs/>
      <w:iCs/>
      <w:color w:val="000000"/>
      <w:szCs w:val="32"/>
    </w:rPr>
  </w:style>
  <w:style w:type="paragraph" w:styleId="3">
    <w:name w:val="heading 3"/>
    <w:basedOn w:val="a"/>
    <w:next w:val="a"/>
    <w:link w:val="3Char"/>
    <w:qFormat/>
    <w:pPr>
      <w:keepNext/>
      <w:spacing w:beforeLines="50"/>
      <w:ind w:firstLineChars="0" w:firstLine="0"/>
      <w:jc w:val="center"/>
      <w:outlineLvl w:val="2"/>
    </w:pPr>
    <w:rPr>
      <w:rFonts w:eastAsia="黑体" w:cs="Arial"/>
      <w:bCs/>
      <w:szCs w:val="26"/>
    </w:rPr>
  </w:style>
  <w:style w:type="paragraph" w:styleId="4">
    <w:name w:val="heading 4"/>
    <w:basedOn w:val="a"/>
    <w:next w:val="a"/>
    <w:qFormat/>
    <w:pPr>
      <w:keepNext/>
      <w:spacing w:before="156"/>
      <w:ind w:firstLine="562"/>
      <w:outlineLvl w:val="3"/>
    </w:pPr>
    <w:rPr>
      <w:rFonts w:ascii="宋体" w:eastAsia="宋体" w:hAnsi="宋体" w:cs="宋体"/>
      <w:b/>
      <w:i/>
      <w:iCs/>
    </w:rPr>
  </w:style>
  <w:style w:type="paragraph" w:styleId="5">
    <w:name w:val="heading 5"/>
    <w:basedOn w:val="a"/>
    <w:next w:val="a"/>
    <w:qFormat/>
    <w:pPr>
      <w:spacing w:after="60"/>
      <w:outlineLvl w:val="4"/>
    </w:pPr>
    <w:rPr>
      <w:b/>
      <w:bCs/>
      <w:i/>
      <w:iCs/>
      <w:sz w:val="26"/>
      <w:szCs w:val="26"/>
    </w:rPr>
  </w:style>
  <w:style w:type="paragraph" w:styleId="6">
    <w:name w:val="heading 6"/>
    <w:basedOn w:val="a"/>
    <w:next w:val="a"/>
    <w:qFormat/>
    <w:pPr>
      <w:spacing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pPr>
      <w:spacing w:after="120"/>
    </w:pPr>
  </w:style>
  <w:style w:type="paragraph" w:styleId="7">
    <w:name w:val="toc 7"/>
    <w:basedOn w:val="a"/>
    <w:next w:val="a"/>
    <w:uiPriority w:val="39"/>
    <w:unhideWhenUsed/>
    <w:qFormat/>
    <w:pPr>
      <w:widowControl w:val="0"/>
      <w:ind w:leftChars="1200" w:left="2520"/>
    </w:pPr>
    <w:rPr>
      <w:rFonts w:ascii="Calibri" w:hAnsi="Calibri"/>
      <w:kern w:val="2"/>
      <w:sz w:val="21"/>
      <w:szCs w:val="22"/>
    </w:rPr>
  </w:style>
  <w:style w:type="paragraph" w:styleId="a4">
    <w:name w:val="Normal Indent"/>
    <w:basedOn w:val="a"/>
    <w:qFormat/>
    <w:pPr>
      <w:ind w:firstLine="420"/>
    </w:pPr>
  </w:style>
  <w:style w:type="paragraph" w:styleId="a5">
    <w:name w:val="Document Map"/>
    <w:basedOn w:val="a"/>
    <w:link w:val="Char0"/>
    <w:qFormat/>
    <w:rPr>
      <w:rFonts w:ascii="Microsoft YaHei UI" w:eastAsia="Microsoft YaHei UI"/>
      <w:sz w:val="18"/>
      <w:szCs w:val="18"/>
    </w:rPr>
  </w:style>
  <w:style w:type="paragraph" w:styleId="a6">
    <w:name w:val="annotation text"/>
    <w:basedOn w:val="a"/>
    <w:link w:val="Char1"/>
    <w:qFormat/>
  </w:style>
  <w:style w:type="paragraph" w:styleId="50">
    <w:name w:val="toc 5"/>
    <w:basedOn w:val="a"/>
    <w:next w:val="a"/>
    <w:uiPriority w:val="39"/>
    <w:unhideWhenUsed/>
    <w:qFormat/>
    <w:pPr>
      <w:widowControl w:val="0"/>
      <w:ind w:leftChars="800" w:left="1680"/>
    </w:pPr>
    <w:rPr>
      <w:rFonts w:ascii="Calibri" w:hAnsi="Calibri"/>
      <w:kern w:val="2"/>
      <w:sz w:val="21"/>
      <w:szCs w:val="22"/>
    </w:rPr>
  </w:style>
  <w:style w:type="paragraph" w:styleId="30">
    <w:name w:val="toc 3"/>
    <w:basedOn w:val="a"/>
    <w:next w:val="a"/>
    <w:uiPriority w:val="39"/>
    <w:qFormat/>
    <w:pPr>
      <w:tabs>
        <w:tab w:val="left" w:pos="1400"/>
        <w:tab w:val="right" w:leader="dot" w:pos="8296"/>
      </w:tabs>
      <w:spacing w:line="360" w:lineRule="exact"/>
      <w:ind w:firstLineChars="300" w:firstLine="840"/>
    </w:pPr>
    <w:rPr>
      <w:rFonts w:eastAsia="楷体"/>
      <w:szCs w:val="24"/>
    </w:rPr>
  </w:style>
  <w:style w:type="paragraph" w:styleId="a7">
    <w:name w:val="Plain Text"/>
    <w:basedOn w:val="a"/>
    <w:link w:val="Char2"/>
    <w:qFormat/>
    <w:rPr>
      <w:rFonts w:ascii="宋体" w:eastAsia="宋体" w:hAnsi="Courier New" w:cs="Courier New"/>
    </w:rPr>
  </w:style>
  <w:style w:type="paragraph" w:styleId="8">
    <w:name w:val="toc 8"/>
    <w:basedOn w:val="a"/>
    <w:next w:val="a"/>
    <w:uiPriority w:val="39"/>
    <w:unhideWhenUsed/>
    <w:qFormat/>
    <w:pPr>
      <w:widowControl w:val="0"/>
      <w:ind w:leftChars="1400" w:left="2940"/>
    </w:pPr>
    <w:rPr>
      <w:rFonts w:ascii="Calibri" w:hAnsi="Calibri"/>
      <w:kern w:val="2"/>
      <w:sz w:val="21"/>
      <w:szCs w:val="22"/>
    </w:rPr>
  </w:style>
  <w:style w:type="paragraph" w:styleId="20">
    <w:name w:val="Body Text Indent 2"/>
    <w:basedOn w:val="a"/>
    <w:link w:val="2Char0"/>
    <w:qFormat/>
    <w:pPr>
      <w:widowControl w:val="0"/>
      <w:suppressAutoHyphens/>
      <w:spacing w:after="120" w:line="480" w:lineRule="auto"/>
      <w:ind w:leftChars="200" w:left="420" w:firstLineChars="0" w:firstLine="0"/>
    </w:pPr>
    <w:rPr>
      <w:rFonts w:ascii="Calibri" w:eastAsia="宋体" w:hAnsi="Calibri"/>
      <w:kern w:val="2"/>
      <w:sz w:val="21"/>
      <w:szCs w:val="24"/>
    </w:rPr>
  </w:style>
  <w:style w:type="paragraph" w:styleId="a8">
    <w:name w:val="Balloon Text"/>
    <w:basedOn w:val="a"/>
    <w:link w:val="Char3"/>
    <w:unhideWhenUsed/>
    <w:qFormat/>
    <w:pPr>
      <w:spacing w:line="240" w:lineRule="auto"/>
    </w:pPr>
    <w:rPr>
      <w:sz w:val="18"/>
      <w:szCs w:val="18"/>
    </w:rPr>
  </w:style>
  <w:style w:type="paragraph" w:styleId="a9">
    <w:name w:val="footer"/>
    <w:basedOn w:val="a"/>
    <w:link w:val="Char4"/>
    <w:uiPriority w:val="99"/>
    <w:qFormat/>
    <w:pPr>
      <w:tabs>
        <w:tab w:val="center" w:pos="4153"/>
        <w:tab w:val="right" w:pos="8306"/>
      </w:tabs>
      <w:snapToGrid w:val="0"/>
    </w:pPr>
    <w:rPr>
      <w:sz w:val="18"/>
      <w:szCs w:val="18"/>
    </w:rPr>
  </w:style>
  <w:style w:type="paragraph" w:styleId="aa">
    <w:name w:val="header"/>
    <w:basedOn w:val="a"/>
    <w:link w:val="Char5"/>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296"/>
      </w:tabs>
      <w:spacing w:beforeLines="50" w:afterLines="50" w:line="400" w:lineRule="exact"/>
      <w:ind w:firstLine="562"/>
    </w:pPr>
    <w:rPr>
      <w:rFonts w:eastAsia="黑体"/>
      <w:b/>
      <w:bCs/>
    </w:rPr>
  </w:style>
  <w:style w:type="paragraph" w:styleId="40">
    <w:name w:val="toc 4"/>
    <w:basedOn w:val="a"/>
    <w:next w:val="a"/>
    <w:uiPriority w:val="39"/>
    <w:unhideWhenUsed/>
    <w:qFormat/>
    <w:pPr>
      <w:widowControl w:val="0"/>
      <w:ind w:leftChars="600" w:left="1680"/>
    </w:pPr>
    <w:rPr>
      <w:rFonts w:ascii="Calibri" w:hAnsi="Calibri"/>
      <w:kern w:val="2"/>
      <w:sz w:val="21"/>
      <w:szCs w:val="22"/>
    </w:rPr>
  </w:style>
  <w:style w:type="paragraph" w:styleId="60">
    <w:name w:val="toc 6"/>
    <w:basedOn w:val="a"/>
    <w:next w:val="a"/>
    <w:uiPriority w:val="39"/>
    <w:unhideWhenUsed/>
    <w:qFormat/>
    <w:pPr>
      <w:widowControl w:val="0"/>
      <w:ind w:leftChars="1000" w:left="2100"/>
    </w:pPr>
    <w:rPr>
      <w:rFonts w:ascii="Calibri" w:hAnsi="Calibri"/>
      <w:kern w:val="2"/>
      <w:sz w:val="21"/>
      <w:szCs w:val="22"/>
    </w:rPr>
  </w:style>
  <w:style w:type="paragraph" w:styleId="21">
    <w:name w:val="toc 2"/>
    <w:basedOn w:val="a"/>
    <w:next w:val="a"/>
    <w:uiPriority w:val="39"/>
    <w:qFormat/>
    <w:pPr>
      <w:tabs>
        <w:tab w:val="left" w:pos="880"/>
        <w:tab w:val="left" w:pos="2100"/>
        <w:tab w:val="right" w:leader="dot" w:pos="8630"/>
      </w:tabs>
      <w:spacing w:line="400" w:lineRule="exact"/>
    </w:pPr>
    <w:rPr>
      <w:b/>
      <w:sz w:val="30"/>
    </w:rPr>
  </w:style>
  <w:style w:type="paragraph" w:styleId="9">
    <w:name w:val="toc 9"/>
    <w:basedOn w:val="a"/>
    <w:next w:val="a"/>
    <w:uiPriority w:val="39"/>
    <w:unhideWhenUsed/>
    <w:qFormat/>
    <w:pPr>
      <w:widowControl w:val="0"/>
      <w:ind w:leftChars="1600" w:left="3360"/>
    </w:pPr>
    <w:rPr>
      <w:rFonts w:ascii="Calibri" w:hAnsi="Calibri"/>
      <w:kern w:val="2"/>
      <w:sz w:val="21"/>
      <w:szCs w:val="22"/>
    </w:rPr>
  </w:style>
  <w:style w:type="paragraph" w:styleId="ab">
    <w:name w:val="Normal (Web)"/>
    <w:basedOn w:val="a"/>
    <w:uiPriority w:val="99"/>
    <w:unhideWhenUsed/>
    <w:qFormat/>
    <w:pPr>
      <w:spacing w:before="100" w:beforeAutospacing="1" w:after="100" w:afterAutospacing="1"/>
      <w:ind w:firstLine="0"/>
    </w:pPr>
    <w:rPr>
      <w:rFonts w:ascii="宋体" w:eastAsia="宋体" w:hAnsi="宋体" w:cs="宋体"/>
    </w:rPr>
  </w:style>
  <w:style w:type="paragraph" w:styleId="ac">
    <w:name w:val="Title"/>
    <w:basedOn w:val="a"/>
    <w:qFormat/>
    <w:pPr>
      <w:spacing w:after="60"/>
      <w:jc w:val="center"/>
      <w:outlineLvl w:val="0"/>
    </w:pPr>
    <w:rPr>
      <w:rFonts w:ascii="Arial" w:hAnsi="Arial" w:cs="Arial"/>
      <w:b/>
      <w:bCs/>
      <w:kern w:val="28"/>
      <w:szCs w:val="32"/>
    </w:rPr>
  </w:style>
  <w:style w:type="paragraph" w:styleId="ad">
    <w:name w:val="annotation subject"/>
    <w:basedOn w:val="a6"/>
    <w:next w:val="a6"/>
    <w:link w:val="Char6"/>
    <w:unhideWhenUsed/>
    <w:qFormat/>
    <w:rPr>
      <w:b/>
      <w:bCs/>
    </w:rPr>
  </w:style>
  <w:style w:type="table" w:styleId="ae">
    <w:name w:val="Table Grid"/>
    <w:basedOn w:val="a2"/>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uiPriority w:val="99"/>
    <w:unhideWhenUsed/>
    <w:qFormat/>
    <w:rPr>
      <w:color w:val="800080"/>
      <w:u w:val="single"/>
    </w:rPr>
  </w:style>
  <w:style w:type="character" w:styleId="af0">
    <w:name w:val="Hyperlink"/>
    <w:uiPriority w:val="99"/>
    <w:qFormat/>
    <w:rPr>
      <w:color w:val="0000FF"/>
      <w:u w:val="single"/>
    </w:rPr>
  </w:style>
  <w:style w:type="character" w:styleId="af1">
    <w:name w:val="annotation reference"/>
    <w:qFormat/>
    <w:rPr>
      <w:sz w:val="21"/>
      <w:szCs w:val="21"/>
    </w:rPr>
  </w:style>
  <w:style w:type="character" w:styleId="HTML">
    <w:name w:val="HTML Cite"/>
    <w:qFormat/>
    <w:rPr>
      <w:i/>
      <w:iCs/>
    </w:rPr>
  </w:style>
  <w:style w:type="character" w:customStyle="1" w:styleId="Char">
    <w:name w:val="正文文本 Char"/>
    <w:link w:val="a0"/>
    <w:qFormat/>
    <w:rPr>
      <w:rFonts w:eastAsia="仿宋"/>
      <w:sz w:val="28"/>
      <w:szCs w:val="28"/>
    </w:rPr>
  </w:style>
  <w:style w:type="character" w:customStyle="1" w:styleId="2Char">
    <w:name w:val="标题 2 Char"/>
    <w:link w:val="2"/>
    <w:qFormat/>
    <w:rPr>
      <w:rFonts w:eastAsia="黑体" w:cs="Arial"/>
      <w:bCs/>
      <w:iCs/>
      <w:color w:val="000000"/>
      <w:sz w:val="32"/>
      <w:szCs w:val="32"/>
    </w:rPr>
  </w:style>
  <w:style w:type="character" w:customStyle="1" w:styleId="3Char">
    <w:name w:val="标题 3 Char"/>
    <w:link w:val="3"/>
    <w:qFormat/>
    <w:rPr>
      <w:rFonts w:eastAsia="黑体" w:cs="Arial"/>
      <w:bCs/>
      <w:sz w:val="32"/>
      <w:szCs w:val="26"/>
    </w:rPr>
  </w:style>
  <w:style w:type="character" w:customStyle="1" w:styleId="Char0">
    <w:name w:val="文档结构图 Char"/>
    <w:link w:val="a5"/>
    <w:qFormat/>
    <w:rPr>
      <w:rFonts w:ascii="Microsoft YaHei UI" w:eastAsia="Microsoft YaHei UI"/>
      <w:sz w:val="18"/>
      <w:szCs w:val="18"/>
    </w:rPr>
  </w:style>
  <w:style w:type="character" w:customStyle="1" w:styleId="Char1">
    <w:name w:val="批注文字 Char"/>
    <w:link w:val="a6"/>
    <w:qFormat/>
    <w:rPr>
      <w:rFonts w:eastAsia="仿宋"/>
      <w:sz w:val="28"/>
      <w:szCs w:val="28"/>
    </w:rPr>
  </w:style>
  <w:style w:type="character" w:customStyle="1" w:styleId="Char2">
    <w:name w:val="纯文本 Char"/>
    <w:link w:val="a7"/>
    <w:qFormat/>
    <w:rPr>
      <w:rFonts w:ascii="宋体" w:hAnsi="Courier New" w:cs="Courier New"/>
      <w:sz w:val="28"/>
      <w:szCs w:val="28"/>
    </w:rPr>
  </w:style>
  <w:style w:type="character" w:customStyle="1" w:styleId="2Char0">
    <w:name w:val="正文文本缩进 2 Char"/>
    <w:link w:val="20"/>
    <w:qFormat/>
    <w:rPr>
      <w:rFonts w:ascii="Calibri" w:hAnsi="Calibri"/>
      <w:kern w:val="2"/>
      <w:sz w:val="21"/>
      <w:szCs w:val="24"/>
    </w:rPr>
  </w:style>
  <w:style w:type="character" w:customStyle="1" w:styleId="Char3">
    <w:name w:val="批注框文本 Char"/>
    <w:link w:val="a8"/>
    <w:semiHidden/>
    <w:qFormat/>
    <w:rPr>
      <w:rFonts w:eastAsia="仿宋"/>
      <w:sz w:val="18"/>
      <w:szCs w:val="18"/>
    </w:rPr>
  </w:style>
  <w:style w:type="character" w:customStyle="1" w:styleId="Char4">
    <w:name w:val="页脚 Char"/>
    <w:link w:val="a9"/>
    <w:uiPriority w:val="99"/>
    <w:qFormat/>
    <w:rPr>
      <w:sz w:val="18"/>
      <w:szCs w:val="18"/>
    </w:rPr>
  </w:style>
  <w:style w:type="character" w:customStyle="1" w:styleId="Char5">
    <w:name w:val="页眉 Char"/>
    <w:link w:val="aa"/>
    <w:qFormat/>
    <w:rPr>
      <w:sz w:val="18"/>
      <w:szCs w:val="18"/>
    </w:rPr>
  </w:style>
  <w:style w:type="character" w:customStyle="1" w:styleId="Char6">
    <w:name w:val="批注主题 Char"/>
    <w:link w:val="ad"/>
    <w:semiHidden/>
    <w:qFormat/>
    <w:rPr>
      <w:rFonts w:eastAsia="仿宋"/>
      <w:b/>
      <w:bCs/>
      <w:sz w:val="28"/>
      <w:szCs w:val="28"/>
    </w:rPr>
  </w:style>
  <w:style w:type="paragraph" w:styleId="af2">
    <w:name w:val="List Paragraph"/>
    <w:basedOn w:val="a"/>
    <w:uiPriority w:val="99"/>
    <w:qFormat/>
    <w:rPr>
      <w:rFonts w:eastAsia="楷体"/>
      <w:color w:val="C00000"/>
      <w:u w:val="single"/>
    </w:rPr>
  </w:style>
  <w:style w:type="character" w:customStyle="1" w:styleId="11">
    <w:name w:val="未处理的提及1"/>
    <w:uiPriority w:val="99"/>
    <w:unhideWhenUsed/>
    <w:qFormat/>
    <w:rPr>
      <w:color w:val="605E5C"/>
      <w:shd w:val="clear" w:color="auto" w:fill="E1DFDD"/>
    </w:rPr>
  </w:style>
  <w:style w:type="paragraph" w:customStyle="1" w:styleId="af3">
    <w:name w:val="说明"/>
    <w:basedOn w:val="a"/>
    <w:qFormat/>
    <w:pPr>
      <w:spacing w:before="120" w:afterLines="50" w:line="400" w:lineRule="exact"/>
      <w:ind w:firstLine="480"/>
    </w:pPr>
    <w:rPr>
      <w:rFonts w:eastAsia="楷体"/>
      <w:bCs/>
      <w:sz w:val="24"/>
      <w:szCs w:val="24"/>
    </w:rPr>
  </w:style>
  <w:style w:type="paragraph" w:customStyle="1" w:styleId="12">
    <w:name w:val="修订1"/>
    <w:uiPriority w:val="99"/>
    <w:semiHidden/>
    <w:qFormat/>
    <w:pPr>
      <w:spacing w:before="240" w:line="520" w:lineRule="exact"/>
      <w:ind w:firstLine="420"/>
    </w:pPr>
    <w:rPr>
      <w:rFonts w:eastAsia="仿宋"/>
      <w:sz w:val="24"/>
      <w:szCs w:val="24"/>
    </w:rPr>
  </w:style>
  <w:style w:type="paragraph" w:customStyle="1" w:styleId="13">
    <w:name w:val="列表段落1"/>
    <w:basedOn w:val="a"/>
    <w:uiPriority w:val="34"/>
    <w:qFormat/>
    <w:pPr>
      <w:widowControl w:val="0"/>
      <w:overflowPunct w:val="0"/>
      <w:adjustRightInd w:val="0"/>
      <w:snapToGrid w:val="0"/>
      <w:spacing w:line="300" w:lineRule="auto"/>
    </w:pPr>
    <w:rPr>
      <w:rFonts w:ascii="仿宋" w:hAnsi="仿宋" w:cs="仿宋"/>
      <w:kern w:val="2"/>
      <w:szCs w:val="32"/>
    </w:rPr>
  </w:style>
  <w:style w:type="paragraph" w:customStyle="1" w:styleId="TOC1">
    <w:name w:val="TOC 标题1"/>
    <w:basedOn w:val="1"/>
    <w:next w:val="a"/>
    <w:uiPriority w:val="39"/>
    <w:unhideWhenUsed/>
    <w:qFormat/>
    <w:pPr>
      <w:keepNext/>
      <w:keepLines/>
      <w:spacing w:before="240" w:after="0" w:line="259" w:lineRule="auto"/>
      <w:jc w:val="left"/>
      <w:outlineLvl w:val="9"/>
    </w:pPr>
    <w:rPr>
      <w:rFonts w:ascii="Cambria" w:eastAsia="宋体" w:hAnsi="Cambria" w:cs="Times New Roman"/>
      <w:color w:val="365F91"/>
      <w:kern w:val="0"/>
    </w:rPr>
  </w:style>
  <w:style w:type="character" w:customStyle="1" w:styleId="22">
    <w:name w:val="未处理的提及2"/>
    <w:uiPriority w:val="99"/>
    <w:unhideWhenUsed/>
    <w:qFormat/>
    <w:rPr>
      <w:color w:val="605E5C"/>
      <w:shd w:val="clear" w:color="auto" w:fill="E1DFDD"/>
    </w:rPr>
  </w:style>
  <w:style w:type="paragraph" w:customStyle="1" w:styleId="af4">
    <w:name w:val="内容"/>
    <w:basedOn w:val="a"/>
    <w:qFormat/>
    <w:pPr>
      <w:spacing w:line="288" w:lineRule="auto"/>
      <w:ind w:firstLineChars="0" w:firstLine="0"/>
      <w:jc w:val="left"/>
    </w:pPr>
    <w:rPr>
      <w:rFonts w:eastAsia="宋体"/>
      <w:sz w:val="24"/>
      <w:szCs w:val="24"/>
    </w:rPr>
  </w:style>
  <w:style w:type="character" w:customStyle="1" w:styleId="31">
    <w:name w:val="未处理的提及3"/>
    <w:uiPriority w:val="99"/>
    <w:unhideWhenUsed/>
    <w:qFormat/>
    <w:rPr>
      <w:color w:val="605E5C"/>
      <w:shd w:val="clear" w:color="auto" w:fill="E1DFDD"/>
    </w:rPr>
  </w:style>
  <w:style w:type="paragraph" w:customStyle="1" w:styleId="23">
    <w:name w:val="修订2"/>
    <w:uiPriority w:val="99"/>
    <w:semiHidden/>
    <w:qFormat/>
    <w:rPr>
      <w:rFonts w:eastAsia="仿宋"/>
      <w:sz w:val="28"/>
      <w:szCs w:val="28"/>
    </w:rPr>
  </w:style>
  <w:style w:type="paragraph" w:customStyle="1" w:styleId="TOC2">
    <w:name w:val="TOC 标题2"/>
    <w:basedOn w:val="1"/>
    <w:next w:val="a"/>
    <w:uiPriority w:val="39"/>
    <w:unhideWhenUsed/>
    <w:qFormat/>
    <w:pPr>
      <w:keepNext/>
      <w:keepLines/>
      <w:spacing w:before="240" w:after="0" w:line="259" w:lineRule="auto"/>
      <w:jc w:val="left"/>
      <w:outlineLvl w:val="9"/>
    </w:pPr>
    <w:rPr>
      <w:rFonts w:ascii="Cambria" w:eastAsia="宋体" w:hAnsi="Cambria" w:cs="Times New Roman"/>
      <w:color w:val="365F91"/>
      <w:kern w:val="0"/>
    </w:rPr>
  </w:style>
  <w:style w:type="character" w:customStyle="1" w:styleId="41">
    <w:name w:val="未处理的提及4"/>
    <w:uiPriority w:val="99"/>
    <w:unhideWhenUsed/>
    <w:qFormat/>
    <w:rPr>
      <w:color w:val="605E5C"/>
      <w:shd w:val="clear" w:color="auto" w:fill="E1DFDD"/>
    </w:rPr>
  </w:style>
  <w:style w:type="paragraph" w:customStyle="1" w:styleId="110">
    <w:name w:val="目录 11"/>
    <w:next w:val="a"/>
    <w:qFormat/>
    <w:pPr>
      <w:wordWrap w:val="0"/>
      <w:jc w:val="both"/>
    </w:pPr>
    <w:rPr>
      <w:sz w:val="21"/>
      <w:szCs w:val="22"/>
    </w:rPr>
  </w:style>
  <w:style w:type="character" w:customStyle="1" w:styleId="51">
    <w:name w:val="未处理的提及5"/>
    <w:uiPriority w:val="99"/>
    <w:unhideWhenUsed/>
    <w:qFormat/>
    <w:rPr>
      <w:color w:val="605E5C"/>
      <w:shd w:val="clear" w:color="auto" w:fill="E1DFDD"/>
    </w:rPr>
  </w:style>
  <w:style w:type="character" w:customStyle="1" w:styleId="61">
    <w:name w:val="未处理的提及6"/>
    <w:uiPriority w:val="99"/>
    <w:unhideWhenUsed/>
    <w:qFormat/>
    <w:rPr>
      <w:color w:val="605E5C"/>
      <w:shd w:val="clear" w:color="auto" w:fill="E1DFDD"/>
    </w:rPr>
  </w:style>
  <w:style w:type="character" w:customStyle="1" w:styleId="UnresolvedMention">
    <w:name w:val="Unresolved Mention"/>
    <w:uiPriority w:val="99"/>
    <w:unhideWhenUsed/>
    <w:qFormat/>
    <w:rPr>
      <w:color w:val="605E5C"/>
      <w:shd w:val="clear" w:color="auto" w:fill="E1DFDD"/>
    </w:rPr>
  </w:style>
  <w:style w:type="paragraph" w:customStyle="1" w:styleId="32">
    <w:name w:val="修订3"/>
    <w:uiPriority w:val="99"/>
    <w:semiHidden/>
    <w:qFormat/>
    <w:rPr>
      <w:rFonts w:eastAsia="仿宋"/>
      <w:sz w:val="32"/>
      <w:szCs w:val="28"/>
    </w:rPr>
  </w:style>
  <w:style w:type="character" w:customStyle="1" w:styleId="NormalCharacter">
    <w:name w:val="NormalCharacter"/>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4098"/>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F1AED5-1DF1-4FC2-AE09-625F11208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26</Pages>
  <Words>1895</Words>
  <Characters>10802</Characters>
  <Application>Microsoft Office Word</Application>
  <DocSecurity>0</DocSecurity>
  <Lines>90</Lines>
  <Paragraphs>25</Paragraphs>
  <ScaleCrop>false</ScaleCrop>
  <Company>Home</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Atopos</dc:creator>
  <cp:lastModifiedBy>Lenovo</cp:lastModifiedBy>
  <cp:revision>55</cp:revision>
  <cp:lastPrinted>2022-05-30T14:00:00Z</cp:lastPrinted>
  <dcterms:created xsi:type="dcterms:W3CDTF">2022-06-06T06:07:00Z</dcterms:created>
  <dcterms:modified xsi:type="dcterms:W3CDTF">2022-06-06T09:55:00Z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2052-11.8.2.10533</vt:lpwstr>
  </property>
  <property fmtid="{D5CDD505-2E9C-101B-9397-08002B2CF9AE}" pid="3" name="ICV">
    <vt:lpwstr>EA69BC9167634FB0B593DFA85E85B8FD</vt:lpwstr>
  </property>
</Properties>
</file>