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Hlk100561538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《北京市氢燃料电池汽车车用加氢站运营管理暂行办法》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解读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为贯彻落实《新能源汽车产业发展规划（2021-2035）》《北京市国民经济和社会发展第十四个五年规划和二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三五年远景目标纲要》的有关要求和京津冀燃料电池汽车示范城市群的工作任务，推动完成《北京市氢燃料电池汽车产业规划（2020-2025年）》和《北京市氢能产业实施方案（2021-2025年）》的加氢站发展目标，规范本市氢燃料电池汽车车用加氢站的建设运营管理工作，特制定《北京市氢燃料电池汽车车用加氢站运营管理暂行办法》（以下简称《运营管理办法》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《运营管理办法》共三十一条，适用于本市行政区域内加氢站</w:t>
      </w:r>
      <w:r>
        <w:rPr>
          <w:rFonts w:ascii="仿宋_GB2312" w:hAnsi="华文中宋" w:eastAsia="仿宋_GB2312"/>
          <w:sz w:val="32"/>
          <w:szCs w:val="30"/>
        </w:rPr>
        <w:t>经营许可管理</w:t>
      </w:r>
      <w:r>
        <w:rPr>
          <w:rFonts w:hint="eastAsia" w:ascii="仿宋_GB2312" w:hAnsi="华文中宋" w:eastAsia="仿宋_GB2312"/>
          <w:sz w:val="32"/>
          <w:szCs w:val="30"/>
        </w:rPr>
        <w:t>、</w:t>
      </w:r>
      <w:r>
        <w:rPr>
          <w:rFonts w:ascii="仿宋_GB2312" w:hAnsi="华文中宋" w:eastAsia="仿宋_GB2312"/>
          <w:sz w:val="32"/>
          <w:szCs w:val="30"/>
        </w:rPr>
        <w:t>企业服务约束</w:t>
      </w:r>
      <w:r>
        <w:rPr>
          <w:rFonts w:hint="eastAsia" w:ascii="仿宋_GB2312" w:hAnsi="华文中宋" w:eastAsia="仿宋_GB2312"/>
          <w:sz w:val="32"/>
          <w:szCs w:val="30"/>
        </w:rPr>
        <w:t>、</w:t>
      </w:r>
      <w:r>
        <w:rPr>
          <w:rFonts w:ascii="仿宋_GB2312" w:hAnsi="华文中宋" w:eastAsia="仿宋_GB2312"/>
          <w:sz w:val="32"/>
          <w:szCs w:val="30"/>
        </w:rPr>
        <w:t>站内安全管理</w:t>
      </w:r>
      <w:r>
        <w:rPr>
          <w:rFonts w:hint="eastAsia" w:ascii="仿宋_GB2312" w:hAnsi="华文中宋" w:eastAsia="仿宋_GB2312"/>
          <w:sz w:val="32"/>
          <w:szCs w:val="30"/>
        </w:rPr>
        <w:t>、</w:t>
      </w:r>
      <w:r>
        <w:rPr>
          <w:rFonts w:ascii="仿宋_GB2312" w:hAnsi="华文中宋" w:eastAsia="仿宋_GB2312"/>
          <w:sz w:val="32"/>
          <w:szCs w:val="30"/>
        </w:rPr>
        <w:t>应急预案与事故处置等经营行为</w:t>
      </w:r>
      <w:r>
        <w:rPr>
          <w:rFonts w:hint="eastAsia" w:ascii="仿宋_GB2312" w:hAnsi="华文中宋" w:eastAsia="仿宋_GB2312"/>
          <w:sz w:val="32"/>
          <w:szCs w:val="30"/>
        </w:rPr>
        <w:t>；同时在政府监管和法律责任视角，明晰了政府管理职能和违规处理方式。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（一）明确监管职责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《运营管理办法》明确加氢站运营管理工作中涉及的各相关部门及各自相应工作职责。</w:t>
      </w:r>
    </w:p>
    <w:p>
      <w:pPr>
        <w:spacing w:line="576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0"/>
        </w:rPr>
        <w:t>城市管理部门：负责</w:t>
      </w:r>
      <w:r>
        <w:rPr>
          <w:rFonts w:hint="eastAsia" w:ascii="仿宋_GB2312" w:hAnsi="宋体" w:eastAsia="仿宋_GB2312" w:cs="Times New Roman"/>
          <w:sz w:val="32"/>
          <w:szCs w:val="32"/>
        </w:rPr>
        <w:t>负责本市加氢站的运营监督管理工作，对加氢站的安全生产和氢气供应质量实施监督管理。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应急部门：负责对加氢站运营、站内氢气供应和使用的安全生产实施综合监督管理；负责开展加氢站安全事故调查分析。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市场监管部门：负责对加氢站涉及的压力容器、压力管道等特种设备实施监督管理，以及对加氢站内氢气质量实施监督管理。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消防部门：负责对加氢站实施消防安全监督管理，指导开展加氢站消防应急演练和应急处置工作。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综合执法部门：负责行使由城市管理、应急和市场监管等行政主管部门行使的行政处罚权。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（二）明确经营条件和违规处理措施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《运营管理办法》明确了经营加氢站所需要的条件。</w:t>
      </w:r>
      <w:r>
        <w:rPr>
          <w:rFonts w:ascii="仿宋_GB2312" w:hAnsi="华文中宋" w:eastAsia="仿宋_GB2312"/>
          <w:sz w:val="32"/>
          <w:szCs w:val="30"/>
        </w:rPr>
        <w:t>申请</w:t>
      </w:r>
      <w:r>
        <w:rPr>
          <w:rFonts w:hint="eastAsia" w:ascii="仿宋_GB2312" w:hAnsi="华文中宋" w:eastAsia="仿宋_GB2312"/>
          <w:sz w:val="32"/>
          <w:szCs w:val="30"/>
        </w:rPr>
        <w:t>《燃气经营许可证（氢燃料电池汽车车用加氢站）》的加氢站应当满足</w:t>
      </w:r>
      <w:r>
        <w:rPr>
          <w:rFonts w:ascii="仿宋_GB2312" w:hAnsi="华文中宋" w:eastAsia="仿宋_GB2312"/>
          <w:sz w:val="32"/>
          <w:szCs w:val="30"/>
        </w:rPr>
        <w:t>布局</w:t>
      </w:r>
      <w:r>
        <w:rPr>
          <w:rFonts w:hint="eastAsia" w:ascii="仿宋_GB2312" w:hAnsi="华文中宋" w:eastAsia="仿宋_GB2312"/>
          <w:sz w:val="32"/>
          <w:szCs w:val="30"/>
        </w:rPr>
        <w:t>应</w:t>
      </w:r>
      <w:r>
        <w:rPr>
          <w:rFonts w:ascii="仿宋_GB2312" w:hAnsi="华文中宋" w:eastAsia="仿宋_GB2312"/>
          <w:sz w:val="32"/>
          <w:szCs w:val="30"/>
        </w:rPr>
        <w:t>符合</w:t>
      </w:r>
      <w:r>
        <w:rPr>
          <w:rFonts w:hint="eastAsia" w:ascii="仿宋_GB2312" w:hAnsi="华文中宋" w:eastAsia="仿宋_GB2312"/>
          <w:sz w:val="32"/>
          <w:szCs w:val="30"/>
        </w:rPr>
        <w:t>汽车加氢站规划选址要求，有</w:t>
      </w:r>
      <w:r>
        <w:rPr>
          <w:rFonts w:ascii="仿宋_GB2312" w:hAnsi="华文中宋" w:eastAsia="仿宋_GB2312"/>
          <w:sz w:val="32"/>
          <w:szCs w:val="30"/>
        </w:rPr>
        <w:t>符合</w:t>
      </w:r>
      <w:r>
        <w:rPr>
          <w:rFonts w:hint="eastAsia" w:ascii="仿宋_GB2312" w:hAnsi="华文中宋" w:eastAsia="仿宋_GB2312"/>
          <w:sz w:val="32"/>
          <w:szCs w:val="30"/>
        </w:rPr>
        <w:t>标准</w:t>
      </w:r>
      <w:r>
        <w:rPr>
          <w:rFonts w:ascii="仿宋_GB2312" w:hAnsi="华文中宋" w:eastAsia="仿宋_GB2312"/>
          <w:sz w:val="32"/>
          <w:szCs w:val="30"/>
        </w:rPr>
        <w:t>且与经营规模、经营类型相适应的</w:t>
      </w:r>
      <w:r>
        <w:rPr>
          <w:rFonts w:hint="eastAsia" w:ascii="仿宋_GB2312" w:hAnsi="华文中宋" w:eastAsia="仿宋_GB2312"/>
          <w:sz w:val="32"/>
          <w:szCs w:val="30"/>
        </w:rPr>
        <w:t>加氢设施，</w:t>
      </w:r>
      <w:r>
        <w:rPr>
          <w:rFonts w:ascii="仿宋_GB2312" w:hAnsi="华文中宋" w:eastAsia="仿宋_GB2312"/>
          <w:sz w:val="32"/>
          <w:szCs w:val="30"/>
        </w:rPr>
        <w:t>有固定的、符合安全条件的办公、经营和服务</w:t>
      </w:r>
      <w:r>
        <w:rPr>
          <w:rFonts w:hint="eastAsia" w:ascii="仿宋_GB2312" w:hAnsi="华文中宋" w:eastAsia="仿宋_GB2312"/>
          <w:sz w:val="32"/>
          <w:szCs w:val="30"/>
        </w:rPr>
        <w:t>场所。</w:t>
      </w:r>
      <w:r>
        <w:rPr>
          <w:rFonts w:ascii="仿宋_GB2312" w:hAnsi="华文中宋" w:eastAsia="仿宋_GB2312"/>
          <w:sz w:val="32"/>
          <w:szCs w:val="30"/>
        </w:rPr>
        <w:t>站内应</w:t>
      </w:r>
      <w:r>
        <w:rPr>
          <w:rFonts w:hint="eastAsia" w:ascii="仿宋_GB2312" w:hAnsi="华文中宋" w:eastAsia="仿宋_GB2312"/>
          <w:sz w:val="32"/>
          <w:szCs w:val="30"/>
        </w:rPr>
        <w:t>具备有经专业培训并考核合格的站内工作人员，有</w:t>
      </w:r>
      <w:r>
        <w:rPr>
          <w:rFonts w:ascii="仿宋_GB2312" w:hAnsi="华文中宋" w:eastAsia="仿宋_GB2312"/>
          <w:sz w:val="32"/>
          <w:szCs w:val="30"/>
        </w:rPr>
        <w:t>符合国家标准的</w:t>
      </w:r>
      <w:r>
        <w:rPr>
          <w:rFonts w:hint="eastAsia" w:ascii="仿宋_GB2312" w:hAnsi="华文中宋" w:eastAsia="仿宋_GB2312"/>
          <w:sz w:val="32"/>
          <w:szCs w:val="30"/>
        </w:rPr>
        <w:t>氢气气源，</w:t>
      </w:r>
      <w:r>
        <w:rPr>
          <w:rFonts w:ascii="仿宋_GB2312" w:hAnsi="华文中宋" w:eastAsia="仿宋_GB2312"/>
          <w:sz w:val="32"/>
          <w:szCs w:val="30"/>
        </w:rPr>
        <w:t>有健全的</w:t>
      </w:r>
      <w:r>
        <w:rPr>
          <w:rFonts w:hint="eastAsia" w:ascii="仿宋_GB2312" w:hAnsi="华文中宋" w:eastAsia="仿宋_GB2312"/>
          <w:sz w:val="32"/>
          <w:szCs w:val="30"/>
        </w:rPr>
        <w:t>企业服务和安全管理制度，配置有应急储备预案，同时服从国家、北京市、行业管理部门等政府行业监管，按照要求配备视频监控设备，并将站内设备实时运行数据接入制定信息管理平台。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《运营管理办法》明确提出的条例规定，加氢站经营企业应当严格遵照执行。如违反相关条例规定，将按照本办法、同时参照《北京市燃气管理条例》</w:t>
      </w:r>
      <w:r>
        <w:rPr>
          <w:rFonts w:ascii="仿宋_GB2312" w:hAnsi="华文中宋" w:eastAsia="仿宋_GB2312"/>
          <w:sz w:val="32"/>
          <w:szCs w:val="30"/>
        </w:rPr>
        <w:t>有关规定对企业的违反行为处以</w:t>
      </w:r>
      <w:r>
        <w:rPr>
          <w:rFonts w:hint="eastAsia" w:ascii="仿宋_GB2312" w:hAnsi="华文中宋" w:eastAsia="仿宋_GB2312"/>
          <w:sz w:val="32"/>
          <w:szCs w:val="30"/>
        </w:rPr>
        <w:t>罚款、没收违法所得、或吊销经营许可等处罚。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（三）明确企业服务和安全管理要求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运营管理办法》明确了加氢站运营企业的服务要求和安全管理要求。加氢站运营企业应当建立健全用户服务制度，从用户服务数据、氢气价格管理、运营服务管理、标志标识引导等方面规范服务行为。加氢站运营企业是加氢站运行的安全责任主体，应根据国家和本市有关规定，建立健全安全运行管理机构和制度，从明确安全管理人员和职责、加强人员培训考核、加强设备设施管理、加强运维保养、定期开展安全检查、加强监测监控和数据管理等方面落实安全生产要求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（四）明确应急预案与事故处置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 xml:space="preserve">《运营管理办法》明确提出市、区两级政府有关部门和企业对于加氢站应急预案的制定、实施、演练和修订要求，对于加氢站事故报告、处置、调查和防范的工作内容做出了规定。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0"/>
        <w:szCs w:val="20"/>
      </w:rPr>
      <w:id w:val="-1747724332"/>
    </w:sdtPr>
    <w:sdtEndPr>
      <w:rPr>
        <w:rFonts w:ascii="宋体" w:hAnsi="宋体" w:eastAsia="宋体"/>
        <w:sz w:val="20"/>
        <w:szCs w:val="20"/>
      </w:rPr>
    </w:sdtEndPr>
    <w:sdtContent>
      <w:p>
        <w:pPr>
          <w:pStyle w:val="4"/>
          <w:jc w:val="center"/>
          <w:rPr>
            <w:rFonts w:ascii="宋体" w:hAnsi="宋体" w:eastAsia="宋体"/>
            <w:sz w:val="20"/>
            <w:szCs w:val="20"/>
          </w:rPr>
        </w:pPr>
        <w:r>
          <w:rPr>
            <w:rFonts w:ascii="宋体" w:hAnsi="宋体" w:eastAsia="宋体"/>
            <w:sz w:val="20"/>
            <w:szCs w:val="20"/>
          </w:rPr>
          <w:fldChar w:fldCharType="begin"/>
        </w:r>
        <w:r>
          <w:rPr>
            <w:rFonts w:ascii="宋体" w:hAnsi="宋体" w:eastAsia="宋体"/>
            <w:sz w:val="20"/>
            <w:szCs w:val="20"/>
          </w:rPr>
          <w:instrText xml:space="preserve">PAGE   \* MERGEFORMAT</w:instrText>
        </w:r>
        <w:r>
          <w:rPr>
            <w:rFonts w:ascii="宋体" w:hAnsi="宋体" w:eastAsia="宋体"/>
            <w:sz w:val="20"/>
            <w:szCs w:val="20"/>
          </w:rPr>
          <w:fldChar w:fldCharType="separate"/>
        </w:r>
        <w:r>
          <w:rPr>
            <w:rFonts w:ascii="宋体" w:hAnsi="宋体" w:eastAsia="宋体"/>
            <w:sz w:val="20"/>
            <w:szCs w:val="20"/>
            <w:lang w:val="zh-CN"/>
          </w:rPr>
          <w:t>2</w:t>
        </w:r>
        <w:r>
          <w:rPr>
            <w:rFonts w:ascii="宋体" w:hAnsi="宋体" w:eastAsia="宋体"/>
            <w:sz w:val="20"/>
            <w:szCs w:val="20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01DAB"/>
    <w:rsid w:val="0001523E"/>
    <w:rsid w:val="0012538D"/>
    <w:rsid w:val="00396188"/>
    <w:rsid w:val="00786C2C"/>
    <w:rsid w:val="00B31FA7"/>
    <w:rsid w:val="00B548DA"/>
    <w:rsid w:val="00CE2028"/>
    <w:rsid w:val="00EB7DE7"/>
    <w:rsid w:val="06F05B02"/>
    <w:rsid w:val="19101DAB"/>
    <w:rsid w:val="300B3F25"/>
    <w:rsid w:val="32AE33AD"/>
    <w:rsid w:val="42F74E33"/>
    <w:rsid w:val="4D033150"/>
    <w:rsid w:val="51505B86"/>
    <w:rsid w:val="72182074"/>
    <w:rsid w:val="7B9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nhideWhenUsed/>
    <w:qFormat/>
    <w:uiPriority w:val="99"/>
    <w:pPr>
      <w:spacing w:after="0"/>
      <w:ind w:firstLine="420" w:firstLineChars="100"/>
      <w:jc w:val="center"/>
    </w:pPr>
    <w:rPr>
      <w:rFonts w:ascii="方正小标宋_GBK" w:hAnsi="Times New Roman" w:eastAsia="方正小标宋_GBK"/>
      <w:b/>
      <w:bCs/>
      <w:kern w:val="0"/>
      <w:sz w:val="20"/>
      <w:szCs w:val="22"/>
    </w:rPr>
  </w:style>
  <w:style w:type="paragraph" w:styleId="3">
    <w:name w:val="Body Text"/>
    <w:basedOn w:val="1"/>
    <w:link w:val="10"/>
    <w:uiPriority w:val="0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正文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正文文本首行缩进 字符"/>
    <w:basedOn w:val="10"/>
    <w:link w:val="2"/>
    <w:qFormat/>
    <w:uiPriority w:val="99"/>
    <w:rPr>
      <w:rFonts w:ascii="方正小标宋_GBK" w:eastAsia="方正小标宋_GBK" w:hAnsiTheme="minorHAnsi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2021-12-08T20:18:00Z</dcterms:created>
  <dc:creator>lunan</dc:creator>
  <cp:lastModifiedBy>办公室</cp:lastModifiedBy>
  <dcterms:modified xsi:type="dcterms:W3CDTF">2022-04-18T02:22:42Z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