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bookmarkStart w:id="0" w:name="_Hlk100561538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《北京市氢燃料电池汽车车用加氢站运营管理暂行办法》</w:t>
      </w:r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的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解读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bookmarkStart w:id="1" w:name="_GoBack"/>
      <w:bookmarkEnd w:id="1"/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一、制定依据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为贯彻落实《新能源汽车产业发展规划（2021-2035）》《北京市国民经济和社会发展第十四个五年规划和二</w:t>
      </w:r>
      <w:r>
        <w:rPr>
          <w:rFonts w:hint="eastAsia" w:ascii="微软雅黑" w:hAnsi="微软雅黑" w:eastAsia="微软雅黑" w:cs="微软雅黑"/>
          <w:sz w:val="32"/>
          <w:szCs w:val="32"/>
        </w:rPr>
        <w:t>〇</w:t>
      </w:r>
      <w:r>
        <w:rPr>
          <w:rFonts w:hint="eastAsia" w:ascii="仿宋_GB2312" w:hAnsi="仿宋_GB2312" w:eastAsia="仿宋_GB2312" w:cs="仿宋_GB2312"/>
          <w:sz w:val="32"/>
          <w:szCs w:val="32"/>
        </w:rPr>
        <w:t>三五年远景目标纲要》的有关要求和京津冀燃料电池汽车示范城市群的工作任务，推动完成《北京市氢燃料电池汽车产业规划（2020-2025年）》和《北京市氢能产业实施方案（2021-2025年）》的加氢站发展目标，规范本市氢燃料电池汽车车用加氢站的建设运营管理工作，特制定《北京市氢燃料电池汽车车用加氢站运营管理暂行办法》（以下简称《运营管理办法》）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二、主要内容</w:t>
      </w:r>
    </w:p>
    <w:p>
      <w:pPr>
        <w:spacing w:line="576" w:lineRule="exact"/>
        <w:ind w:firstLine="640" w:firstLineChars="200"/>
        <w:rPr>
          <w:rFonts w:ascii="仿宋_GB2312" w:hAnsi="华文中宋" w:eastAsia="仿宋_GB2312"/>
          <w:sz w:val="32"/>
          <w:szCs w:val="30"/>
        </w:rPr>
      </w:pPr>
      <w:r>
        <w:rPr>
          <w:rFonts w:hint="eastAsia" w:ascii="仿宋_GB2312" w:hAnsi="华文中宋" w:eastAsia="仿宋_GB2312"/>
          <w:sz w:val="32"/>
          <w:szCs w:val="30"/>
        </w:rPr>
        <w:t>《运营管理办法》共三十一条，适用于本市行政区域内加氢站</w:t>
      </w:r>
      <w:r>
        <w:rPr>
          <w:rFonts w:ascii="仿宋_GB2312" w:hAnsi="华文中宋" w:eastAsia="仿宋_GB2312"/>
          <w:sz w:val="32"/>
          <w:szCs w:val="30"/>
        </w:rPr>
        <w:t>经营许可管理</w:t>
      </w:r>
      <w:r>
        <w:rPr>
          <w:rFonts w:hint="eastAsia" w:ascii="仿宋_GB2312" w:hAnsi="华文中宋" w:eastAsia="仿宋_GB2312"/>
          <w:sz w:val="32"/>
          <w:szCs w:val="30"/>
        </w:rPr>
        <w:t>、</w:t>
      </w:r>
      <w:r>
        <w:rPr>
          <w:rFonts w:ascii="仿宋_GB2312" w:hAnsi="华文中宋" w:eastAsia="仿宋_GB2312"/>
          <w:sz w:val="32"/>
          <w:szCs w:val="30"/>
        </w:rPr>
        <w:t>企业服务约束</w:t>
      </w:r>
      <w:r>
        <w:rPr>
          <w:rFonts w:hint="eastAsia" w:ascii="仿宋_GB2312" w:hAnsi="华文中宋" w:eastAsia="仿宋_GB2312"/>
          <w:sz w:val="32"/>
          <w:szCs w:val="30"/>
        </w:rPr>
        <w:t>、</w:t>
      </w:r>
      <w:r>
        <w:rPr>
          <w:rFonts w:ascii="仿宋_GB2312" w:hAnsi="华文中宋" w:eastAsia="仿宋_GB2312"/>
          <w:sz w:val="32"/>
          <w:szCs w:val="30"/>
        </w:rPr>
        <w:t>站内安全管理</w:t>
      </w:r>
      <w:r>
        <w:rPr>
          <w:rFonts w:hint="eastAsia" w:ascii="仿宋_GB2312" w:hAnsi="华文中宋" w:eastAsia="仿宋_GB2312"/>
          <w:sz w:val="32"/>
          <w:szCs w:val="30"/>
        </w:rPr>
        <w:t>、</w:t>
      </w:r>
      <w:r>
        <w:rPr>
          <w:rFonts w:ascii="仿宋_GB2312" w:hAnsi="华文中宋" w:eastAsia="仿宋_GB2312"/>
          <w:sz w:val="32"/>
          <w:szCs w:val="30"/>
        </w:rPr>
        <w:t>应急预案与事故处置等经营行为</w:t>
      </w:r>
      <w:r>
        <w:rPr>
          <w:rFonts w:hint="eastAsia" w:ascii="仿宋_GB2312" w:hAnsi="华文中宋" w:eastAsia="仿宋_GB2312"/>
          <w:sz w:val="32"/>
          <w:szCs w:val="30"/>
        </w:rPr>
        <w:t>；同时在政府监管和法律责任视角，明晰了政府管理职能和违规处理方式。</w:t>
      </w:r>
    </w:p>
    <w:p>
      <w:pPr>
        <w:spacing w:line="576" w:lineRule="exact"/>
        <w:ind w:firstLine="640" w:firstLineChars="200"/>
        <w:rPr>
          <w:rFonts w:ascii="楷体_GB2312" w:hAnsi="华文中宋" w:eastAsia="楷体_GB2312"/>
          <w:sz w:val="32"/>
          <w:szCs w:val="30"/>
        </w:rPr>
      </w:pPr>
      <w:r>
        <w:rPr>
          <w:rFonts w:hint="eastAsia" w:ascii="楷体_GB2312" w:hAnsi="华文中宋" w:eastAsia="楷体_GB2312"/>
          <w:sz w:val="32"/>
          <w:szCs w:val="30"/>
        </w:rPr>
        <w:t>（一）明确监管职责</w:t>
      </w:r>
    </w:p>
    <w:p>
      <w:pPr>
        <w:spacing w:line="576" w:lineRule="exact"/>
        <w:ind w:firstLine="640" w:firstLineChars="200"/>
        <w:rPr>
          <w:rFonts w:ascii="仿宋_GB2312" w:hAnsi="华文中宋" w:eastAsia="仿宋_GB2312"/>
          <w:sz w:val="32"/>
          <w:szCs w:val="30"/>
        </w:rPr>
      </w:pPr>
      <w:r>
        <w:rPr>
          <w:rFonts w:hint="eastAsia" w:ascii="仿宋_GB2312" w:hAnsi="华文中宋" w:eastAsia="仿宋_GB2312"/>
          <w:sz w:val="32"/>
          <w:szCs w:val="30"/>
        </w:rPr>
        <w:t>《运营管理办法》明确加氢站运营管理工作中涉及的各相关部门及各自相应工作职责。</w:t>
      </w:r>
    </w:p>
    <w:p>
      <w:pPr>
        <w:spacing w:line="576" w:lineRule="exact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0"/>
        </w:rPr>
        <w:t>城市管理部门：负责</w:t>
      </w:r>
      <w:r>
        <w:rPr>
          <w:rFonts w:hint="eastAsia" w:ascii="仿宋_GB2312" w:hAnsi="宋体" w:eastAsia="仿宋_GB2312" w:cs="Times New Roman"/>
          <w:sz w:val="32"/>
          <w:szCs w:val="32"/>
        </w:rPr>
        <w:t>负责本市加氢站的运营监督管理工作，对加氢站的安全生产和氢气供应质量实施监督管理。</w:t>
      </w:r>
    </w:p>
    <w:p>
      <w:pPr>
        <w:spacing w:line="576" w:lineRule="exact"/>
        <w:ind w:firstLine="640" w:firstLineChars="200"/>
        <w:rPr>
          <w:rFonts w:ascii="仿宋_GB2312" w:hAnsi="华文中宋" w:eastAsia="仿宋_GB2312"/>
          <w:sz w:val="32"/>
          <w:szCs w:val="30"/>
        </w:rPr>
      </w:pPr>
      <w:r>
        <w:rPr>
          <w:rFonts w:hint="eastAsia" w:ascii="仿宋_GB2312" w:hAnsi="华文中宋" w:eastAsia="仿宋_GB2312"/>
          <w:sz w:val="32"/>
          <w:szCs w:val="30"/>
        </w:rPr>
        <w:t>应急部门：负责对加氢站运营、站内氢气供应和使用的安全生产实施综合监督管理；负责开展加氢站安全事故调查分析。</w:t>
      </w:r>
    </w:p>
    <w:p>
      <w:pPr>
        <w:spacing w:line="576" w:lineRule="exact"/>
        <w:ind w:firstLine="640" w:firstLineChars="200"/>
        <w:rPr>
          <w:rFonts w:ascii="仿宋_GB2312" w:hAnsi="华文中宋" w:eastAsia="仿宋_GB2312"/>
          <w:sz w:val="32"/>
          <w:szCs w:val="30"/>
        </w:rPr>
      </w:pPr>
      <w:r>
        <w:rPr>
          <w:rFonts w:hint="eastAsia" w:ascii="仿宋_GB2312" w:hAnsi="华文中宋" w:eastAsia="仿宋_GB2312"/>
          <w:sz w:val="32"/>
          <w:szCs w:val="30"/>
        </w:rPr>
        <w:t>市场监管部门：负责对加氢站涉及的压力容器、压力管道等特种设备实施监督管理，以及对加氢站内氢气质量实施监督管理。</w:t>
      </w:r>
    </w:p>
    <w:p>
      <w:pPr>
        <w:spacing w:line="576" w:lineRule="exact"/>
        <w:ind w:firstLine="640" w:firstLineChars="200"/>
        <w:rPr>
          <w:rFonts w:ascii="仿宋_GB2312" w:hAnsi="华文中宋" w:eastAsia="仿宋_GB2312"/>
          <w:sz w:val="32"/>
          <w:szCs w:val="30"/>
        </w:rPr>
      </w:pPr>
      <w:r>
        <w:rPr>
          <w:rFonts w:hint="eastAsia" w:ascii="仿宋_GB2312" w:hAnsi="华文中宋" w:eastAsia="仿宋_GB2312"/>
          <w:sz w:val="32"/>
          <w:szCs w:val="30"/>
        </w:rPr>
        <w:t>消防部门：负责对加氢站实施消防安全监督管理，指导开展加氢站消防应急演练和应急处置工作。</w:t>
      </w:r>
    </w:p>
    <w:p>
      <w:pPr>
        <w:spacing w:line="576" w:lineRule="exact"/>
        <w:ind w:firstLine="640" w:firstLineChars="200"/>
        <w:rPr>
          <w:rFonts w:ascii="仿宋_GB2312" w:hAnsi="华文中宋" w:eastAsia="仿宋_GB2312"/>
          <w:sz w:val="32"/>
          <w:szCs w:val="30"/>
        </w:rPr>
      </w:pPr>
      <w:r>
        <w:rPr>
          <w:rFonts w:hint="eastAsia" w:ascii="仿宋_GB2312" w:hAnsi="华文中宋" w:eastAsia="仿宋_GB2312"/>
          <w:sz w:val="32"/>
          <w:szCs w:val="30"/>
        </w:rPr>
        <w:t>综合执法部门：负责行使由城市管理、应急和市场监管等行政主管部门行使的行政处罚权。</w:t>
      </w:r>
    </w:p>
    <w:p>
      <w:pPr>
        <w:spacing w:line="576" w:lineRule="exact"/>
        <w:ind w:firstLine="640" w:firstLineChars="200"/>
        <w:rPr>
          <w:rFonts w:ascii="楷体_GB2312" w:hAnsi="华文中宋" w:eastAsia="楷体_GB2312"/>
          <w:sz w:val="32"/>
          <w:szCs w:val="30"/>
        </w:rPr>
      </w:pPr>
      <w:r>
        <w:rPr>
          <w:rFonts w:hint="eastAsia" w:ascii="楷体_GB2312" w:hAnsi="华文中宋" w:eastAsia="楷体_GB2312"/>
          <w:sz w:val="32"/>
          <w:szCs w:val="30"/>
        </w:rPr>
        <w:t>（二）明确经营条件和违规处理措施</w:t>
      </w:r>
    </w:p>
    <w:p>
      <w:pPr>
        <w:spacing w:line="576" w:lineRule="exact"/>
        <w:ind w:firstLine="640" w:firstLineChars="200"/>
        <w:rPr>
          <w:rFonts w:ascii="仿宋_GB2312" w:hAnsi="华文中宋" w:eastAsia="仿宋_GB2312"/>
          <w:sz w:val="32"/>
          <w:szCs w:val="30"/>
        </w:rPr>
      </w:pPr>
      <w:r>
        <w:rPr>
          <w:rFonts w:hint="eastAsia" w:ascii="仿宋_GB2312" w:hAnsi="华文中宋" w:eastAsia="仿宋_GB2312"/>
          <w:sz w:val="32"/>
          <w:szCs w:val="30"/>
        </w:rPr>
        <w:t>《运营管理办法》明确了经营加氢站所需要的条件。</w:t>
      </w:r>
      <w:r>
        <w:rPr>
          <w:rFonts w:ascii="仿宋_GB2312" w:hAnsi="华文中宋" w:eastAsia="仿宋_GB2312"/>
          <w:sz w:val="32"/>
          <w:szCs w:val="30"/>
        </w:rPr>
        <w:t>申请</w:t>
      </w:r>
      <w:r>
        <w:rPr>
          <w:rFonts w:hint="eastAsia" w:ascii="仿宋_GB2312" w:hAnsi="华文中宋" w:eastAsia="仿宋_GB2312"/>
          <w:sz w:val="32"/>
          <w:szCs w:val="30"/>
        </w:rPr>
        <w:t>《燃气经营许可证（氢燃料电池汽车车用加氢站）》的加氢站应当满足</w:t>
      </w:r>
      <w:r>
        <w:rPr>
          <w:rFonts w:ascii="仿宋_GB2312" w:hAnsi="华文中宋" w:eastAsia="仿宋_GB2312"/>
          <w:sz w:val="32"/>
          <w:szCs w:val="30"/>
        </w:rPr>
        <w:t>布局</w:t>
      </w:r>
      <w:r>
        <w:rPr>
          <w:rFonts w:hint="eastAsia" w:ascii="仿宋_GB2312" w:hAnsi="华文中宋" w:eastAsia="仿宋_GB2312"/>
          <w:sz w:val="32"/>
          <w:szCs w:val="30"/>
        </w:rPr>
        <w:t>应</w:t>
      </w:r>
      <w:r>
        <w:rPr>
          <w:rFonts w:ascii="仿宋_GB2312" w:hAnsi="华文中宋" w:eastAsia="仿宋_GB2312"/>
          <w:sz w:val="32"/>
          <w:szCs w:val="30"/>
        </w:rPr>
        <w:t>符合</w:t>
      </w:r>
      <w:r>
        <w:rPr>
          <w:rFonts w:hint="eastAsia" w:ascii="仿宋_GB2312" w:hAnsi="华文中宋" w:eastAsia="仿宋_GB2312"/>
          <w:sz w:val="32"/>
          <w:szCs w:val="30"/>
        </w:rPr>
        <w:t>汽车加氢站规划选址要求，有</w:t>
      </w:r>
      <w:r>
        <w:rPr>
          <w:rFonts w:ascii="仿宋_GB2312" w:hAnsi="华文中宋" w:eastAsia="仿宋_GB2312"/>
          <w:sz w:val="32"/>
          <w:szCs w:val="30"/>
        </w:rPr>
        <w:t>符合</w:t>
      </w:r>
      <w:r>
        <w:rPr>
          <w:rFonts w:hint="eastAsia" w:ascii="仿宋_GB2312" w:hAnsi="华文中宋" w:eastAsia="仿宋_GB2312"/>
          <w:sz w:val="32"/>
          <w:szCs w:val="30"/>
        </w:rPr>
        <w:t>标准</w:t>
      </w:r>
      <w:r>
        <w:rPr>
          <w:rFonts w:ascii="仿宋_GB2312" w:hAnsi="华文中宋" w:eastAsia="仿宋_GB2312"/>
          <w:sz w:val="32"/>
          <w:szCs w:val="30"/>
        </w:rPr>
        <w:t>且与经营规模、经营类型相适应的</w:t>
      </w:r>
      <w:r>
        <w:rPr>
          <w:rFonts w:hint="eastAsia" w:ascii="仿宋_GB2312" w:hAnsi="华文中宋" w:eastAsia="仿宋_GB2312"/>
          <w:sz w:val="32"/>
          <w:szCs w:val="30"/>
        </w:rPr>
        <w:t>加氢设施，</w:t>
      </w:r>
      <w:r>
        <w:rPr>
          <w:rFonts w:ascii="仿宋_GB2312" w:hAnsi="华文中宋" w:eastAsia="仿宋_GB2312"/>
          <w:sz w:val="32"/>
          <w:szCs w:val="30"/>
        </w:rPr>
        <w:t>有固定的、符合安全条件的办公、经营和服务</w:t>
      </w:r>
      <w:r>
        <w:rPr>
          <w:rFonts w:hint="eastAsia" w:ascii="仿宋_GB2312" w:hAnsi="华文中宋" w:eastAsia="仿宋_GB2312"/>
          <w:sz w:val="32"/>
          <w:szCs w:val="30"/>
        </w:rPr>
        <w:t>场所。</w:t>
      </w:r>
      <w:r>
        <w:rPr>
          <w:rFonts w:ascii="仿宋_GB2312" w:hAnsi="华文中宋" w:eastAsia="仿宋_GB2312"/>
          <w:sz w:val="32"/>
          <w:szCs w:val="30"/>
        </w:rPr>
        <w:t>站内应</w:t>
      </w:r>
      <w:r>
        <w:rPr>
          <w:rFonts w:hint="eastAsia" w:ascii="仿宋_GB2312" w:hAnsi="华文中宋" w:eastAsia="仿宋_GB2312"/>
          <w:sz w:val="32"/>
          <w:szCs w:val="30"/>
        </w:rPr>
        <w:t>具备有经专业培训并考核合格的站内工作人员，有</w:t>
      </w:r>
      <w:r>
        <w:rPr>
          <w:rFonts w:ascii="仿宋_GB2312" w:hAnsi="华文中宋" w:eastAsia="仿宋_GB2312"/>
          <w:sz w:val="32"/>
          <w:szCs w:val="30"/>
        </w:rPr>
        <w:t>符合国家标准的</w:t>
      </w:r>
      <w:r>
        <w:rPr>
          <w:rFonts w:hint="eastAsia" w:ascii="仿宋_GB2312" w:hAnsi="华文中宋" w:eastAsia="仿宋_GB2312"/>
          <w:sz w:val="32"/>
          <w:szCs w:val="30"/>
        </w:rPr>
        <w:t>氢气气源，</w:t>
      </w:r>
      <w:r>
        <w:rPr>
          <w:rFonts w:ascii="仿宋_GB2312" w:hAnsi="华文中宋" w:eastAsia="仿宋_GB2312"/>
          <w:sz w:val="32"/>
          <w:szCs w:val="30"/>
        </w:rPr>
        <w:t>有健全的</w:t>
      </w:r>
      <w:r>
        <w:rPr>
          <w:rFonts w:hint="eastAsia" w:ascii="仿宋_GB2312" w:hAnsi="华文中宋" w:eastAsia="仿宋_GB2312"/>
          <w:sz w:val="32"/>
          <w:szCs w:val="30"/>
        </w:rPr>
        <w:t>企业服务和安全管理制度，配置有应急储备预案，同时服从国家、北京市、行业管理部门等政府行业监管，按照要求配备视频监控设备，并将站内设备实时运行数据接入制定信息管理平台。</w:t>
      </w:r>
    </w:p>
    <w:p>
      <w:pPr>
        <w:spacing w:line="576" w:lineRule="exact"/>
        <w:ind w:firstLine="640" w:firstLineChars="200"/>
        <w:rPr>
          <w:rFonts w:ascii="仿宋_GB2312" w:hAnsi="华文中宋" w:eastAsia="仿宋_GB2312"/>
          <w:sz w:val="32"/>
          <w:szCs w:val="30"/>
        </w:rPr>
      </w:pPr>
      <w:r>
        <w:rPr>
          <w:rFonts w:hint="eastAsia" w:ascii="仿宋_GB2312" w:hAnsi="华文中宋" w:eastAsia="仿宋_GB2312"/>
          <w:sz w:val="32"/>
          <w:szCs w:val="30"/>
        </w:rPr>
        <w:t>《运营管理办法》明确提出的条例规定，加氢站经营企业应当严格遵照执行。如违反相关条例规定，将按照本办法、同时参照《北京市燃气管理条例》</w:t>
      </w:r>
      <w:r>
        <w:rPr>
          <w:rFonts w:ascii="仿宋_GB2312" w:hAnsi="华文中宋" w:eastAsia="仿宋_GB2312"/>
          <w:sz w:val="32"/>
          <w:szCs w:val="30"/>
        </w:rPr>
        <w:t>有关规定对企业的违反行为处以</w:t>
      </w:r>
      <w:r>
        <w:rPr>
          <w:rFonts w:hint="eastAsia" w:ascii="仿宋_GB2312" w:hAnsi="华文中宋" w:eastAsia="仿宋_GB2312"/>
          <w:sz w:val="32"/>
          <w:szCs w:val="30"/>
        </w:rPr>
        <w:t>罚款、没收违法所得、或吊销经营许可等处罚。</w:t>
      </w:r>
    </w:p>
    <w:p>
      <w:pPr>
        <w:spacing w:line="576" w:lineRule="exact"/>
        <w:ind w:firstLine="640" w:firstLineChars="200"/>
        <w:rPr>
          <w:rFonts w:ascii="楷体_GB2312" w:hAnsi="华文中宋" w:eastAsia="楷体_GB2312"/>
          <w:sz w:val="32"/>
          <w:szCs w:val="30"/>
        </w:rPr>
      </w:pPr>
      <w:r>
        <w:rPr>
          <w:rFonts w:hint="eastAsia" w:ascii="楷体_GB2312" w:hAnsi="华文中宋" w:eastAsia="楷体_GB2312"/>
          <w:sz w:val="32"/>
          <w:szCs w:val="30"/>
        </w:rPr>
        <w:t>（三）明确企业服务和安全管理要求</w:t>
      </w:r>
    </w:p>
    <w:p>
      <w:pPr>
        <w:spacing w:line="576" w:lineRule="exact"/>
        <w:ind w:firstLine="640" w:firstLineChars="200"/>
        <w:rPr>
          <w:rFonts w:ascii="仿宋_GB2312" w:hAnsi="华文中宋" w:eastAsia="仿宋_GB2312"/>
          <w:sz w:val="32"/>
          <w:szCs w:val="30"/>
        </w:rPr>
      </w:pPr>
      <w:r>
        <w:rPr>
          <w:rFonts w:hint="eastAsia" w:ascii="仿宋_GB2312" w:hAnsi="华文中宋" w:eastAsia="仿宋_GB2312"/>
          <w:sz w:val="32"/>
          <w:szCs w:val="30"/>
        </w:rPr>
        <w:t>《运营管理办法》明确了加氢站运营企业的服务要求和安全管理要求。加氢站运营企业应当建立健全用户服务制度，从用户服务数据、氢气价格管理、运营服务管理、标志标识引导等方面规范服务行为。加氢站运营企业是加氢站运行的安全责任主体，应根据国家和本市有关规定，建立健全安全运行管理机构和制度，从明确安全管理人员和职责、加强人员培训考核、加强设备设施管理、加强运维保养、定期开展安全检查、加强监测监控和数据管理等方面落实安全生产要求。</w:t>
      </w:r>
    </w:p>
    <w:p>
      <w:pPr>
        <w:spacing w:line="576" w:lineRule="exact"/>
        <w:ind w:firstLine="640" w:firstLineChars="200"/>
        <w:rPr>
          <w:rFonts w:ascii="楷体_GB2312" w:hAnsi="华文中宋" w:eastAsia="楷体_GB2312"/>
          <w:sz w:val="32"/>
          <w:szCs w:val="30"/>
        </w:rPr>
      </w:pPr>
      <w:r>
        <w:rPr>
          <w:rFonts w:hint="eastAsia" w:ascii="楷体_GB2312" w:hAnsi="华文中宋" w:eastAsia="楷体_GB2312"/>
          <w:sz w:val="32"/>
          <w:szCs w:val="30"/>
        </w:rPr>
        <w:t>（四）明确应急预案与事故处置</w:t>
      </w:r>
    </w:p>
    <w:p>
      <w:pPr>
        <w:spacing w:line="576" w:lineRule="exact"/>
        <w:ind w:firstLine="640" w:firstLineChars="200"/>
        <w:rPr>
          <w:rFonts w:ascii="仿宋_GB2312" w:hAnsi="华文中宋" w:eastAsia="仿宋_GB2312"/>
          <w:sz w:val="32"/>
          <w:szCs w:val="30"/>
        </w:rPr>
      </w:pPr>
      <w:r>
        <w:rPr>
          <w:rFonts w:hint="eastAsia" w:ascii="仿宋_GB2312" w:hAnsi="华文中宋" w:eastAsia="仿宋_GB2312"/>
          <w:sz w:val="32"/>
          <w:szCs w:val="30"/>
        </w:rPr>
        <w:t xml:space="preserve">《运营管理办法》明确提出市、区两级政府有关部门和企业对于加氢站应急预案的制定、实施、演练和修订要求，对于加氢站事故报告、处置、调查和防范的工作内容做出了规定。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 w:eastAsia="宋体"/>
        <w:sz w:val="20"/>
        <w:szCs w:val="20"/>
      </w:rPr>
      <w:id w:val="-1747724332"/>
    </w:sdtPr>
    <w:sdtEndPr>
      <w:rPr>
        <w:rFonts w:ascii="宋体" w:hAnsi="宋体" w:eastAsia="宋体"/>
        <w:sz w:val="20"/>
        <w:szCs w:val="20"/>
      </w:rPr>
    </w:sdtEndPr>
    <w:sdtContent>
      <w:p>
        <w:pPr>
          <w:pStyle w:val="4"/>
          <w:jc w:val="center"/>
          <w:rPr>
            <w:rFonts w:ascii="宋体" w:hAnsi="宋体" w:eastAsia="宋体"/>
            <w:sz w:val="20"/>
            <w:szCs w:val="20"/>
          </w:rPr>
        </w:pPr>
        <w:r>
          <w:rPr>
            <w:rFonts w:ascii="宋体" w:hAnsi="宋体" w:eastAsia="宋体"/>
            <w:sz w:val="20"/>
            <w:szCs w:val="20"/>
          </w:rPr>
          <w:fldChar w:fldCharType="begin"/>
        </w:r>
        <w:r>
          <w:rPr>
            <w:rFonts w:ascii="宋体" w:hAnsi="宋体" w:eastAsia="宋体"/>
            <w:sz w:val="20"/>
            <w:szCs w:val="20"/>
          </w:rPr>
          <w:instrText xml:space="preserve">PAGE   \* MERGEFORMAT</w:instrText>
        </w:r>
        <w:r>
          <w:rPr>
            <w:rFonts w:ascii="宋体" w:hAnsi="宋体" w:eastAsia="宋体"/>
            <w:sz w:val="20"/>
            <w:szCs w:val="20"/>
          </w:rPr>
          <w:fldChar w:fldCharType="separate"/>
        </w:r>
        <w:r>
          <w:rPr>
            <w:rFonts w:ascii="宋体" w:hAnsi="宋体" w:eastAsia="宋体"/>
            <w:sz w:val="20"/>
            <w:szCs w:val="20"/>
            <w:lang w:val="zh-CN"/>
          </w:rPr>
          <w:t>2</w:t>
        </w:r>
        <w:r>
          <w:rPr>
            <w:rFonts w:ascii="宋体" w:hAnsi="宋体" w:eastAsia="宋体"/>
            <w:sz w:val="20"/>
            <w:szCs w:val="20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101DAB"/>
    <w:rsid w:val="0001523E"/>
    <w:rsid w:val="0012538D"/>
    <w:rsid w:val="00396188"/>
    <w:rsid w:val="00786C2C"/>
    <w:rsid w:val="00B31FA7"/>
    <w:rsid w:val="00B548DA"/>
    <w:rsid w:val="00CE2028"/>
    <w:rsid w:val="00EB7DE7"/>
    <w:rsid w:val="06F05B02"/>
    <w:rsid w:val="19101DAB"/>
    <w:rsid w:val="300B3F25"/>
    <w:rsid w:val="32AE33AD"/>
    <w:rsid w:val="42F74E33"/>
    <w:rsid w:val="4D033150"/>
    <w:rsid w:val="51505B86"/>
    <w:rsid w:val="72182074"/>
    <w:rsid w:val="7B98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11"/>
    <w:unhideWhenUsed/>
    <w:qFormat/>
    <w:uiPriority w:val="99"/>
    <w:pPr>
      <w:spacing w:after="0"/>
      <w:ind w:firstLine="420" w:firstLineChars="100"/>
      <w:jc w:val="center"/>
    </w:pPr>
    <w:rPr>
      <w:rFonts w:ascii="方正小标宋_GBK" w:hAnsi="Times New Roman" w:eastAsia="方正小标宋_GBK"/>
      <w:b/>
      <w:bCs/>
      <w:kern w:val="0"/>
      <w:sz w:val="20"/>
      <w:szCs w:val="22"/>
    </w:rPr>
  </w:style>
  <w:style w:type="paragraph" w:styleId="3">
    <w:name w:val="Body Text"/>
    <w:basedOn w:val="1"/>
    <w:link w:val="10"/>
    <w:uiPriority w:val="0"/>
    <w:pPr>
      <w:spacing w:after="120"/>
    </w:p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6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正文文本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1">
    <w:name w:val="正文文本首行缩进 字符"/>
    <w:basedOn w:val="10"/>
    <w:link w:val="2"/>
    <w:qFormat/>
    <w:uiPriority w:val="99"/>
    <w:rPr>
      <w:rFonts w:ascii="方正小标宋_GBK" w:eastAsia="方正小标宋_GBK" w:hAnsiTheme="minorHAnsi" w:cstheme="minorBid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201</Words>
  <Characters>1150</Characters>
  <Lines>9</Lines>
  <Paragraphs>2</Paragraphs>
  <TotalTime>0</TotalTime>
  <ScaleCrop>false</ScaleCrop>
  <LinksUpToDate>false</LinksUpToDate>
  <CharactersWithSpaces>1349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2021-12-08T20:18:00Z</dcterms:created>
  <dc:creator>lunan</dc:creator>
  <cp:lastModifiedBy>办公室</cp:lastModifiedBy>
  <dcterms:modified xsi:type="dcterms:W3CDTF">2022-04-18T02:22:42Z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