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100561538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《北京市氢燃料电池汽车车用加氢站建设管理暂行办法》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解读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为贯彻落实《新能源汽车产业发展规划（2021-2035）》《北京市国民经济和社会发展第十四个五年规划和二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的有关要求和京津冀燃料电池汽车示范城市群的工作任务，推动完成《北京市氢燃料电池汽车产业规划（2020-2025年）》和《北京市氢能产业实施方案（2021-2025年）》的加氢站发展目标，规范本市氢燃料电池汽车车用加氢站的建设运营管理工作，特制定《北京市氢燃料电池汽车车用加氢站建设管理暂行办法》（以下简称《建设管理办法》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《建设管理办法》共二十一条，适用于本市行政区域内加氢站规划和建设，明确了新建、改（扩）建加氢站和内部加氢站的建设管理程序。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（一）明确分类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0"/>
        </w:rPr>
        <w:t>《建设管理办法》</w:t>
      </w:r>
      <w:bookmarkStart w:id="1" w:name="_Hlk87566122"/>
      <w:r>
        <w:rPr>
          <w:rFonts w:hint="eastAsia" w:ascii="仿宋_GB2312" w:hAnsi="华文中宋" w:eastAsia="仿宋_GB2312"/>
          <w:sz w:val="32"/>
          <w:szCs w:val="30"/>
        </w:rPr>
        <w:t>明确加氢站</w:t>
      </w:r>
      <w:bookmarkEnd w:id="1"/>
      <w:r>
        <w:rPr>
          <w:rFonts w:hint="eastAsia" w:ascii="仿宋_GB2312" w:hAnsi="华文中宋" w:eastAsia="仿宋_GB2312"/>
          <w:sz w:val="32"/>
          <w:szCs w:val="30"/>
        </w:rPr>
        <w:t>是指为</w:t>
      </w:r>
      <w:r>
        <w:rPr>
          <w:rFonts w:hint="eastAsia" w:ascii="仿宋_GB2312" w:eastAsia="仿宋_GB2312" w:hAnsiTheme="minorEastAsia"/>
          <w:sz w:val="32"/>
          <w:szCs w:val="32"/>
        </w:rPr>
        <w:t>氢燃料电池汽车的储氢瓶充装氢燃料的专门场所，包括单独建设的加氢站和加氢合建站。加氢合建站分为加油加氢合建站（既为汽车的油箱充装汽油或柴油，又为氢燃料汽车的储氢瓶充装氢燃料的场所）、加气加氢合建站（既为天然气汽车的储气瓶充装压缩天然气或液化天然气，又为氢燃料电池汽车的储氢瓶充装氢燃料的场所）和加油加气加氢合建站（为汽车的油箱充装汽油或柴油，天然气汽车的储气瓶充装压缩天然气或液化天然气，为氢燃料电池汽车的储氢瓶充装氢燃料的场所）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（二）基本要求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建设管理办法》明确了加氢站建设的规划和建设基本要求。一是加氢站的新建和改（扩）建项目应当符合本市加氢站专项规划。已经纳入规划的加氢站建设用地，未经法定程序调整规划，不得改变用途。二是加氢站新建和改（扩）建项目，应当符合国家和本市有关标准和规范，并由具有相应资质的单位进行安全预评价和安全设施设计，安全设施必须与主体工程同时设计、同时施工、同时投入使用。三是加氢站新建和改（扩）建，建设单位应当按照规定选择具有相应等级资质的单位进行工程设计、施工、监理，依法办理工程质量监督手续，并负责组织竣工验收。四是加氢站新建和改（扩）建，建设单位应当严格按照国家和本市有关档案管理的规定，收集、整理项目建设各环节的文件资料，建立健全项目建设档案，并在项目竣工验收后六个月内向城市建设档案机构移交齐全、准确的项目建设档案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（三）管理程序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城市管理部门牵头负责本市加氢站的建设管理工作。发展改革、规划自然资源、生态环境、住房城乡建设、交通、应急、市场监管、公安交管、气象等部门按照职责，做好加氢站建设的相关管理工作。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《建设管理办法》明确了新建加氢站的定义、土地获取和使用要求及加氢站建设和经营分阶段所需办理手续。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建设管理办法》明确了手续完善和手续不完善的加氢站改（扩）建项目的管理要求和审批流程，提出了既有加油站进行加氢加油合建所需满足的条件：一是已经纳入加氢站专项规划。二是既有加油站危险化学品经营许可证、营业执照和成品油零售经营批准证等“两证一照”经营手续齐全。三是增加的加氢设备、设施与现有加油设施实现物理隔绝，并与加油、周边建（构）筑物等保持规范要求的安全间距。同时，《建设管理办法》按照有无新增建（构）筑物对既有加油站进行加氢加油合建所需办理手续情况进行了区分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建设管理办法》明确了内部加氢站的定义，明确了内部加氢站无需办理《营业执照》、《气瓶充装许可证》和《燃气经营许可》（氢燃料电池汽车加氢站）等经营手续，经市场监管、城市管理等部门审查通过并备案后即可运营。其他办理手续同《建设管理办法》既有加油站进行加氢加油合建相关规定，如对社会车辆提供商业化加氢服务保障，按照《建设管理办法》完善相关手续。</w:t>
      </w:r>
      <w:bookmarkStart w:id="2" w:name="_Hlk87859007"/>
      <w:r>
        <w:rPr>
          <w:rFonts w:hint="eastAsia" w:ascii="仿宋_GB2312" w:eastAsia="仿宋_GB2312" w:hAnsiTheme="minorEastAsia"/>
          <w:sz w:val="32"/>
          <w:szCs w:val="32"/>
        </w:rPr>
        <w:t>无土地使用权出让（划拨）合同或租赁协议的土地，原则上不能进行加氢站建设</w:t>
      </w:r>
      <w:bookmarkEnd w:id="2"/>
      <w:r>
        <w:rPr>
          <w:rFonts w:hint="eastAsia" w:ascii="仿宋_GB2312" w:eastAsia="仿宋_GB2312" w:hAnsiTheme="minorEastAsia"/>
          <w:sz w:val="32"/>
          <w:szCs w:val="32"/>
        </w:rPr>
        <w:t>。确需建设的，按照“一事一议”原则，报请市政府研究决定。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0"/>
        <w:szCs w:val="20"/>
      </w:rPr>
      <w:id w:val="-1747724332"/>
    </w:sdtPr>
    <w:sdtEndPr>
      <w:rPr>
        <w:rFonts w:ascii="宋体" w:hAnsi="宋体" w:eastAsia="宋体"/>
        <w:sz w:val="20"/>
        <w:szCs w:val="20"/>
      </w:rPr>
    </w:sdtEndPr>
    <w:sdtContent>
      <w:p>
        <w:pPr>
          <w:pStyle w:val="4"/>
          <w:jc w:val="center"/>
          <w:rPr>
            <w:rFonts w:ascii="宋体" w:hAnsi="宋体" w:eastAsia="宋体"/>
            <w:sz w:val="20"/>
            <w:szCs w:val="20"/>
          </w:rPr>
        </w:pPr>
        <w:r>
          <w:rPr>
            <w:rFonts w:ascii="宋体" w:hAnsi="宋体" w:eastAsia="宋体"/>
            <w:sz w:val="20"/>
            <w:szCs w:val="20"/>
          </w:rPr>
          <w:fldChar w:fldCharType="begin"/>
        </w:r>
        <w:r>
          <w:rPr>
            <w:rFonts w:ascii="宋体" w:hAnsi="宋体" w:eastAsia="宋体"/>
            <w:sz w:val="20"/>
            <w:szCs w:val="20"/>
          </w:rPr>
          <w:instrText xml:space="preserve">PAGE   \* MERGEFORMAT</w:instrText>
        </w:r>
        <w:r>
          <w:rPr>
            <w:rFonts w:ascii="宋体" w:hAnsi="宋体" w:eastAsia="宋体"/>
            <w:sz w:val="20"/>
            <w:szCs w:val="20"/>
          </w:rPr>
          <w:fldChar w:fldCharType="separate"/>
        </w:r>
        <w:r>
          <w:rPr>
            <w:rFonts w:ascii="宋体" w:hAnsi="宋体" w:eastAsia="宋体"/>
            <w:sz w:val="20"/>
            <w:szCs w:val="20"/>
            <w:lang w:val="zh-CN"/>
          </w:rPr>
          <w:t>2</w:t>
        </w:r>
        <w:r>
          <w:rPr>
            <w:rFonts w:ascii="宋体" w:hAnsi="宋体" w:eastAsia="宋体"/>
            <w:sz w:val="20"/>
            <w:szCs w:val="2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1DAB"/>
    <w:rsid w:val="0001523E"/>
    <w:rsid w:val="00396188"/>
    <w:rsid w:val="00B31FA7"/>
    <w:rsid w:val="00B548DA"/>
    <w:rsid w:val="00CE2028"/>
    <w:rsid w:val="00EB7DE7"/>
    <w:rsid w:val="06F05B02"/>
    <w:rsid w:val="19101DAB"/>
    <w:rsid w:val="32AE33AD"/>
    <w:rsid w:val="33F71D75"/>
    <w:rsid w:val="42F74E33"/>
    <w:rsid w:val="4D033150"/>
    <w:rsid w:val="51505B86"/>
    <w:rsid w:val="5AD52CCD"/>
    <w:rsid w:val="72182074"/>
    <w:rsid w:val="763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99"/>
    <w:pPr>
      <w:spacing w:after="0"/>
      <w:ind w:firstLine="420" w:firstLineChars="100"/>
      <w:jc w:val="center"/>
    </w:pPr>
    <w:rPr>
      <w:rFonts w:ascii="方正小标宋_GBK" w:hAnsi="Times New Roman" w:eastAsia="方正小标宋_GBK"/>
      <w:b/>
      <w:bCs/>
      <w:kern w:val="0"/>
      <w:sz w:val="20"/>
      <w:szCs w:val="22"/>
    </w:rPr>
  </w:style>
  <w:style w:type="paragraph" w:styleId="3">
    <w:name w:val="Body Text"/>
    <w:basedOn w:val="1"/>
    <w:link w:val="10"/>
    <w:uiPriority w:val="0"/>
    <w:pPr>
      <w:spacing w:after="120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正文文本首行缩进 字符"/>
    <w:basedOn w:val="10"/>
    <w:link w:val="2"/>
    <w:uiPriority w:val="99"/>
    <w:rPr>
      <w:rFonts w:ascii="方正小标宋_GBK" w:eastAsia="方正小标宋_GBK" w:hAnsiTheme="minorHAnsi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1320</Characters>
  <Lines>11</Lines>
  <Paragraphs>3</Paragraphs>
  <ScaleCrop>false</ScaleCrop>
  <LinksUpToDate>false</LinksUpToDate>
  <CharactersWithSpaces>1548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2021-12-08T20:18:00Z</dcterms:created>
  <dc:creator>lunan</dc:creator>
  <cp:lastModifiedBy>办公室</cp:lastModifiedBy>
  <dcterms:modified xsi:type="dcterms:W3CDTF">2022-04-18T02:24:21Z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