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exact"/>
        <w:jc w:val="left"/>
        <w:rPr>
          <w:rFonts w:ascii="仿宋_GB2312" w:hAnsi="仿宋"/>
        </w:rPr>
      </w:pPr>
    </w:p>
    <w:p>
      <w:pPr>
        <w:pStyle w:val="3"/>
        <w:spacing w:before="0" w:after="0" w:line="240" w:lineRule="auto"/>
        <w:ind w:left="-278" w:leftChars="-87" w:firstLine="818" w:firstLineChars="186"/>
        <w:jc w:val="center"/>
        <w:rPr>
          <w:rFonts w:ascii="方正小标宋简体" w:hAnsi="方正小标宋简体" w:eastAsia="方正小标宋简体" w:cs="方正小标宋简体"/>
          <w:b w:val="0"/>
          <w:bCs w:val="0"/>
          <w:sz w:val="44"/>
          <w:szCs w:val="44"/>
        </w:rPr>
      </w:pPr>
      <w:bookmarkStart w:id="0" w:name="_Toc29041"/>
      <w:r>
        <w:rPr>
          <w:rFonts w:hint="eastAsia" w:ascii="方正小标宋简体" w:hAnsi="方正小标宋简体" w:eastAsia="方正小标宋简体" w:cs="方正小标宋简体"/>
          <w:b w:val="0"/>
          <w:bCs w:val="0"/>
          <w:sz w:val="44"/>
          <w:szCs w:val="44"/>
        </w:rPr>
        <w:t>北京市教育督导规定</w:t>
      </w:r>
      <w:bookmarkEnd w:id="0"/>
      <w:bookmarkStart w:id="1" w:name="_Toc22454"/>
      <w:r>
        <w:rPr>
          <w:rFonts w:hint="eastAsia" w:ascii="方正小标宋简体" w:hAnsi="方正小标宋简体" w:eastAsia="方正小标宋简体" w:cs="方正小标宋简体"/>
          <w:b w:val="0"/>
          <w:bCs w:val="0"/>
          <w:sz w:val="44"/>
          <w:szCs w:val="44"/>
        </w:rPr>
        <w:t>（修订草案）</w:t>
      </w:r>
      <w:bookmarkEnd w:id="1"/>
    </w:p>
    <w:p>
      <w:pPr>
        <w:pStyle w:val="3"/>
        <w:spacing w:before="0" w:after="0" w:line="240" w:lineRule="auto"/>
        <w:ind w:left="-278" w:leftChars="-87" w:firstLine="595" w:firstLineChars="186"/>
        <w:jc w:val="center"/>
        <w:rPr>
          <w:rFonts w:ascii="楷体" w:hAnsi="楷体" w:eastAsia="楷体" w:cs="楷体"/>
          <w:b w:val="0"/>
          <w:bCs w:val="0"/>
        </w:rPr>
      </w:pPr>
      <w:r>
        <w:rPr>
          <w:rFonts w:hint="eastAsia" w:ascii="楷体" w:hAnsi="楷体" w:eastAsia="楷体" w:cs="楷体"/>
          <w:b w:val="0"/>
          <w:bCs w:val="0"/>
        </w:rPr>
        <w:t>（</w:t>
      </w:r>
      <w:r>
        <w:rPr>
          <w:rFonts w:hint="eastAsia" w:ascii="楷体" w:hAnsi="楷体" w:eastAsia="楷体" w:cs="楷体"/>
          <w:b w:val="0"/>
          <w:bCs w:val="0"/>
          <w:lang w:eastAsia="zh-CN"/>
        </w:rPr>
        <w:t>征求意见</w:t>
      </w:r>
      <w:r>
        <w:rPr>
          <w:rFonts w:hint="eastAsia" w:ascii="楷体" w:hAnsi="楷体" w:eastAsia="楷体" w:cs="楷体"/>
          <w:b w:val="0"/>
          <w:bCs w:val="0"/>
        </w:rPr>
        <w:t>稿）</w:t>
      </w:r>
    </w:p>
    <w:p>
      <w:pPr>
        <w:spacing w:line="560" w:lineRule="exact"/>
      </w:pPr>
    </w:p>
    <w:p>
      <w:pPr>
        <w:pStyle w:val="3"/>
        <w:numPr>
          <w:ilvl w:val="255"/>
          <w:numId w:val="0"/>
        </w:numPr>
        <w:spacing w:before="0" w:after="0" w:line="560" w:lineRule="exact"/>
        <w:jc w:val="center"/>
        <w:rPr>
          <w:rFonts w:ascii="黑体" w:hAnsi="黑体" w:cs="黑体"/>
          <w:b w:val="0"/>
          <w:bCs w:val="0"/>
        </w:rPr>
      </w:pPr>
      <w:bookmarkStart w:id="2" w:name="_Toc7578"/>
      <w:bookmarkStart w:id="3" w:name="_Toc31912"/>
      <w:r>
        <w:rPr>
          <w:rFonts w:hint="eastAsia" w:ascii="黑体" w:hAnsi="黑体" w:cs="黑体"/>
          <w:b w:val="0"/>
          <w:bCs w:val="0"/>
        </w:rPr>
        <w:t>第一章  总  则</w:t>
      </w:r>
      <w:bookmarkEnd w:id="2"/>
      <w:bookmarkEnd w:id="3"/>
    </w:p>
    <w:p>
      <w:pPr>
        <w:spacing w:line="560" w:lineRule="exact"/>
        <w:ind w:firstLine="640" w:firstLineChars="200"/>
        <w:rPr>
          <w:rFonts w:ascii="仿宋_GB2312" w:hAnsi="仿宋_GB2312" w:cs="仿宋_GB2312"/>
        </w:rPr>
      </w:pPr>
      <w:r>
        <w:rPr>
          <w:rFonts w:hint="eastAsia" w:ascii="仿宋_GB2312" w:hAnsi="仿宋_GB2312" w:eastAsia="黑体" w:cs="仿宋_GB2312"/>
          <w:color w:val="000000"/>
        </w:rPr>
        <w:t>第一条</w:t>
      </w:r>
      <w:r>
        <w:rPr>
          <w:rFonts w:hint="eastAsia" w:ascii="仿宋_GB2312" w:hAnsi="仿宋_GB2312" w:eastAsia="黑体" w:cs="仿宋_GB2312"/>
        </w:rPr>
        <w:t xml:space="preserve">【目的与依据】 </w:t>
      </w:r>
      <w:bookmarkStart w:id="14" w:name="_GoBack"/>
      <w:bookmarkEnd w:id="14"/>
      <w:r>
        <w:rPr>
          <w:rFonts w:hint="eastAsia" w:ascii="仿宋_GB2312" w:hAnsi="仿宋_GB2312" w:cs="仿宋_GB2312"/>
        </w:rPr>
        <w:t>为了保证教育法律、法规、规章和国家教育方针、政策的贯彻执行，确保教育优先发展，落实立德树人根本任务，促进教育公平和高质量发展，培养德智体美劳全面发展的社会主义建设者和接班人，根据《教育督导条例》等法律法规，结合本市实际，制定本规定。</w:t>
      </w:r>
    </w:p>
    <w:p>
      <w:pPr>
        <w:spacing w:line="560" w:lineRule="exact"/>
        <w:ind w:firstLine="640" w:firstLineChars="200"/>
        <w:rPr>
          <w:rFonts w:ascii="仿宋_GB2312" w:hAnsi="仿宋_GB2312" w:cs="仿宋_GB2312"/>
        </w:rPr>
      </w:pPr>
      <w:r>
        <w:rPr>
          <w:rFonts w:hint="eastAsia" w:ascii="仿宋_GB2312" w:hAnsi="仿宋_GB2312" w:eastAsia="黑体" w:cs="仿宋_GB2312"/>
        </w:rPr>
        <w:t xml:space="preserve">第二条【适用范围】 </w:t>
      </w:r>
      <w:r>
        <w:rPr>
          <w:rFonts w:hint="eastAsia" w:ascii="仿宋_GB2312" w:hAnsi="仿宋_GB2312" w:cs="仿宋_GB2312"/>
        </w:rPr>
        <w:t>对本行政区域内各级各类教育实施的教育督导，适用本规定。</w:t>
      </w:r>
    </w:p>
    <w:p>
      <w:pPr>
        <w:spacing w:line="560" w:lineRule="exact"/>
        <w:ind w:firstLine="640" w:firstLineChars="200"/>
        <w:rPr>
          <w:rFonts w:ascii="仿宋_GB2312" w:hAnsi="仿宋_GB2312" w:cs="仿宋_GB2312"/>
        </w:rPr>
      </w:pPr>
      <w:r>
        <w:rPr>
          <w:rFonts w:hint="eastAsia" w:ascii="仿宋_GB2312" w:hAnsi="仿宋_GB2312" w:eastAsia="黑体" w:cs="仿宋_GB2312"/>
        </w:rPr>
        <w:t xml:space="preserve">第三条【督导内容】 </w:t>
      </w:r>
      <w:r>
        <w:rPr>
          <w:rFonts w:hint="eastAsia" w:ascii="仿宋_GB2312" w:hAnsi="仿宋_GB2312" w:cs="仿宋_GB2312"/>
        </w:rPr>
        <w:t>教育督导包括以下内容：</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（一）市、区人民政府贯彻执行教育法律、法规、规章和国家教育方针、政策情况；</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（二）本行政区域内的学校和其他教育机构（以下统称学校）开展教育教学管理工作情况；</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（三）本行政区域内各级各类教育发展状况和教育教学质量以及各级各类学校办学状况和教育教学水平。</w:t>
      </w:r>
    </w:p>
    <w:p>
      <w:pPr>
        <w:spacing w:line="560" w:lineRule="exact"/>
        <w:ind w:left="-278" w:leftChars="-87" w:firstLine="755" w:firstLineChars="236"/>
        <w:rPr>
          <w:rFonts w:ascii="仿宋_GB2312" w:hAnsi="仿宋_GB2312" w:cs="仿宋_GB2312"/>
        </w:rPr>
      </w:pPr>
      <w:r>
        <w:rPr>
          <w:rFonts w:hint="eastAsia" w:ascii="仿宋_GB2312" w:hAnsi="仿宋_GB2312" w:eastAsia="黑体" w:cs="仿宋_GB2312"/>
        </w:rPr>
        <w:t xml:space="preserve">第四条【督导原则】 </w:t>
      </w:r>
      <w:r>
        <w:rPr>
          <w:rFonts w:hint="eastAsia" w:ascii="仿宋_GB2312" w:hAnsi="仿宋_GB2312" w:cs="仿宋_GB2312"/>
        </w:rPr>
        <w:t>教育督导工作应遵循以下原则：</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 xml:space="preserve">（一）遵守教育法律、法规、规章和国家教育方针、政策的规定； </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（二）遵循教育教学规律；</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（三）坚持以提高教育教学质量为中心，以促进公平为导向；</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（四）坚持实事求是、客观公正；</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（五）坚持监督与指导并重；</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（六）坚持政府主导、多方参与。</w:t>
      </w:r>
    </w:p>
    <w:p>
      <w:pPr>
        <w:spacing w:line="560" w:lineRule="exact"/>
        <w:ind w:left="-278" w:leftChars="-87" w:firstLine="595" w:firstLineChars="186"/>
        <w:rPr>
          <w:rFonts w:ascii="仿宋_GB2312" w:hAnsi="仿宋_GB2312" w:cs="仿宋_GB2312"/>
        </w:rPr>
      </w:pPr>
      <w:r>
        <w:rPr>
          <w:rFonts w:hint="eastAsia" w:ascii="仿宋_GB2312" w:hAnsi="仿宋_GB2312" w:eastAsia="黑体" w:cs="仿宋_GB2312"/>
        </w:rPr>
        <w:t xml:space="preserve">第五条【市、区政府教育督导委员会】 </w:t>
      </w:r>
      <w:r>
        <w:rPr>
          <w:rFonts w:hint="eastAsia" w:ascii="仿宋_GB2312" w:hAnsi="仿宋_GB2312" w:cs="仿宋_GB2312"/>
        </w:rPr>
        <w:t>市、区人民政府教育督导委员会负责统筹指导本行政区域内的教育督导工作，研究制定教育督导重大政策，审议教育督导发展规划和重大事项，发布督导报告。</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市、区人民政府教育督导委员会办公室设在政府教育督导室。</w:t>
      </w:r>
    </w:p>
    <w:p>
      <w:pPr>
        <w:spacing w:line="560" w:lineRule="exact"/>
        <w:ind w:left="-278" w:leftChars="-87" w:firstLine="595" w:firstLineChars="186"/>
        <w:rPr>
          <w:rFonts w:ascii="仿宋_GB2312" w:hAnsi="仿宋_GB2312" w:cs="仿宋_GB2312"/>
          <w:shd w:val="pct10" w:color="auto" w:fill="FFFFFF"/>
        </w:rPr>
      </w:pPr>
      <w:r>
        <w:rPr>
          <w:rFonts w:hint="eastAsia" w:ascii="仿宋_GB2312" w:hAnsi="仿宋_GB2312" w:eastAsia="黑体" w:cs="仿宋_GB2312"/>
        </w:rPr>
        <w:t xml:space="preserve">第六条【市、区政府教育督导室】 </w:t>
      </w:r>
      <w:r>
        <w:rPr>
          <w:rFonts w:hint="eastAsia" w:ascii="仿宋_GB2312" w:hAnsi="仿宋_GB2312" w:cs="仿宋_GB2312"/>
        </w:rPr>
        <w:t>市、区人民政府教育督导室承担本级人民政府教育督导委员会日常工作。同时负责统筹规划、组织实施本行政区域内教育督导工作。</w:t>
      </w:r>
    </w:p>
    <w:p>
      <w:pPr>
        <w:spacing w:line="560" w:lineRule="exact"/>
        <w:ind w:left="-278" w:leftChars="-87" w:firstLine="640" w:firstLineChars="200"/>
        <w:rPr>
          <w:rFonts w:ascii="仿宋_GB2312" w:hAnsi="仿宋_GB2312" w:cs="仿宋_GB2312"/>
        </w:rPr>
      </w:pPr>
      <w:r>
        <w:rPr>
          <w:rFonts w:hint="eastAsia" w:ascii="仿宋_GB2312" w:hAnsi="仿宋_GB2312" w:eastAsia="黑体" w:cs="仿宋_GB2312"/>
        </w:rPr>
        <w:t xml:space="preserve">第七条【教育督导机构】 </w:t>
      </w:r>
      <w:r>
        <w:rPr>
          <w:rFonts w:hint="eastAsia" w:ascii="仿宋_GB2312" w:hAnsi="仿宋_GB2312" w:cs="仿宋_GB2312"/>
        </w:rPr>
        <w:t>市、区人民政府教育督导委员会和教育督导室统称教育督导机构，独立行使教育督导职能。</w:t>
      </w:r>
    </w:p>
    <w:p>
      <w:pPr>
        <w:spacing w:line="560" w:lineRule="exact"/>
        <w:ind w:left="-278" w:leftChars="-87" w:firstLine="640" w:firstLineChars="200"/>
        <w:rPr>
          <w:rFonts w:ascii="仿宋_GB2312" w:hAnsi="仿宋_GB2312" w:cs="仿宋_GB2312"/>
        </w:rPr>
      </w:pPr>
      <w:r>
        <w:rPr>
          <w:rFonts w:hint="eastAsia" w:ascii="仿宋_GB2312" w:hAnsi="仿宋_GB2312" w:cs="仿宋_GB2312"/>
        </w:rPr>
        <w:t>市、区</w:t>
      </w:r>
      <w:r>
        <w:rPr>
          <w:rFonts w:hint="eastAsia" w:ascii="仿宋_GB2312" w:hAnsi="仿宋_GB2312" w:cs="仿宋_GB2312"/>
          <w:lang w:eastAsia="zh-CN"/>
        </w:rPr>
        <w:t>教育督导机构</w:t>
      </w:r>
      <w:r>
        <w:rPr>
          <w:rFonts w:hint="eastAsia" w:ascii="仿宋_GB2312" w:hAnsi="仿宋_GB2312" w:cs="仿宋_GB2312"/>
        </w:rPr>
        <w:t>设立总督学、副总督学。</w:t>
      </w:r>
    </w:p>
    <w:p>
      <w:pPr>
        <w:spacing w:line="560" w:lineRule="exact"/>
        <w:ind w:left="-278" w:leftChars="-87" w:firstLine="640" w:firstLineChars="200"/>
        <w:rPr>
          <w:rFonts w:ascii="仿宋_GB2312" w:hAnsi="仿宋_GB2312" w:cs="仿宋_GB2312"/>
        </w:rPr>
      </w:pPr>
      <w:r>
        <w:rPr>
          <w:rFonts w:hint="eastAsia" w:ascii="仿宋_GB2312" w:hAnsi="仿宋_GB2312" w:eastAsia="黑体" w:cs="仿宋_GB2312"/>
        </w:rPr>
        <w:t xml:space="preserve">第八条【保障措施】 </w:t>
      </w:r>
      <w:r>
        <w:rPr>
          <w:rFonts w:hint="eastAsia" w:ascii="仿宋_GB2312" w:hAnsi="仿宋_GB2312" w:cs="仿宋_GB2312"/>
        </w:rPr>
        <w:t>市、区人民政府应当根据本行政区域教育规模和教育督导工作需求，保障开展教育督导所需的工作条件。教育督导经费列入本级政府财政预算。</w:t>
      </w:r>
    </w:p>
    <w:p>
      <w:pPr>
        <w:spacing w:line="560" w:lineRule="exact"/>
        <w:ind w:left="-278" w:leftChars="-87" w:firstLine="640" w:firstLineChars="200"/>
        <w:rPr>
          <w:rFonts w:ascii="仿宋_GB2312" w:hAnsi="仿宋_GB2312" w:cs="仿宋_GB2312"/>
        </w:rPr>
      </w:pPr>
      <w:r>
        <w:rPr>
          <w:rFonts w:hint="eastAsia" w:ascii="仿宋_GB2312" w:hAnsi="仿宋_GB2312" w:eastAsia="黑体" w:cs="仿宋_GB2312"/>
        </w:rPr>
        <w:t xml:space="preserve">第九条【信息化智能化】 </w:t>
      </w:r>
      <w:r>
        <w:rPr>
          <w:rFonts w:hint="eastAsia" w:ascii="仿宋_GB2312" w:hAnsi="仿宋_GB2312" w:cs="仿宋_GB2312"/>
        </w:rPr>
        <w:t>市、区人民政府应加强教育督导信息化建设，构建智能化教育督导体系，实现信息技术与教育督导各项职能的深度融合，强化数据支持、信息支撑、管理保障与服务决策能力，提高教育督导效率和质量。</w:t>
      </w:r>
    </w:p>
    <w:p>
      <w:pPr>
        <w:spacing w:line="560" w:lineRule="exact"/>
        <w:ind w:left="-278" w:leftChars="-87" w:firstLine="640" w:firstLineChars="200"/>
        <w:rPr>
          <w:rFonts w:ascii="仿宋_GB2312" w:hAnsi="仿宋_GB2312" w:cs="仿宋_GB2312"/>
        </w:rPr>
      </w:pPr>
      <w:r>
        <w:rPr>
          <w:rFonts w:hint="eastAsia" w:ascii="仿宋_GB2312" w:hAnsi="仿宋_GB2312" w:eastAsia="黑体" w:cs="仿宋_GB2312"/>
        </w:rPr>
        <w:t xml:space="preserve">第十条【科研与合作交流】 </w:t>
      </w:r>
      <w:r>
        <w:rPr>
          <w:rFonts w:hint="eastAsia" w:ascii="仿宋_GB2312" w:hAnsi="仿宋_GB2312" w:cs="仿宋_GB2312"/>
        </w:rPr>
        <w:t>市、区人民政府鼓励和支持高等院校、科研机构及其他社会组织开展教育督导研究，鼓励和支持教育督导国内外交流与合作。</w:t>
      </w:r>
    </w:p>
    <w:p>
      <w:pPr>
        <w:spacing w:line="560" w:lineRule="exact"/>
        <w:ind w:left="-278" w:leftChars="-87" w:firstLine="640" w:firstLineChars="200"/>
        <w:rPr>
          <w:rFonts w:ascii="仿宋_GB2312" w:hAnsi="仿宋_GB2312" w:cs="仿宋_GB2312"/>
        </w:rPr>
      </w:pPr>
      <w:r>
        <w:rPr>
          <w:rFonts w:hint="eastAsia" w:ascii="仿宋_GB2312" w:hAnsi="仿宋_GB2312" w:eastAsia="黑体" w:cs="仿宋_GB2312"/>
        </w:rPr>
        <w:t xml:space="preserve">第十一条【社会参与】 </w:t>
      </w:r>
      <w:r>
        <w:rPr>
          <w:rFonts w:hint="eastAsia" w:ascii="仿宋_GB2312" w:hAnsi="仿宋_GB2312" w:cs="仿宋_GB2312"/>
        </w:rPr>
        <w:t>市、区人民政府引导和组织学生及其家长、教师、企事业单位及有关社会组织、社会公众依法有序参与教育督导活动。</w:t>
      </w:r>
    </w:p>
    <w:p>
      <w:pPr>
        <w:spacing w:line="560" w:lineRule="exact"/>
        <w:ind w:left="-278" w:leftChars="-87" w:firstLine="640" w:firstLineChars="200"/>
        <w:rPr>
          <w:rFonts w:ascii="仿宋_GB2312" w:hAnsi="仿宋_GB2312" w:cs="仿宋_GB2312"/>
        </w:rPr>
      </w:pPr>
    </w:p>
    <w:p>
      <w:pPr>
        <w:pStyle w:val="3"/>
        <w:keepNext w:val="0"/>
        <w:keepLines w:val="0"/>
        <w:widowControl/>
        <w:numPr>
          <w:ilvl w:val="255"/>
          <w:numId w:val="0"/>
        </w:numPr>
        <w:spacing w:before="0" w:after="0" w:line="560" w:lineRule="exact"/>
        <w:jc w:val="center"/>
        <w:rPr>
          <w:rFonts w:ascii="黑体" w:hAnsi="黑体" w:cs="黑体"/>
          <w:b w:val="0"/>
          <w:bCs w:val="0"/>
        </w:rPr>
      </w:pPr>
      <w:bookmarkStart w:id="4" w:name="_Toc5382"/>
      <w:bookmarkStart w:id="5" w:name="_Toc2353"/>
      <w:r>
        <w:rPr>
          <w:rFonts w:hint="eastAsia" w:ascii="黑体" w:hAnsi="黑体" w:cs="黑体"/>
          <w:b w:val="0"/>
          <w:bCs w:val="0"/>
        </w:rPr>
        <w:t>第二章  督  学</w:t>
      </w:r>
      <w:bookmarkEnd w:id="4"/>
      <w:bookmarkEnd w:id="5"/>
    </w:p>
    <w:p>
      <w:pPr>
        <w:spacing w:line="560" w:lineRule="exact"/>
        <w:ind w:left="-278" w:leftChars="-87" w:firstLine="640" w:firstLineChars="200"/>
        <w:rPr>
          <w:rFonts w:ascii="仿宋_GB2312" w:hAnsi="仿宋_GB2312" w:cs="仿宋_GB2312"/>
        </w:rPr>
      </w:pPr>
      <w:r>
        <w:rPr>
          <w:rFonts w:hint="eastAsia" w:ascii="仿宋_GB2312" w:hAnsi="仿宋_GB2312" w:eastAsia="黑体" w:cs="仿宋_GB2312"/>
        </w:rPr>
        <w:t xml:space="preserve">第十二条【督学配备】 </w:t>
      </w:r>
      <w:r>
        <w:rPr>
          <w:rFonts w:hint="eastAsia" w:ascii="仿宋_GB2312" w:hAnsi="仿宋_GB2312" w:cs="仿宋_GB2312"/>
        </w:rPr>
        <w:t>市、区人民政府根据教育督导工作需要，为教育督导机构配备数量充足的专职督学。市、区人民政府教育督导委员会依法依规聘任兼职督学。</w:t>
      </w:r>
    </w:p>
    <w:p>
      <w:pPr>
        <w:spacing w:line="560" w:lineRule="exact"/>
        <w:ind w:left="-278" w:leftChars="-87" w:firstLine="640" w:firstLineChars="200"/>
        <w:rPr>
          <w:rFonts w:ascii="仿宋_GB2312" w:hAnsi="仿宋_GB2312" w:cs="仿宋_GB2312"/>
        </w:rPr>
      </w:pPr>
      <w:r>
        <w:rPr>
          <w:rFonts w:hint="eastAsia" w:ascii="仿宋_GB2312" w:hAnsi="仿宋_GB2312" w:eastAsia="黑体" w:cs="仿宋_GB2312"/>
        </w:rPr>
        <w:t xml:space="preserve">第十三条【督学任职条件】 </w:t>
      </w:r>
      <w:r>
        <w:rPr>
          <w:rFonts w:hint="eastAsia" w:ascii="仿宋_GB2312" w:hAnsi="仿宋_GB2312" w:cs="仿宋_GB2312"/>
        </w:rPr>
        <w:t>督学应具备下列基本条件：</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（一）坚持党的基本路线，热爱中国特色社会主义教育事业；</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（二）遵守宪法和法律，熟悉与教育相关的法律、法规、规章和国家教育方针、政策；</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（三）品行端正，公道正派，坚持原则，廉洁自律；</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（四）热爱教育督导工作，掌握必要的教育督导工作方法和技术，具有较强的组织协调、沟通表达、综合研究分析能力，能够深入一线开展教育督导工作；</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（五）具有大学本科及以上学历和相关经历，从事教育教学、科学研究或教育管理工作 10 年以上，工作业绩突出；</w:t>
      </w:r>
    </w:p>
    <w:p>
      <w:pPr>
        <w:spacing w:line="560" w:lineRule="exact"/>
        <w:ind w:left="-278" w:leftChars="-87" w:firstLine="595" w:firstLineChars="186"/>
        <w:rPr>
          <w:rFonts w:ascii="仿宋_GB2312" w:hAnsi="仿宋_GB2312" w:cs="仿宋_GB2312"/>
          <w:u w:val="single"/>
        </w:rPr>
      </w:pPr>
      <w:r>
        <w:rPr>
          <w:rFonts w:hint="eastAsia" w:ascii="仿宋_GB2312" w:hAnsi="仿宋_GB2312" w:cs="仿宋_GB2312"/>
        </w:rPr>
        <w:t>（六）身心健康，初聘年龄一般不超过65周岁。</w:t>
      </w:r>
    </w:p>
    <w:p>
      <w:pPr>
        <w:spacing w:line="560" w:lineRule="exact"/>
        <w:ind w:left="-278" w:leftChars="-87" w:firstLine="595" w:firstLineChars="186"/>
        <w:rPr>
          <w:rFonts w:ascii="仿宋_GB2312" w:hAnsi="仿宋_GB2312" w:cs="仿宋_GB2312"/>
        </w:rPr>
      </w:pPr>
      <w:r>
        <w:rPr>
          <w:rFonts w:hint="eastAsia" w:ascii="仿宋_GB2312" w:hAnsi="仿宋_GB2312" w:eastAsia="黑体" w:cs="仿宋_GB2312"/>
        </w:rPr>
        <w:t xml:space="preserve">第十四条【聘任程序】 </w:t>
      </w:r>
      <w:r>
        <w:rPr>
          <w:rFonts w:hint="eastAsia" w:ascii="仿宋_GB2312" w:hAnsi="仿宋_GB2312" w:cs="仿宋_GB2312"/>
        </w:rPr>
        <w:t>市、区级督学聘任应包括推荐、审核、公示、公布等相关程序。兼职督学每届任期三年，连续聘任不得超过三届。</w:t>
      </w:r>
    </w:p>
    <w:p>
      <w:pPr>
        <w:spacing w:line="560" w:lineRule="exact"/>
        <w:ind w:left="-278" w:leftChars="-87" w:firstLine="595" w:firstLineChars="186"/>
        <w:rPr>
          <w:rFonts w:ascii="仿宋_GB2312" w:hAnsi="仿宋_GB2312" w:cs="仿宋_GB2312"/>
        </w:rPr>
      </w:pPr>
      <w:r>
        <w:rPr>
          <w:rFonts w:hint="eastAsia" w:ascii="仿宋_GB2312" w:hAnsi="仿宋_GB2312" w:eastAsia="黑体" w:cs="仿宋_GB2312"/>
        </w:rPr>
        <w:t xml:space="preserve">第十五条【督学职责】 </w:t>
      </w:r>
      <w:r>
        <w:rPr>
          <w:rFonts w:hint="eastAsia" w:ascii="仿宋_GB2312" w:hAnsi="仿宋_GB2312" w:cs="仿宋_GB2312"/>
        </w:rPr>
        <w:t>督学受教育督导机构的指派，履行以下职责：</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（一）对政府及其有关部门履行法律、法规、规章规定的教育职责和国家教育方针、政策贯彻执行情况进行督导；</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（二）对各级各类学校教育教学管理工作情况实施督导；</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（三）对师生或群众反映的教育热点、难点等重大问题实施督导；</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（四）发现违法违规办学行为以及严重影响或损害师生安全、合法权益、教育教学秩序等突发事件，及时督促处理并第一时间报告上级教育督导机构；</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（五）每次完成督导任务后，及时向本级教育督导机构报告督导情况，根据需要提交教育督导报告；</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（六）责任督学应根据国家、市、区相关要求履行经常性督导职责；</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（七）参加教育督导机构安排的其他相关督导工作。</w:t>
      </w:r>
    </w:p>
    <w:p>
      <w:pPr>
        <w:spacing w:line="560" w:lineRule="exact"/>
        <w:ind w:left="-278" w:leftChars="-87" w:firstLine="595" w:firstLineChars="186"/>
        <w:rPr>
          <w:rFonts w:ascii="仿宋_GB2312" w:hAnsi="仿宋_GB2312" w:cs="仿宋_GB2312"/>
        </w:rPr>
      </w:pPr>
      <w:r>
        <w:rPr>
          <w:rFonts w:hint="eastAsia" w:ascii="仿宋_GB2312" w:hAnsi="仿宋_GB2312" w:eastAsia="黑体" w:cs="仿宋_GB2312"/>
        </w:rPr>
        <w:t xml:space="preserve">第十六条【督学回避】 </w:t>
      </w:r>
      <w:r>
        <w:rPr>
          <w:rFonts w:hint="eastAsia" w:ascii="仿宋_GB2312" w:hAnsi="仿宋_GB2312" w:cs="仿宋_GB2312"/>
        </w:rPr>
        <w:t>实施督导的督学是被督导单位主要负责人的近亲属或者有其他可能影响客观公正实施教育督导情形的，应当回避。</w:t>
      </w:r>
    </w:p>
    <w:p>
      <w:pPr>
        <w:spacing w:line="560" w:lineRule="exact"/>
        <w:ind w:left="-278" w:leftChars="-87" w:firstLine="640" w:firstLineChars="200"/>
        <w:rPr>
          <w:rFonts w:ascii="仿宋_GB2312" w:hAnsi="仿宋_GB2312" w:cs="仿宋_GB2312"/>
        </w:rPr>
      </w:pPr>
      <w:r>
        <w:rPr>
          <w:rFonts w:hint="eastAsia" w:ascii="仿宋_GB2312" w:hAnsi="仿宋_GB2312" w:eastAsia="黑体" w:cs="仿宋_GB2312"/>
        </w:rPr>
        <w:t xml:space="preserve">第十七条【督学培训】 </w:t>
      </w:r>
      <w:r>
        <w:rPr>
          <w:rFonts w:hint="eastAsia" w:ascii="仿宋_GB2312" w:hAnsi="仿宋_GB2312" w:cs="仿宋_GB2312"/>
        </w:rPr>
        <w:t>市、区人民政府教育督导机构负责组织本级督学的岗前培训和在岗培训，建立本级督学培训档案，将培训参与情况纳入督学考核。</w:t>
      </w:r>
    </w:p>
    <w:p>
      <w:pPr>
        <w:spacing w:line="560" w:lineRule="exact"/>
        <w:ind w:left="-278" w:leftChars="-87" w:firstLine="755" w:firstLineChars="236"/>
        <w:rPr>
          <w:rFonts w:ascii="仿宋_GB2312" w:hAnsi="仿宋_GB2312" w:cs="仿宋_GB2312"/>
        </w:rPr>
      </w:pPr>
      <w:r>
        <w:rPr>
          <w:rFonts w:hint="eastAsia" w:ascii="仿宋_GB2312" w:hAnsi="仿宋_GB2312" w:cs="仿宋_GB2312"/>
        </w:rPr>
        <w:t>督学应按要求完成规定学时和方式的培训，培训学时计入继续教育学时。</w:t>
      </w:r>
    </w:p>
    <w:p>
      <w:pPr>
        <w:spacing w:line="560" w:lineRule="exact"/>
        <w:ind w:left="-278" w:leftChars="-87" w:firstLine="755" w:firstLineChars="236"/>
        <w:rPr>
          <w:rFonts w:ascii="仿宋_GB2312" w:hAnsi="仿宋_GB2312" w:cs="仿宋_GB2312"/>
        </w:rPr>
      </w:pPr>
      <w:r>
        <w:rPr>
          <w:rFonts w:hint="eastAsia" w:ascii="仿宋_GB2312" w:hAnsi="仿宋_GB2312" w:eastAsia="黑体" w:cs="仿宋_GB2312"/>
        </w:rPr>
        <w:t xml:space="preserve">第十八条【督学考核】 </w:t>
      </w:r>
      <w:r>
        <w:rPr>
          <w:rFonts w:hint="eastAsia" w:ascii="仿宋_GB2312" w:hAnsi="仿宋_GB2312" w:cs="仿宋_GB2312"/>
        </w:rPr>
        <w:t>市、区人民政府教育督导室对本级督学履职情况进行考核，并将考核结果通报本人及所在单位。</w:t>
      </w:r>
    </w:p>
    <w:p>
      <w:pPr>
        <w:spacing w:line="560" w:lineRule="exact"/>
        <w:ind w:left="-278" w:leftChars="-87" w:firstLine="640" w:firstLineChars="200"/>
        <w:rPr>
          <w:rFonts w:ascii="仿宋_GB2312" w:hAnsi="仿宋_GB2312" w:cs="仿宋_GB2312"/>
          <w:color w:val="000000"/>
        </w:rPr>
      </w:pPr>
      <w:r>
        <w:rPr>
          <w:rFonts w:hint="eastAsia" w:ascii="仿宋_GB2312" w:hAnsi="仿宋_GB2312" w:eastAsia="黑体" w:cs="仿宋_GB2312"/>
          <w:color w:val="000000"/>
        </w:rPr>
        <w:t xml:space="preserve">第十九条【督学职称】 </w:t>
      </w:r>
      <w:r>
        <w:rPr>
          <w:rFonts w:hint="eastAsia" w:ascii="仿宋_GB2312" w:hAnsi="仿宋_GB2312" w:cs="仿宋_GB2312"/>
          <w:color w:val="000000"/>
        </w:rPr>
        <w:t>符合职称申报条件的督学，可参加专业技术职称评审，其从事教育督导的工作量及业绩可作为参加专业技术职称评审的重要依据。</w:t>
      </w:r>
    </w:p>
    <w:p>
      <w:pPr>
        <w:adjustRightInd w:val="0"/>
        <w:snapToGrid w:val="0"/>
        <w:spacing w:line="560" w:lineRule="exact"/>
        <w:ind w:left="-278" w:leftChars="-87" w:firstLine="640" w:firstLineChars="200"/>
        <w:rPr>
          <w:rFonts w:ascii="仿宋_GB2312" w:hAnsi="仿宋_GB2312" w:cs="仿宋_GB2312"/>
        </w:rPr>
      </w:pPr>
      <w:r>
        <w:rPr>
          <w:rFonts w:hint="eastAsia" w:ascii="仿宋_GB2312" w:hAnsi="仿宋_GB2312" w:eastAsia="黑体" w:cs="仿宋_GB2312"/>
        </w:rPr>
        <w:t xml:space="preserve">第二十条【督学劳务补助】 </w:t>
      </w:r>
      <w:r>
        <w:rPr>
          <w:rFonts w:hint="eastAsia" w:ascii="仿宋_GB2312" w:hAnsi="仿宋_GB2312" w:cs="仿宋_GB2312"/>
        </w:rPr>
        <w:t>市、区人民政府教育督导委员会应会同本级财政等相关部门共同制定本级督学的劳务补助标准，并根据区域经济发展状况动态调整。</w:t>
      </w:r>
    </w:p>
    <w:p>
      <w:pPr>
        <w:adjustRightInd w:val="0"/>
        <w:snapToGrid w:val="0"/>
        <w:spacing w:line="560" w:lineRule="exact"/>
        <w:ind w:left="-278" w:leftChars="-87" w:firstLine="640" w:firstLineChars="200"/>
        <w:jc w:val="left"/>
        <w:rPr>
          <w:rFonts w:ascii="黑体" w:hAnsi="黑体" w:eastAsia="黑体" w:cs="黑体"/>
        </w:rPr>
      </w:pPr>
      <w:r>
        <w:rPr>
          <w:rFonts w:hint="eastAsia" w:ascii="仿宋_GB2312" w:hAnsi="仿宋_GB2312" w:eastAsia="黑体" w:cs="仿宋_GB2312"/>
        </w:rPr>
        <w:t xml:space="preserve">第二十一条【督学退出机制】 </w:t>
      </w:r>
      <w:r>
        <w:rPr>
          <w:rFonts w:hint="eastAsia" w:ascii="仿宋_GB2312" w:hAnsi="仿宋_GB2312" w:cs="仿宋_GB2312"/>
        </w:rPr>
        <w:t>督学在聘期内存在因故不能履职或不适合继续履职、无正当理由不参加教育督导工作、考核不合格等情形之一的，应依照相关程序予以解聘。</w:t>
      </w:r>
      <w:bookmarkStart w:id="6" w:name="_Toc18544"/>
      <w:bookmarkStart w:id="7" w:name="_Toc8843"/>
      <w:r>
        <w:rPr>
          <w:rFonts w:hint="eastAsia" w:ascii="黑体" w:hAnsi="黑体" w:eastAsia="黑体" w:cs="黑体"/>
        </w:rPr>
        <w:br w:type="textWrapping"/>
      </w:r>
    </w:p>
    <w:p>
      <w:pPr>
        <w:adjustRightInd w:val="0"/>
        <w:snapToGrid w:val="0"/>
        <w:spacing w:line="560" w:lineRule="exact"/>
        <w:jc w:val="center"/>
        <w:rPr>
          <w:rFonts w:ascii="黑体" w:hAnsi="黑体" w:eastAsia="黑体" w:cs="黑体"/>
        </w:rPr>
      </w:pPr>
      <w:r>
        <w:rPr>
          <w:rFonts w:hint="eastAsia" w:ascii="黑体" w:hAnsi="黑体" w:eastAsia="黑体" w:cs="黑体"/>
        </w:rPr>
        <w:t>第三章  教育督导的实施</w:t>
      </w:r>
      <w:bookmarkEnd w:id="6"/>
      <w:bookmarkEnd w:id="7"/>
    </w:p>
    <w:p>
      <w:pPr>
        <w:spacing w:line="560" w:lineRule="exact"/>
        <w:ind w:left="-278" w:leftChars="-87" w:firstLine="595" w:firstLineChars="186"/>
        <w:rPr>
          <w:rFonts w:ascii="仿宋_GB2312" w:hAnsi="仿宋_GB2312" w:cs="仿宋_GB2312"/>
        </w:rPr>
      </w:pPr>
      <w:r>
        <w:rPr>
          <w:rFonts w:hint="eastAsia" w:ascii="仿宋_GB2312" w:hAnsi="仿宋_GB2312" w:eastAsia="黑体" w:cs="仿宋_GB2312"/>
        </w:rPr>
        <w:t xml:space="preserve">第二十二条【督政事项】 </w:t>
      </w:r>
      <w:r>
        <w:rPr>
          <w:rFonts w:hint="eastAsia" w:ascii="仿宋_GB2312" w:hAnsi="仿宋_GB2312" w:cs="仿宋_GB2312"/>
        </w:rPr>
        <w:t>对本级人民政府有关部门和下级人民政府实施教育督导，主要包括下列事项：</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 xml:space="preserve">（一）贯彻落实教育法律、法规、规章，贯彻执行国家教育方针政策和党中央、国务院教育决策部署以及市委、市政府工作要求情况； </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（二）制定和实施教育发展规划情况；</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（三）统筹推进各级各类教育协调发展，促进教育公平，提高教育质量和教育发展水平情况；</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（四）教育经费的投入、管理与使用情况，办学标准执行情况；</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（五）教师队伍建设及教师待遇落实情况；</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（六）本市教育改革和发展中热点、难点和重点问题的解决情况；</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（七）法律、法规、规章和国家、本市教育政策规定的其他事项。</w:t>
      </w:r>
    </w:p>
    <w:p>
      <w:pPr>
        <w:spacing w:line="560" w:lineRule="exact"/>
        <w:ind w:left="-278" w:leftChars="-87" w:firstLine="595" w:firstLineChars="186"/>
        <w:rPr>
          <w:rFonts w:ascii="仿宋_GB2312" w:hAnsi="仿宋_GB2312" w:cs="仿宋_GB2312"/>
        </w:rPr>
      </w:pPr>
      <w:r>
        <w:rPr>
          <w:rFonts w:hint="eastAsia" w:ascii="仿宋_GB2312" w:hAnsi="仿宋_GB2312" w:eastAsia="黑体" w:cs="仿宋_GB2312"/>
        </w:rPr>
        <w:t xml:space="preserve">第二十三条【督校事项】 </w:t>
      </w:r>
      <w:r>
        <w:rPr>
          <w:rFonts w:hint="eastAsia" w:ascii="仿宋_GB2312" w:hAnsi="仿宋_GB2312" w:cs="仿宋_GB2312"/>
        </w:rPr>
        <w:t>对学校实施教育督导，主要包括下列事项：</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（一）贯彻落实国家教育方针政策，依法办学情况；</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（二）坚持立德树人，促进学生德智体美劳全面发展情况；</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（三）课程建设、教学、科研等工作情况；</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（四）师德师风建设等教师队伍建设情况；</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（五）教育经费、教育资源、校园安全等学校管理情况；</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（六）推进学校内部督导体系建设，提升学校治理能力情况；</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（七）法律、法规、规章和国家、本市教育政策规定的其他事项。</w:t>
      </w:r>
    </w:p>
    <w:p>
      <w:pPr>
        <w:spacing w:line="560" w:lineRule="exact"/>
        <w:ind w:left="-278" w:leftChars="-87" w:firstLine="595" w:firstLineChars="186"/>
        <w:rPr>
          <w:rFonts w:ascii="仿宋_GB2312" w:hAnsi="仿宋_GB2312" w:cs="仿宋_GB2312"/>
        </w:rPr>
      </w:pPr>
      <w:r>
        <w:rPr>
          <w:rFonts w:hint="eastAsia" w:ascii="仿宋_GB2312" w:hAnsi="仿宋_GB2312" w:eastAsia="黑体" w:cs="仿宋_GB2312"/>
        </w:rPr>
        <w:t xml:space="preserve">第二十四条【评估与监测事项】 </w:t>
      </w:r>
      <w:r>
        <w:rPr>
          <w:rFonts w:hint="eastAsia" w:ascii="仿宋_GB2312" w:hAnsi="仿宋_GB2312" w:cs="仿宋_GB2312"/>
        </w:rPr>
        <w:t>对各级各类教育及学校实施评估监测，主要包括下列事项：</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（一）坚持社会主义办学方向、落实立德树人情况；</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（二）学前教育普及普惠发展、义务教育优质均衡发展等各级各类教育发展状况和教育教学水平；</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（三）义务教育质量、职业教育办学能力和水平、普通高等学校本科教育教学水平、学位论文质量等各级各类学校办学和教育教学质量；</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（四）社会公众教育工作满意度调查等工作；</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（五）教育改革发展重点工作开展情况；</w:t>
      </w:r>
      <w:r>
        <w:rPr>
          <w:rFonts w:hint="eastAsia" w:ascii="仿宋_GB2312" w:hAnsi="仿宋_GB2312" w:cs="仿宋_GB2312"/>
        </w:rPr>
        <w:tab/>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（六）法律、法规、规章和国家、本市教育政策规定的其他事项。</w:t>
      </w:r>
    </w:p>
    <w:p>
      <w:pPr>
        <w:spacing w:line="560" w:lineRule="exact"/>
        <w:ind w:left="-278" w:leftChars="-87" w:firstLine="640" w:firstLineChars="200"/>
        <w:rPr>
          <w:rFonts w:ascii="仿宋_GB2312" w:hAnsi="仿宋_GB2312" w:cs="仿宋_GB2312"/>
        </w:rPr>
      </w:pPr>
      <w:r>
        <w:rPr>
          <w:rFonts w:hint="eastAsia" w:ascii="仿宋_GB2312" w:hAnsi="仿宋_GB2312" w:eastAsia="黑体" w:cs="仿宋_GB2312"/>
        </w:rPr>
        <w:t xml:space="preserve">第二十五条【督导形式】 </w:t>
      </w:r>
      <w:r>
        <w:rPr>
          <w:rFonts w:hint="eastAsia" w:ascii="仿宋_GB2312" w:hAnsi="仿宋_GB2312" w:cs="仿宋_GB2312"/>
        </w:rPr>
        <w:t>实施教育督导可以采取综合督导、专项督导、经常性督导和评估监测等形式。</w:t>
      </w:r>
    </w:p>
    <w:p>
      <w:pPr>
        <w:spacing w:line="560" w:lineRule="exact"/>
        <w:ind w:left="-278" w:leftChars="-87" w:firstLine="595" w:firstLineChars="186"/>
        <w:rPr>
          <w:rFonts w:ascii="仿宋_GB2312" w:hAnsi="仿宋_GB2312" w:cs="仿宋_GB2312"/>
        </w:rPr>
      </w:pPr>
      <w:r>
        <w:rPr>
          <w:rFonts w:hint="eastAsia" w:ascii="仿宋_GB2312" w:hAnsi="仿宋_GB2312" w:eastAsia="黑体" w:cs="仿宋_GB2312"/>
        </w:rPr>
        <w:t xml:space="preserve">第二十六条【督导的期限】 </w:t>
      </w:r>
      <w:r>
        <w:rPr>
          <w:rFonts w:hint="eastAsia" w:ascii="仿宋_GB2312" w:hAnsi="仿宋_GB2312" w:cs="仿宋_GB2312"/>
        </w:rPr>
        <w:t>对本级人民政府有关部门和下级人民政府应当每5年至少完成一次教育督导。</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对本行政区域内的学校应当每3至5年完成一次综合督导。</w:t>
      </w:r>
    </w:p>
    <w:p>
      <w:pPr>
        <w:spacing w:line="560" w:lineRule="exact"/>
        <w:ind w:left="-278" w:leftChars="-87" w:firstLine="595" w:firstLineChars="186"/>
        <w:rPr>
          <w:rFonts w:ascii="仿宋_GB2312" w:hAnsi="仿宋_GB2312" w:cs="仿宋_GB2312"/>
        </w:rPr>
      </w:pPr>
      <w:r>
        <w:rPr>
          <w:rFonts w:hint="eastAsia" w:ascii="仿宋_GB2312" w:hAnsi="仿宋_GB2312" w:eastAsia="黑体" w:cs="仿宋_GB2312"/>
        </w:rPr>
        <w:t xml:space="preserve">第二十七条【综合督导或专项督导的程序】 </w:t>
      </w:r>
      <w:r>
        <w:rPr>
          <w:rFonts w:hint="eastAsia" w:ascii="仿宋_GB2312" w:hAnsi="仿宋_GB2312" w:cs="仿宋_GB2312"/>
        </w:rPr>
        <w:t>实施综合督导或专项督导，应当按照下列程序进行：</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（一）确定督导事项，成立督导小组；</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（二）提前三十日向被督导单位发出书面督导通知；</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（三）组织实施督导检查；</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（四）督导结束之日起三十日内初步形成督导意见，并书面反馈给被督导单位。被督导单位对督导意见有异议的，可以在收到督导意见之日起十日内提交书面申辩意见；</w:t>
      </w:r>
    </w:p>
    <w:p>
      <w:pPr>
        <w:spacing w:line="560" w:lineRule="exact"/>
        <w:ind w:left="-278" w:leftChars="-87" w:firstLine="595" w:firstLineChars="186"/>
        <w:rPr>
          <w:rFonts w:ascii="仿宋_GB2312" w:hAnsi="仿宋_GB2312" w:cs="仿宋_GB2312"/>
          <w:color w:val="000000"/>
        </w:rPr>
      </w:pPr>
      <w:r>
        <w:rPr>
          <w:rFonts w:hint="eastAsia" w:ascii="仿宋_GB2312" w:hAnsi="仿宋_GB2312" w:cs="仿宋_GB2312"/>
        </w:rPr>
        <w:t>（五）根据督导小组的督导意见，综合分析被督导单位的申辩意见，经督导小组集体评议并征得三分之二以上成员的同意，形成督导意见。自收到申辩意见之日起三十日内，向被督导单位反馈督导意见，并督促整改落实</w:t>
      </w:r>
      <w:r>
        <w:rPr>
          <w:rFonts w:hint="eastAsia" w:ascii="仿宋_GB2312" w:hAnsi="仿宋_GB2312" w:cs="仿宋_GB2312"/>
          <w:color w:val="000000"/>
        </w:rPr>
        <w:t>。</w:t>
      </w:r>
    </w:p>
    <w:p>
      <w:pPr>
        <w:spacing w:line="560" w:lineRule="exact"/>
        <w:ind w:left="-278" w:leftChars="-87" w:firstLine="595" w:firstLineChars="186"/>
        <w:rPr>
          <w:rFonts w:ascii="仿宋_GB2312" w:hAnsi="仿宋_GB2312" w:cs="仿宋_GB2312"/>
          <w:color w:val="000000"/>
        </w:rPr>
      </w:pPr>
      <w:r>
        <w:rPr>
          <w:rFonts w:hint="eastAsia" w:ascii="仿宋_GB2312" w:hAnsi="仿宋_GB2312" w:cs="仿宋_GB2312"/>
          <w:color w:val="000000"/>
        </w:rPr>
        <w:t>（六）督导结束后，汇总相关情况，形成督导报告。</w:t>
      </w:r>
    </w:p>
    <w:p>
      <w:pPr>
        <w:spacing w:line="560" w:lineRule="exact"/>
        <w:ind w:left="-278" w:leftChars="-87" w:firstLine="595" w:firstLineChars="186"/>
        <w:rPr>
          <w:rFonts w:ascii="仿宋_GB2312" w:hAnsi="仿宋_GB2312" w:cs="仿宋_GB2312"/>
        </w:rPr>
      </w:pPr>
      <w:r>
        <w:rPr>
          <w:rFonts w:hint="eastAsia" w:ascii="仿宋_GB2312" w:hAnsi="仿宋_GB2312" w:eastAsia="黑体" w:cs="仿宋_GB2312"/>
        </w:rPr>
        <w:t xml:space="preserve">第二十八条【评估与监测程序】 </w:t>
      </w:r>
      <w:r>
        <w:rPr>
          <w:rFonts w:hint="eastAsia" w:ascii="仿宋_GB2312" w:hAnsi="仿宋_GB2312" w:cs="仿宋_GB2312"/>
        </w:rPr>
        <w:t>实施评估监测，应当按照下列程序进行：</w:t>
      </w:r>
    </w:p>
    <w:p>
      <w:pPr>
        <w:numPr>
          <w:ilvl w:val="0"/>
          <w:numId w:val="1"/>
        </w:numPr>
        <w:spacing w:line="560" w:lineRule="exact"/>
        <w:ind w:left="-278" w:leftChars="-87" w:firstLine="595" w:firstLineChars="186"/>
        <w:rPr>
          <w:rFonts w:hint="eastAsia" w:ascii="仿宋_GB2312" w:hAnsi="仿宋_GB2312" w:cs="仿宋_GB2312"/>
        </w:rPr>
      </w:pPr>
      <w:r>
        <w:rPr>
          <w:rFonts w:hint="eastAsia" w:ascii="仿宋_GB2312" w:hAnsi="仿宋_GB2312" w:cs="仿宋_GB2312"/>
        </w:rPr>
        <w:t>确定评估监测标准、工具和规程，成立专家组；</w:t>
      </w:r>
    </w:p>
    <w:p>
      <w:pPr>
        <w:numPr>
          <w:ilvl w:val="0"/>
          <w:numId w:val="1"/>
        </w:numPr>
        <w:spacing w:line="560" w:lineRule="exact"/>
        <w:ind w:left="-278" w:leftChars="-87" w:firstLine="595" w:firstLineChars="186"/>
        <w:rPr>
          <w:rFonts w:ascii="仿宋_GB2312" w:hAnsi="仿宋_GB2312" w:cs="仿宋_GB2312"/>
        </w:rPr>
      </w:pPr>
      <w:r>
        <w:rPr>
          <w:rFonts w:hint="eastAsia" w:ascii="仿宋_GB2312" w:hAnsi="仿宋_GB2312" w:cs="仿宋_GB2312"/>
        </w:rPr>
        <w:t>提前通知被评估监测单位；</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（三）根据评估监测对象，采取线上、线下（入校）或两种形式相结合的方式对被评估监测单位开展数据采集、访谈或考察等工作；</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（四）专家组对被评估监测单位的自评报告、实地考察情况和相关数据、材料进行评议分析，并形成初步的评估意见；</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（五）汇总评估意见和监测数据，形成评估监测报告，将评估意见反馈至相关单位，并督促相关单位就发现的问题整改落实。</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根据实际需要，可以委托具备条件的第三方评估监测机构开展相关工作。</w:t>
      </w:r>
    </w:p>
    <w:p>
      <w:pPr>
        <w:spacing w:line="560" w:lineRule="exact"/>
        <w:ind w:left="-278" w:leftChars="-87" w:firstLine="595" w:firstLineChars="186"/>
        <w:rPr>
          <w:rFonts w:ascii="仿宋_GB2312" w:hAnsi="仿宋_GB2312" w:cs="仿宋_GB2312"/>
        </w:rPr>
      </w:pPr>
      <w:r>
        <w:rPr>
          <w:rFonts w:hint="eastAsia" w:ascii="仿宋_GB2312" w:hAnsi="仿宋_GB2312" w:eastAsia="黑体" w:cs="仿宋_GB2312"/>
        </w:rPr>
        <w:t xml:space="preserve">第二十九条【督导责任区】 </w:t>
      </w:r>
      <w:r>
        <w:rPr>
          <w:rFonts w:hint="eastAsia" w:ascii="仿宋_GB2312" w:hAnsi="仿宋_GB2312" w:cs="仿宋_GB2312"/>
        </w:rPr>
        <w:t>区人民政府教育督导室应当根据本行政区域内的学校布局和在校学生规模等情况设立教育督导责任区，为责任区内的学校指派责任督学实施经常性督导。责任督学按照与学校数不低于1∶3的比例配备，部分学生数较多的学校按1∶1的比例配备；保证一定比例的专职督学。责任督学的姓名、联系方式和督导事项应当在学校门口显著位置向社会公布。</w:t>
      </w:r>
    </w:p>
    <w:p>
      <w:pPr>
        <w:spacing w:line="560" w:lineRule="exact"/>
        <w:ind w:left="-278" w:leftChars="-87" w:firstLine="595" w:firstLineChars="186"/>
        <w:rPr>
          <w:rFonts w:ascii="仿宋_GB2312" w:hAnsi="仿宋_GB2312" w:cs="仿宋_GB2312"/>
        </w:rPr>
      </w:pPr>
      <w:r>
        <w:rPr>
          <w:rFonts w:hint="eastAsia" w:ascii="仿宋_GB2312" w:hAnsi="仿宋_GB2312" w:eastAsia="黑体" w:cs="仿宋_GB2312"/>
        </w:rPr>
        <w:t xml:space="preserve">第三十条【经常性督导的程序】 </w:t>
      </w:r>
      <w:r>
        <w:rPr>
          <w:rFonts w:hint="eastAsia" w:ascii="仿宋_GB2312" w:hAnsi="仿宋_GB2312" w:cs="仿宋_GB2312"/>
        </w:rPr>
        <w:t>责任督学视情况可随时对学校进行督导;可采取随机听课、查阅资料、列席会议、座谈走访、问卷调查、校园巡视等方式进行经常性督导；督导结束时，责任督学应当及时向被督导学校反馈情况。</w:t>
      </w:r>
    </w:p>
    <w:p>
      <w:pPr>
        <w:spacing w:line="560" w:lineRule="exact"/>
        <w:ind w:left="-278" w:leftChars="-87" w:firstLine="640" w:firstLineChars="200"/>
        <w:rPr>
          <w:rFonts w:ascii="仿宋_GB2312" w:hAnsi="仿宋_GB2312" w:cs="仿宋_GB2312"/>
        </w:rPr>
      </w:pPr>
      <w:r>
        <w:rPr>
          <w:rFonts w:hint="eastAsia" w:ascii="仿宋_GB2312" w:hAnsi="仿宋_GB2312" w:eastAsia="黑体" w:cs="仿宋_GB2312"/>
        </w:rPr>
        <w:t xml:space="preserve">第三十一条【督导方式】 </w:t>
      </w:r>
      <w:r>
        <w:rPr>
          <w:rFonts w:hint="eastAsia" w:ascii="仿宋_GB2312" w:hAnsi="仿宋_GB2312" w:cs="仿宋_GB2312"/>
        </w:rPr>
        <w:t>实施教育督导，可以采取下列方式：</w:t>
      </w:r>
    </w:p>
    <w:p>
      <w:pPr>
        <w:spacing w:line="560" w:lineRule="exact"/>
        <w:ind w:left="-278" w:leftChars="-87" w:firstLine="640" w:firstLineChars="200"/>
        <w:rPr>
          <w:rFonts w:ascii="仿宋_GB2312" w:hAnsi="仿宋_GB2312" w:cs="仿宋_GB2312"/>
        </w:rPr>
      </w:pPr>
      <w:r>
        <w:rPr>
          <w:rFonts w:hint="eastAsia" w:ascii="仿宋_GB2312" w:hAnsi="仿宋_GB2312" w:cs="仿宋_GB2312"/>
        </w:rPr>
        <w:t xml:space="preserve">（一）听取被督导单位的情况汇报； </w:t>
      </w:r>
    </w:p>
    <w:p>
      <w:pPr>
        <w:spacing w:line="560" w:lineRule="exact"/>
        <w:ind w:left="-278" w:leftChars="-87" w:firstLine="640" w:firstLineChars="200"/>
        <w:rPr>
          <w:rFonts w:ascii="仿宋_GB2312" w:hAnsi="仿宋_GB2312" w:cs="仿宋_GB2312"/>
        </w:rPr>
      </w:pPr>
      <w:r>
        <w:rPr>
          <w:rFonts w:hint="eastAsia" w:ascii="仿宋_GB2312" w:hAnsi="仿宋_GB2312" w:cs="仿宋_GB2312"/>
        </w:rPr>
        <w:t>（二）查阅、复制财务账目和与督导事项有关的其他文件、资料；</w:t>
      </w:r>
    </w:p>
    <w:p>
      <w:pPr>
        <w:spacing w:line="560" w:lineRule="exact"/>
        <w:ind w:left="-278" w:leftChars="-87" w:firstLine="640" w:firstLineChars="200"/>
        <w:rPr>
          <w:rFonts w:ascii="仿宋_GB2312" w:hAnsi="仿宋_GB2312" w:cs="仿宋_GB2312"/>
        </w:rPr>
      </w:pPr>
      <w:r>
        <w:rPr>
          <w:rFonts w:hint="eastAsia" w:ascii="仿宋_GB2312" w:hAnsi="仿宋_GB2312" w:cs="仿宋_GB2312"/>
        </w:rPr>
        <w:t>（三）要求被督导单位就督导事项有关问题作出说明；</w:t>
      </w:r>
    </w:p>
    <w:p>
      <w:pPr>
        <w:spacing w:line="560" w:lineRule="exact"/>
        <w:ind w:left="-278" w:leftChars="-87" w:firstLine="640" w:firstLineChars="200"/>
        <w:rPr>
          <w:rFonts w:ascii="仿宋_GB2312" w:hAnsi="仿宋_GB2312" w:cs="仿宋_GB2312"/>
        </w:rPr>
      </w:pPr>
      <w:r>
        <w:rPr>
          <w:rFonts w:hint="eastAsia" w:ascii="仿宋_GB2312" w:hAnsi="仿宋_GB2312" w:cs="仿宋_GB2312"/>
        </w:rPr>
        <w:t>（四）列席或参加教育教学及其他活动；</w:t>
      </w:r>
    </w:p>
    <w:p>
      <w:pPr>
        <w:spacing w:line="560" w:lineRule="exact"/>
        <w:ind w:left="-278" w:leftChars="-87" w:firstLine="640" w:firstLineChars="200"/>
        <w:rPr>
          <w:rFonts w:ascii="仿宋_GB2312" w:hAnsi="仿宋_GB2312" w:cs="仿宋_GB2312"/>
        </w:rPr>
      </w:pPr>
      <w:r>
        <w:rPr>
          <w:rFonts w:hint="eastAsia" w:ascii="仿宋_GB2312" w:hAnsi="仿宋_GB2312" w:cs="仿宋_GB2312"/>
        </w:rPr>
        <w:t>（五）组织召开座谈会，开展问卷调查、测评、访谈及其他督导工作；</w:t>
      </w:r>
    </w:p>
    <w:p>
      <w:pPr>
        <w:spacing w:line="560" w:lineRule="exact"/>
        <w:ind w:left="-278" w:leftChars="-87" w:firstLine="640" w:firstLineChars="200"/>
        <w:rPr>
          <w:rFonts w:ascii="仿宋_GB2312" w:hAnsi="仿宋_GB2312" w:cs="仿宋_GB2312"/>
        </w:rPr>
      </w:pPr>
      <w:r>
        <w:rPr>
          <w:rFonts w:hint="eastAsia" w:ascii="仿宋_GB2312" w:hAnsi="仿宋_GB2312" w:cs="仿宋_GB2312"/>
        </w:rPr>
        <w:t>（六）综合运用互联网、大数据、人工智能等现代信息技术手段获取被督导和评估监测单位的数据和材料；</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（七）依法可以采取的其他方式。</w:t>
      </w:r>
    </w:p>
    <w:p>
      <w:pPr>
        <w:spacing w:line="560" w:lineRule="exact"/>
        <w:ind w:left="-278" w:leftChars="-87" w:firstLine="595" w:firstLineChars="186"/>
        <w:rPr>
          <w:rFonts w:ascii="仿宋_GB2312" w:hAnsi="仿宋_GB2312" w:cs="仿宋_GB2312"/>
        </w:rPr>
      </w:pPr>
    </w:p>
    <w:p>
      <w:pPr>
        <w:pStyle w:val="3"/>
        <w:spacing w:before="0" w:after="0" w:line="560" w:lineRule="exact"/>
        <w:jc w:val="center"/>
        <w:rPr>
          <w:rFonts w:ascii="黑体" w:hAnsi="黑体" w:cs="黑体"/>
          <w:b w:val="0"/>
          <w:bCs w:val="0"/>
        </w:rPr>
      </w:pPr>
      <w:bookmarkStart w:id="8" w:name="_Toc31952"/>
      <w:bookmarkStart w:id="9" w:name="_Toc20613"/>
      <w:r>
        <w:rPr>
          <w:rFonts w:hint="eastAsia" w:ascii="黑体" w:hAnsi="黑体" w:cs="黑体"/>
          <w:b w:val="0"/>
          <w:bCs w:val="0"/>
        </w:rPr>
        <w:t>第四章  教育督导结果的运用</w:t>
      </w:r>
      <w:bookmarkEnd w:id="8"/>
      <w:bookmarkEnd w:id="9"/>
    </w:p>
    <w:p>
      <w:pPr>
        <w:spacing w:line="560" w:lineRule="exact"/>
        <w:ind w:left="-278" w:leftChars="-87" w:firstLine="595" w:firstLineChars="186"/>
        <w:rPr>
          <w:rFonts w:ascii="仿宋_GB2312" w:hAnsi="仿宋_GB2312" w:cs="仿宋_GB2312"/>
        </w:rPr>
      </w:pPr>
      <w:r>
        <w:rPr>
          <w:rFonts w:hint="eastAsia" w:ascii="仿宋_GB2312" w:hAnsi="仿宋_GB2312" w:eastAsia="黑体" w:cs="仿宋_GB2312"/>
        </w:rPr>
        <w:t xml:space="preserve">第三十二条【督导报告制度】 </w:t>
      </w:r>
      <w:r>
        <w:rPr>
          <w:rFonts w:hint="eastAsia" w:ascii="仿宋_GB2312" w:hAnsi="仿宋_GB2312" w:cs="仿宋_GB2312"/>
        </w:rPr>
        <w:t>教育督导机构应当在综合督导或专项督导结束后，向本级人民政府提交督导报告，并将督导报告报上一级教育督导机构备案。</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教育督导机构应当根据工作要求和实际需求，在完成评估监测报告后，将报告反馈至相关单位。</w:t>
      </w:r>
    </w:p>
    <w:p>
      <w:pPr>
        <w:spacing w:line="560" w:lineRule="exact"/>
        <w:ind w:left="-278" w:leftChars="-87" w:firstLine="595" w:firstLineChars="186"/>
        <w:rPr>
          <w:rFonts w:ascii="仿宋_GB2312" w:hAnsi="仿宋_GB2312" w:cs="仿宋_GB2312"/>
        </w:rPr>
      </w:pPr>
      <w:r>
        <w:rPr>
          <w:rFonts w:hint="eastAsia" w:ascii="仿宋_GB2312" w:hAnsi="仿宋_GB2312" w:eastAsia="黑体" w:cs="仿宋_GB2312"/>
        </w:rPr>
        <w:t xml:space="preserve">第三十三条【报告公示制度】 </w:t>
      </w:r>
      <w:r>
        <w:rPr>
          <w:rFonts w:hint="eastAsia" w:ascii="仿宋_GB2312" w:hAnsi="仿宋_GB2312" w:cs="仿宋_GB2312"/>
        </w:rPr>
        <w:t>综合督导、专项督导形成的教育督导报告以及教育评估监测报告应当通过政府门户网站、媒体等途径向社会公布。</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社会公众对教育督导报告以及教育评估监测报告有异议的，可以向相应的教育督导机构反映；教育督导机构应当进行调查核实，并及时反馈核实情况。</w:t>
      </w:r>
    </w:p>
    <w:p>
      <w:pPr>
        <w:spacing w:line="560" w:lineRule="exact"/>
        <w:ind w:left="-278" w:leftChars="-87" w:firstLine="595" w:firstLineChars="186"/>
        <w:rPr>
          <w:rFonts w:ascii="仿宋_GB2312" w:hAnsi="仿宋_GB2312" w:cs="仿宋_GB2312"/>
        </w:rPr>
      </w:pPr>
      <w:r>
        <w:rPr>
          <w:rFonts w:hint="eastAsia" w:ascii="仿宋_GB2312" w:hAnsi="仿宋_GB2312" w:eastAsia="黑体" w:cs="仿宋_GB2312"/>
        </w:rPr>
        <w:t xml:space="preserve">第三十四条【整改复查制度】 </w:t>
      </w:r>
      <w:r>
        <w:rPr>
          <w:rFonts w:hint="eastAsia" w:ascii="仿宋_GB2312" w:hAnsi="仿宋_GB2312" w:cs="仿宋_GB2312"/>
        </w:rPr>
        <w:t>综合督导、专项督导、评估监测结束后，被督导单位应当针对督导中发现的问题进行整改，并在规定时限内将整改情况书面报告教育督导机构。</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经常性督导结束后，如需整改的，责任督学应当向区人民政府教育督导室提出书面建议，由区人民政府教育督导室下达整改通知书。</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教育督导机构应当对被督导单位的整改情况进行跟踪督导（复查）。</w:t>
      </w:r>
    </w:p>
    <w:p>
      <w:pPr>
        <w:spacing w:line="560" w:lineRule="exact"/>
        <w:ind w:left="-278" w:leftChars="-87" w:firstLine="595" w:firstLineChars="186"/>
        <w:rPr>
          <w:rFonts w:ascii="仿宋_GB2312" w:hAnsi="仿宋_GB2312" w:cs="仿宋_GB2312"/>
        </w:rPr>
      </w:pPr>
      <w:r>
        <w:rPr>
          <w:rFonts w:hint="eastAsia" w:ascii="仿宋_GB2312" w:hAnsi="仿宋_GB2312" w:eastAsia="黑体" w:cs="仿宋_GB2312"/>
        </w:rPr>
        <w:t xml:space="preserve">第三十五条【约谈制度】 </w:t>
      </w:r>
      <w:r>
        <w:rPr>
          <w:rFonts w:hint="eastAsia" w:ascii="仿宋_GB2312" w:hAnsi="仿宋_GB2312" w:cs="仿宋_GB2312"/>
        </w:rPr>
        <w:t>教育督导机构发现被督导单位存在下列情形之一的，应当约谈被督导单位主要负责人，督促其改进工作：</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（一）对贯彻落实国家教育方针、政策和党中央、国务院教育决策部署以及市委、市政府工作要求不坚决不彻底的；</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（二）履行教育职责不到位的；</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（三）教育攻坚任务完成严重滞后的；</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（四）办学行为不规范的；</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（五）教育教学质量下降的；</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（六）出现安全问题的；</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（七）拒不接受教育督导的。</w:t>
      </w:r>
    </w:p>
    <w:p>
      <w:pPr>
        <w:spacing w:line="560" w:lineRule="exact"/>
        <w:ind w:left="-278" w:leftChars="-87" w:firstLine="595" w:firstLineChars="186"/>
        <w:rPr>
          <w:rFonts w:ascii="仿宋_GB2312" w:hAnsi="仿宋_GB2312" w:cs="仿宋_GB2312"/>
        </w:rPr>
      </w:pPr>
      <w:r>
        <w:rPr>
          <w:rFonts w:hint="eastAsia" w:ascii="仿宋_GB2312" w:hAnsi="仿宋_GB2312" w:cs="仿宋_GB2312"/>
        </w:rPr>
        <w:t>教育督导机构应当对约谈情况作出书面记录，同时报送被督导单位所在地政府，并报其上级相关部门备案。</w:t>
      </w:r>
    </w:p>
    <w:p>
      <w:pPr>
        <w:spacing w:line="560" w:lineRule="exact"/>
        <w:ind w:left="-278" w:leftChars="-87" w:firstLine="595" w:firstLineChars="186"/>
        <w:rPr>
          <w:rFonts w:ascii="仿宋_GB2312" w:hAnsi="仿宋_GB2312" w:cs="仿宋_GB2312"/>
        </w:rPr>
      </w:pPr>
      <w:r>
        <w:rPr>
          <w:rFonts w:hint="eastAsia" w:ascii="仿宋_GB2312" w:hAnsi="仿宋_GB2312" w:eastAsia="黑体" w:cs="仿宋_GB2312"/>
        </w:rPr>
        <w:t xml:space="preserve">第三十六条【通报制度】 </w:t>
      </w:r>
      <w:r>
        <w:rPr>
          <w:rFonts w:hint="eastAsia" w:ascii="仿宋_GB2312" w:hAnsi="仿宋_GB2312" w:cs="仿宋_GB2312"/>
        </w:rPr>
        <w:t>对教育督导发现的问题整改不力、不作为或没有完成整改任务等的被督导单位，由教育督导机构将教育督导结果、工作表现和整改情况通报其所在地政府及其上级相关部门。</w:t>
      </w:r>
    </w:p>
    <w:p>
      <w:pPr>
        <w:spacing w:line="560" w:lineRule="exact"/>
        <w:ind w:left="-278" w:leftChars="-87" w:firstLine="595" w:firstLineChars="186"/>
        <w:rPr>
          <w:rFonts w:ascii="仿宋_GB2312" w:hAnsi="仿宋_GB2312" w:cs="仿宋_GB2312"/>
        </w:rPr>
      </w:pPr>
      <w:r>
        <w:rPr>
          <w:rFonts w:hint="eastAsia" w:ascii="仿宋_GB2312" w:hAnsi="仿宋_GB2312" w:eastAsia="黑体" w:cs="仿宋_GB2312"/>
        </w:rPr>
        <w:t xml:space="preserve">第三十七条【问题线索移送】 </w:t>
      </w:r>
      <w:r>
        <w:rPr>
          <w:rFonts w:hint="eastAsia" w:ascii="仿宋_GB2312" w:hAnsi="仿宋_GB2312" w:cs="仿宋_GB2312"/>
        </w:rPr>
        <w:t>教育督导机构在督导过程中发现被督导单位存在违法行为，应当及时将违法线索、相关证据移送有关部门进行处理。</w:t>
      </w:r>
    </w:p>
    <w:p>
      <w:pPr>
        <w:spacing w:line="560" w:lineRule="exact"/>
        <w:ind w:left="-278" w:leftChars="-87" w:firstLine="595" w:firstLineChars="186"/>
        <w:rPr>
          <w:rFonts w:ascii="仿宋_GB2312" w:hAnsi="仿宋_GB2312" w:cs="仿宋_GB2312"/>
        </w:rPr>
      </w:pPr>
      <w:r>
        <w:rPr>
          <w:rFonts w:hint="eastAsia" w:ascii="仿宋_GB2312" w:hAnsi="仿宋_GB2312" w:eastAsia="黑体" w:cs="仿宋_GB2312"/>
        </w:rPr>
        <w:t xml:space="preserve">第三十八条【激励制度】 </w:t>
      </w:r>
      <w:r>
        <w:rPr>
          <w:rFonts w:hint="eastAsia" w:ascii="仿宋_GB2312" w:hAnsi="仿宋_GB2312" w:cs="仿宋_GB2312"/>
        </w:rPr>
        <w:t>按照国家和本市有关规定，对教育督导结果优秀的被督导单位及有关人员进行表彰，在政策支持、资源配置等方面予以优先考虑。</w:t>
      </w:r>
    </w:p>
    <w:p>
      <w:pPr>
        <w:spacing w:line="560" w:lineRule="exact"/>
        <w:ind w:left="-278" w:leftChars="-87" w:firstLine="595" w:firstLineChars="186"/>
        <w:rPr>
          <w:rFonts w:ascii="仿宋_GB2312" w:hAnsi="仿宋_GB2312" w:cs="仿宋_GB2312"/>
        </w:rPr>
      </w:pPr>
    </w:p>
    <w:p>
      <w:pPr>
        <w:pStyle w:val="3"/>
        <w:spacing w:before="0" w:after="0" w:line="560" w:lineRule="exact"/>
        <w:jc w:val="center"/>
        <w:rPr>
          <w:rFonts w:ascii="黑体" w:hAnsi="黑体" w:cs="黑体"/>
          <w:b w:val="0"/>
          <w:bCs w:val="0"/>
        </w:rPr>
      </w:pPr>
      <w:bookmarkStart w:id="10" w:name="_Toc30055"/>
      <w:bookmarkStart w:id="11" w:name="_Toc26381"/>
      <w:r>
        <w:rPr>
          <w:rFonts w:hint="eastAsia" w:ascii="黑体" w:hAnsi="黑体" w:cs="黑体"/>
          <w:b w:val="0"/>
          <w:bCs w:val="0"/>
        </w:rPr>
        <w:t xml:space="preserve">第五章  </w:t>
      </w:r>
      <w:bookmarkEnd w:id="10"/>
      <w:bookmarkEnd w:id="11"/>
      <w:bookmarkStart w:id="12" w:name="_Toc14638"/>
      <w:bookmarkStart w:id="13" w:name="_Toc8954"/>
      <w:r>
        <w:rPr>
          <w:rFonts w:hint="eastAsia" w:ascii="黑体" w:hAnsi="黑体" w:cs="黑体"/>
          <w:b w:val="0"/>
          <w:bCs w:val="0"/>
        </w:rPr>
        <w:t>附  则</w:t>
      </w:r>
      <w:bookmarkEnd w:id="12"/>
      <w:bookmarkEnd w:id="13"/>
    </w:p>
    <w:p>
      <w:pPr>
        <w:spacing w:line="560" w:lineRule="exact"/>
        <w:ind w:left="-278" w:leftChars="-87" w:firstLine="595" w:firstLineChars="186"/>
        <w:rPr>
          <w:rFonts w:ascii="仿宋_GB2312" w:hAnsi="仿宋_GB2312" w:cs="仿宋_GB2312"/>
        </w:rPr>
      </w:pPr>
      <w:r>
        <w:rPr>
          <w:rFonts w:hint="eastAsia" w:ascii="仿宋_GB2312" w:hAnsi="仿宋_GB2312" w:eastAsia="黑体" w:cs="仿宋_GB2312"/>
        </w:rPr>
        <w:t>第三十九条</w:t>
      </w:r>
      <w:r>
        <w:rPr>
          <w:rFonts w:hint="eastAsia" w:ascii="仿宋_GB2312" w:hAnsi="仿宋_GB2312" w:cs="仿宋_GB2312"/>
        </w:rPr>
        <w:t>【施行时间】 本规定自  年  月 日起施行。</w:t>
      </w:r>
    </w:p>
    <w:p>
      <w:pPr>
        <w:snapToGrid w:val="0"/>
        <w:spacing w:line="560" w:lineRule="exact"/>
        <w:jc w:val="left"/>
        <w:rPr>
          <w:rFonts w:ascii="仿宋_GB2312" w:hAnsi="仿宋"/>
        </w:rPr>
      </w:pP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803050406030204"/>
    <w:charset w:val="00"/>
    <w:family w:val="roman"/>
    <w:pitch w:val="default"/>
    <w:sig w:usb0="E00006FF" w:usb1="4000045F" w:usb2="00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11</w:t>
    </w:r>
    <w: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CF6314"/>
    <w:multiLevelType w:val="singleLevel"/>
    <w:tmpl w:val="6BCF631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true"/>
  <w:bordersDoNotSurroundFooter w:val="true"/>
  <w:documentProtection w:enforcement="0"/>
  <w:defaultTabStop w:val="420"/>
  <w:doNotHyphenateCaps/>
  <w:drawingGridHorizontalSpacing w:val="160"/>
  <w:drawingGridVerticalSpacing w:val="435"/>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C8C"/>
    <w:rsid w:val="00011750"/>
    <w:rsid w:val="00017187"/>
    <w:rsid w:val="0002235A"/>
    <w:rsid w:val="000242C4"/>
    <w:rsid w:val="000244F0"/>
    <w:rsid w:val="0002491A"/>
    <w:rsid w:val="000249C1"/>
    <w:rsid w:val="00032283"/>
    <w:rsid w:val="000329F4"/>
    <w:rsid w:val="00034587"/>
    <w:rsid w:val="00041C84"/>
    <w:rsid w:val="00042127"/>
    <w:rsid w:val="0004366A"/>
    <w:rsid w:val="0004498D"/>
    <w:rsid w:val="00044D3F"/>
    <w:rsid w:val="000516FF"/>
    <w:rsid w:val="00053592"/>
    <w:rsid w:val="00054448"/>
    <w:rsid w:val="0005532E"/>
    <w:rsid w:val="000571EA"/>
    <w:rsid w:val="00064207"/>
    <w:rsid w:val="00075225"/>
    <w:rsid w:val="0007788F"/>
    <w:rsid w:val="00081C71"/>
    <w:rsid w:val="00083697"/>
    <w:rsid w:val="00087318"/>
    <w:rsid w:val="000924DD"/>
    <w:rsid w:val="000928C1"/>
    <w:rsid w:val="000A00DC"/>
    <w:rsid w:val="000A0F51"/>
    <w:rsid w:val="000A2737"/>
    <w:rsid w:val="000B0EB9"/>
    <w:rsid w:val="000B36CF"/>
    <w:rsid w:val="000B3837"/>
    <w:rsid w:val="000B40C8"/>
    <w:rsid w:val="000B5934"/>
    <w:rsid w:val="000B5DCD"/>
    <w:rsid w:val="000B6522"/>
    <w:rsid w:val="000B69CC"/>
    <w:rsid w:val="000B7444"/>
    <w:rsid w:val="000B7F87"/>
    <w:rsid w:val="000C1049"/>
    <w:rsid w:val="000C2D51"/>
    <w:rsid w:val="000C6FA7"/>
    <w:rsid w:val="000D1BDF"/>
    <w:rsid w:val="000D7D19"/>
    <w:rsid w:val="000E3101"/>
    <w:rsid w:val="000E3DAF"/>
    <w:rsid w:val="000E69A5"/>
    <w:rsid w:val="000E7942"/>
    <w:rsid w:val="000E7F64"/>
    <w:rsid w:val="000F18EC"/>
    <w:rsid w:val="000F21FA"/>
    <w:rsid w:val="000F4202"/>
    <w:rsid w:val="00101499"/>
    <w:rsid w:val="00103F00"/>
    <w:rsid w:val="00106AEE"/>
    <w:rsid w:val="00110FF3"/>
    <w:rsid w:val="0011138C"/>
    <w:rsid w:val="00115F00"/>
    <w:rsid w:val="00116EB3"/>
    <w:rsid w:val="001212D1"/>
    <w:rsid w:val="0013273E"/>
    <w:rsid w:val="00133F83"/>
    <w:rsid w:val="001358B0"/>
    <w:rsid w:val="00137DFA"/>
    <w:rsid w:val="00140BCC"/>
    <w:rsid w:val="001476FB"/>
    <w:rsid w:val="00152565"/>
    <w:rsid w:val="001537B6"/>
    <w:rsid w:val="00157134"/>
    <w:rsid w:val="0016098F"/>
    <w:rsid w:val="00160DA7"/>
    <w:rsid w:val="001611C5"/>
    <w:rsid w:val="00164C2F"/>
    <w:rsid w:val="0016540A"/>
    <w:rsid w:val="00166CB4"/>
    <w:rsid w:val="00174E1E"/>
    <w:rsid w:val="001756AC"/>
    <w:rsid w:val="00175FAD"/>
    <w:rsid w:val="001760C6"/>
    <w:rsid w:val="001807E2"/>
    <w:rsid w:val="00180E6A"/>
    <w:rsid w:val="00181DDA"/>
    <w:rsid w:val="00182634"/>
    <w:rsid w:val="0018380E"/>
    <w:rsid w:val="00183B4A"/>
    <w:rsid w:val="0018554C"/>
    <w:rsid w:val="00191EB0"/>
    <w:rsid w:val="001A125C"/>
    <w:rsid w:val="001A36E4"/>
    <w:rsid w:val="001A70C3"/>
    <w:rsid w:val="001B2918"/>
    <w:rsid w:val="001C01AD"/>
    <w:rsid w:val="001C288F"/>
    <w:rsid w:val="001C37AD"/>
    <w:rsid w:val="001C7401"/>
    <w:rsid w:val="001D0442"/>
    <w:rsid w:val="001D1C75"/>
    <w:rsid w:val="001D2F61"/>
    <w:rsid w:val="001D3212"/>
    <w:rsid w:val="001D4D1A"/>
    <w:rsid w:val="001D4D73"/>
    <w:rsid w:val="001E10CA"/>
    <w:rsid w:val="001E77D9"/>
    <w:rsid w:val="001F4BF4"/>
    <w:rsid w:val="001F71E5"/>
    <w:rsid w:val="001F7A7D"/>
    <w:rsid w:val="00202C5A"/>
    <w:rsid w:val="002065EA"/>
    <w:rsid w:val="00210996"/>
    <w:rsid w:val="00211F93"/>
    <w:rsid w:val="00216C36"/>
    <w:rsid w:val="00223441"/>
    <w:rsid w:val="00223EF9"/>
    <w:rsid w:val="00224D2B"/>
    <w:rsid w:val="00225A35"/>
    <w:rsid w:val="002369DA"/>
    <w:rsid w:val="0024581A"/>
    <w:rsid w:val="002503C3"/>
    <w:rsid w:val="002518C6"/>
    <w:rsid w:val="002539DF"/>
    <w:rsid w:val="0026065D"/>
    <w:rsid w:val="00262661"/>
    <w:rsid w:val="00263034"/>
    <w:rsid w:val="00263B24"/>
    <w:rsid w:val="002642BC"/>
    <w:rsid w:val="00265D31"/>
    <w:rsid w:val="00271DF6"/>
    <w:rsid w:val="00276035"/>
    <w:rsid w:val="002776A7"/>
    <w:rsid w:val="0028382D"/>
    <w:rsid w:val="00284F5A"/>
    <w:rsid w:val="00287AC0"/>
    <w:rsid w:val="00292552"/>
    <w:rsid w:val="002940B0"/>
    <w:rsid w:val="00296884"/>
    <w:rsid w:val="0029725C"/>
    <w:rsid w:val="002A03DE"/>
    <w:rsid w:val="002A3B68"/>
    <w:rsid w:val="002A688B"/>
    <w:rsid w:val="002B02AB"/>
    <w:rsid w:val="002B086B"/>
    <w:rsid w:val="002B1884"/>
    <w:rsid w:val="002B5219"/>
    <w:rsid w:val="002B7E4C"/>
    <w:rsid w:val="002C0E6B"/>
    <w:rsid w:val="002C0FEA"/>
    <w:rsid w:val="002C6920"/>
    <w:rsid w:val="002C7321"/>
    <w:rsid w:val="002D0D71"/>
    <w:rsid w:val="002D43AA"/>
    <w:rsid w:val="002D5779"/>
    <w:rsid w:val="002E16E2"/>
    <w:rsid w:val="002E187A"/>
    <w:rsid w:val="002E2EFF"/>
    <w:rsid w:val="002E508B"/>
    <w:rsid w:val="002E535F"/>
    <w:rsid w:val="002E703C"/>
    <w:rsid w:val="002F026D"/>
    <w:rsid w:val="002F7068"/>
    <w:rsid w:val="002F774F"/>
    <w:rsid w:val="003006B1"/>
    <w:rsid w:val="00302C8C"/>
    <w:rsid w:val="00303B29"/>
    <w:rsid w:val="00305346"/>
    <w:rsid w:val="00307AA0"/>
    <w:rsid w:val="00310C66"/>
    <w:rsid w:val="00313A56"/>
    <w:rsid w:val="003149A3"/>
    <w:rsid w:val="003174D1"/>
    <w:rsid w:val="003252AC"/>
    <w:rsid w:val="003261CC"/>
    <w:rsid w:val="003300AA"/>
    <w:rsid w:val="00330E7E"/>
    <w:rsid w:val="00332568"/>
    <w:rsid w:val="0033380C"/>
    <w:rsid w:val="00333DF2"/>
    <w:rsid w:val="00336F7E"/>
    <w:rsid w:val="00340FB1"/>
    <w:rsid w:val="003423F1"/>
    <w:rsid w:val="003444B6"/>
    <w:rsid w:val="00345012"/>
    <w:rsid w:val="00347312"/>
    <w:rsid w:val="0034732E"/>
    <w:rsid w:val="0034772B"/>
    <w:rsid w:val="00351C5B"/>
    <w:rsid w:val="003531DB"/>
    <w:rsid w:val="0035578F"/>
    <w:rsid w:val="00363B82"/>
    <w:rsid w:val="00364DC6"/>
    <w:rsid w:val="00367C00"/>
    <w:rsid w:val="00367EA0"/>
    <w:rsid w:val="003732FE"/>
    <w:rsid w:val="00373826"/>
    <w:rsid w:val="0037396B"/>
    <w:rsid w:val="00375816"/>
    <w:rsid w:val="00377750"/>
    <w:rsid w:val="003802DC"/>
    <w:rsid w:val="00383148"/>
    <w:rsid w:val="0038340B"/>
    <w:rsid w:val="00384D1A"/>
    <w:rsid w:val="00386B3A"/>
    <w:rsid w:val="003A4DD1"/>
    <w:rsid w:val="003A545C"/>
    <w:rsid w:val="003A633A"/>
    <w:rsid w:val="003A66A2"/>
    <w:rsid w:val="003A7956"/>
    <w:rsid w:val="003B115C"/>
    <w:rsid w:val="003B28E1"/>
    <w:rsid w:val="003B3C6F"/>
    <w:rsid w:val="003B44FE"/>
    <w:rsid w:val="003B46B0"/>
    <w:rsid w:val="003B4AD8"/>
    <w:rsid w:val="003B63D5"/>
    <w:rsid w:val="003B705C"/>
    <w:rsid w:val="003D0809"/>
    <w:rsid w:val="003D2E37"/>
    <w:rsid w:val="003D39EA"/>
    <w:rsid w:val="003D57CE"/>
    <w:rsid w:val="003E2166"/>
    <w:rsid w:val="003E33EB"/>
    <w:rsid w:val="003E388A"/>
    <w:rsid w:val="003F1A95"/>
    <w:rsid w:val="0040320B"/>
    <w:rsid w:val="004059DD"/>
    <w:rsid w:val="00410EAD"/>
    <w:rsid w:val="00411055"/>
    <w:rsid w:val="004150CA"/>
    <w:rsid w:val="00421371"/>
    <w:rsid w:val="00423070"/>
    <w:rsid w:val="0042401B"/>
    <w:rsid w:val="004253A0"/>
    <w:rsid w:val="00426CFB"/>
    <w:rsid w:val="0043156C"/>
    <w:rsid w:val="00436FE2"/>
    <w:rsid w:val="004434A2"/>
    <w:rsid w:val="00443530"/>
    <w:rsid w:val="00450BE7"/>
    <w:rsid w:val="004534BE"/>
    <w:rsid w:val="00454EB7"/>
    <w:rsid w:val="00455BF7"/>
    <w:rsid w:val="00457D54"/>
    <w:rsid w:val="004607F0"/>
    <w:rsid w:val="00465D8F"/>
    <w:rsid w:val="00471048"/>
    <w:rsid w:val="0047794C"/>
    <w:rsid w:val="00480ED2"/>
    <w:rsid w:val="004905D8"/>
    <w:rsid w:val="00494C4E"/>
    <w:rsid w:val="00495879"/>
    <w:rsid w:val="004A7A02"/>
    <w:rsid w:val="004B0A59"/>
    <w:rsid w:val="004B6225"/>
    <w:rsid w:val="004B6665"/>
    <w:rsid w:val="004C093C"/>
    <w:rsid w:val="004C7817"/>
    <w:rsid w:val="004D12F2"/>
    <w:rsid w:val="004D135D"/>
    <w:rsid w:val="004D2BAF"/>
    <w:rsid w:val="004D412D"/>
    <w:rsid w:val="004D53A7"/>
    <w:rsid w:val="004E1BED"/>
    <w:rsid w:val="004E458C"/>
    <w:rsid w:val="004E5B2F"/>
    <w:rsid w:val="004E6C9E"/>
    <w:rsid w:val="004F0B9B"/>
    <w:rsid w:val="004F1B41"/>
    <w:rsid w:val="004F2197"/>
    <w:rsid w:val="005004F2"/>
    <w:rsid w:val="005023F4"/>
    <w:rsid w:val="00506AE8"/>
    <w:rsid w:val="00512694"/>
    <w:rsid w:val="005146A8"/>
    <w:rsid w:val="00514B95"/>
    <w:rsid w:val="00525D2D"/>
    <w:rsid w:val="005302B6"/>
    <w:rsid w:val="00543FCE"/>
    <w:rsid w:val="00550BA7"/>
    <w:rsid w:val="005525E4"/>
    <w:rsid w:val="005551AF"/>
    <w:rsid w:val="00557AB1"/>
    <w:rsid w:val="00557EF8"/>
    <w:rsid w:val="00557FA4"/>
    <w:rsid w:val="005643B3"/>
    <w:rsid w:val="00566CBD"/>
    <w:rsid w:val="005718D0"/>
    <w:rsid w:val="005773E8"/>
    <w:rsid w:val="00577CE0"/>
    <w:rsid w:val="00585A9E"/>
    <w:rsid w:val="005951BE"/>
    <w:rsid w:val="00595961"/>
    <w:rsid w:val="005A22CD"/>
    <w:rsid w:val="005A2BC8"/>
    <w:rsid w:val="005B1B70"/>
    <w:rsid w:val="005B71A7"/>
    <w:rsid w:val="005C096B"/>
    <w:rsid w:val="005C13C4"/>
    <w:rsid w:val="005C3B5B"/>
    <w:rsid w:val="005D1975"/>
    <w:rsid w:val="005E7133"/>
    <w:rsid w:val="005F570E"/>
    <w:rsid w:val="005F6DC5"/>
    <w:rsid w:val="006017B7"/>
    <w:rsid w:val="006044CF"/>
    <w:rsid w:val="0061284B"/>
    <w:rsid w:val="006204C4"/>
    <w:rsid w:val="00623A66"/>
    <w:rsid w:val="00623C23"/>
    <w:rsid w:val="00625AC0"/>
    <w:rsid w:val="006268B7"/>
    <w:rsid w:val="0063057B"/>
    <w:rsid w:val="00630885"/>
    <w:rsid w:val="006309B5"/>
    <w:rsid w:val="006311B8"/>
    <w:rsid w:val="00635FB5"/>
    <w:rsid w:val="00641356"/>
    <w:rsid w:val="0064290D"/>
    <w:rsid w:val="00642D69"/>
    <w:rsid w:val="00644084"/>
    <w:rsid w:val="00645CAF"/>
    <w:rsid w:val="00645F8C"/>
    <w:rsid w:val="00650CCE"/>
    <w:rsid w:val="00650ED8"/>
    <w:rsid w:val="00656079"/>
    <w:rsid w:val="00656186"/>
    <w:rsid w:val="006610AC"/>
    <w:rsid w:val="006634BC"/>
    <w:rsid w:val="00663DF8"/>
    <w:rsid w:val="006644AE"/>
    <w:rsid w:val="00667212"/>
    <w:rsid w:val="0067087B"/>
    <w:rsid w:val="00675DDB"/>
    <w:rsid w:val="00683D51"/>
    <w:rsid w:val="00684F84"/>
    <w:rsid w:val="00687EAA"/>
    <w:rsid w:val="0069199D"/>
    <w:rsid w:val="0069378E"/>
    <w:rsid w:val="006976C9"/>
    <w:rsid w:val="006A1BD0"/>
    <w:rsid w:val="006A33D7"/>
    <w:rsid w:val="006A7852"/>
    <w:rsid w:val="006B097D"/>
    <w:rsid w:val="006B0F08"/>
    <w:rsid w:val="006B103C"/>
    <w:rsid w:val="006B7D69"/>
    <w:rsid w:val="006C0256"/>
    <w:rsid w:val="006C050C"/>
    <w:rsid w:val="006C24A1"/>
    <w:rsid w:val="006C2DFD"/>
    <w:rsid w:val="006C2E61"/>
    <w:rsid w:val="006C4556"/>
    <w:rsid w:val="006D1A52"/>
    <w:rsid w:val="006D3F39"/>
    <w:rsid w:val="006D4407"/>
    <w:rsid w:val="006D4539"/>
    <w:rsid w:val="006D4AF3"/>
    <w:rsid w:val="006D515E"/>
    <w:rsid w:val="006D67C5"/>
    <w:rsid w:val="006D6B35"/>
    <w:rsid w:val="006D7FD2"/>
    <w:rsid w:val="006E1BBA"/>
    <w:rsid w:val="006E5367"/>
    <w:rsid w:val="006F3C37"/>
    <w:rsid w:val="006F4F6E"/>
    <w:rsid w:val="006F7BA2"/>
    <w:rsid w:val="0070294D"/>
    <w:rsid w:val="00705C92"/>
    <w:rsid w:val="007067AF"/>
    <w:rsid w:val="007074E6"/>
    <w:rsid w:val="00712DAF"/>
    <w:rsid w:val="0071331F"/>
    <w:rsid w:val="0071508E"/>
    <w:rsid w:val="00717247"/>
    <w:rsid w:val="00730E0E"/>
    <w:rsid w:val="007313BC"/>
    <w:rsid w:val="0073281B"/>
    <w:rsid w:val="0073608C"/>
    <w:rsid w:val="00737675"/>
    <w:rsid w:val="00742841"/>
    <w:rsid w:val="00744154"/>
    <w:rsid w:val="0074624B"/>
    <w:rsid w:val="0075694F"/>
    <w:rsid w:val="007578C8"/>
    <w:rsid w:val="0076136A"/>
    <w:rsid w:val="0076164D"/>
    <w:rsid w:val="00761F18"/>
    <w:rsid w:val="00776492"/>
    <w:rsid w:val="00776EAB"/>
    <w:rsid w:val="00780336"/>
    <w:rsid w:val="00781241"/>
    <w:rsid w:val="007833A2"/>
    <w:rsid w:val="00784ECF"/>
    <w:rsid w:val="007863CC"/>
    <w:rsid w:val="00787BD8"/>
    <w:rsid w:val="00790B86"/>
    <w:rsid w:val="00792B14"/>
    <w:rsid w:val="00797857"/>
    <w:rsid w:val="007A342B"/>
    <w:rsid w:val="007A3DF4"/>
    <w:rsid w:val="007A5E9E"/>
    <w:rsid w:val="007A707A"/>
    <w:rsid w:val="007A76F4"/>
    <w:rsid w:val="007B2651"/>
    <w:rsid w:val="007B3928"/>
    <w:rsid w:val="007B5E70"/>
    <w:rsid w:val="007C6CBF"/>
    <w:rsid w:val="007D340E"/>
    <w:rsid w:val="007D35F9"/>
    <w:rsid w:val="007D3766"/>
    <w:rsid w:val="007D57E6"/>
    <w:rsid w:val="007D7580"/>
    <w:rsid w:val="007E076B"/>
    <w:rsid w:val="007E2FA3"/>
    <w:rsid w:val="007E4E2F"/>
    <w:rsid w:val="007E6A19"/>
    <w:rsid w:val="007F5A78"/>
    <w:rsid w:val="008014E5"/>
    <w:rsid w:val="0080185F"/>
    <w:rsid w:val="00802AA4"/>
    <w:rsid w:val="00803D99"/>
    <w:rsid w:val="008104D9"/>
    <w:rsid w:val="00813CAF"/>
    <w:rsid w:val="00816845"/>
    <w:rsid w:val="008222D2"/>
    <w:rsid w:val="00822E08"/>
    <w:rsid w:val="008277EB"/>
    <w:rsid w:val="008303A5"/>
    <w:rsid w:val="0083132A"/>
    <w:rsid w:val="00832010"/>
    <w:rsid w:val="00834389"/>
    <w:rsid w:val="00834683"/>
    <w:rsid w:val="00836CB2"/>
    <w:rsid w:val="00852412"/>
    <w:rsid w:val="00853C91"/>
    <w:rsid w:val="008546A4"/>
    <w:rsid w:val="00854E38"/>
    <w:rsid w:val="00862BF2"/>
    <w:rsid w:val="00872E30"/>
    <w:rsid w:val="008757A9"/>
    <w:rsid w:val="00875A0E"/>
    <w:rsid w:val="00880122"/>
    <w:rsid w:val="008834AE"/>
    <w:rsid w:val="00884604"/>
    <w:rsid w:val="00891A02"/>
    <w:rsid w:val="00896C90"/>
    <w:rsid w:val="008A2C72"/>
    <w:rsid w:val="008A2CD2"/>
    <w:rsid w:val="008A42E5"/>
    <w:rsid w:val="008A59A3"/>
    <w:rsid w:val="008A6A4F"/>
    <w:rsid w:val="008A7A9E"/>
    <w:rsid w:val="008B267D"/>
    <w:rsid w:val="008B3601"/>
    <w:rsid w:val="008B50E8"/>
    <w:rsid w:val="008B7B46"/>
    <w:rsid w:val="008C1358"/>
    <w:rsid w:val="008C58B7"/>
    <w:rsid w:val="008C5FDD"/>
    <w:rsid w:val="008C7A1B"/>
    <w:rsid w:val="008D0A6B"/>
    <w:rsid w:val="008D0B74"/>
    <w:rsid w:val="008D34FA"/>
    <w:rsid w:val="008D368C"/>
    <w:rsid w:val="008D470E"/>
    <w:rsid w:val="008D7BA5"/>
    <w:rsid w:val="008E1220"/>
    <w:rsid w:val="008E65ED"/>
    <w:rsid w:val="00904478"/>
    <w:rsid w:val="0091074A"/>
    <w:rsid w:val="0091234B"/>
    <w:rsid w:val="00915855"/>
    <w:rsid w:val="00922C41"/>
    <w:rsid w:val="00923EE0"/>
    <w:rsid w:val="009276C1"/>
    <w:rsid w:val="00931140"/>
    <w:rsid w:val="00934668"/>
    <w:rsid w:val="00941F09"/>
    <w:rsid w:val="009477F7"/>
    <w:rsid w:val="00952290"/>
    <w:rsid w:val="00954034"/>
    <w:rsid w:val="00956166"/>
    <w:rsid w:val="00961824"/>
    <w:rsid w:val="00966BA3"/>
    <w:rsid w:val="009746CA"/>
    <w:rsid w:val="00980323"/>
    <w:rsid w:val="00983671"/>
    <w:rsid w:val="0098491F"/>
    <w:rsid w:val="009863B0"/>
    <w:rsid w:val="0098794E"/>
    <w:rsid w:val="0099045F"/>
    <w:rsid w:val="0099134C"/>
    <w:rsid w:val="00992181"/>
    <w:rsid w:val="00994E9E"/>
    <w:rsid w:val="009A0B42"/>
    <w:rsid w:val="009A304C"/>
    <w:rsid w:val="009B09C7"/>
    <w:rsid w:val="009B4F85"/>
    <w:rsid w:val="009B7C1F"/>
    <w:rsid w:val="009C16DB"/>
    <w:rsid w:val="009C2BE0"/>
    <w:rsid w:val="009C389C"/>
    <w:rsid w:val="009C44BD"/>
    <w:rsid w:val="009C54D7"/>
    <w:rsid w:val="009D0D9A"/>
    <w:rsid w:val="009D26BE"/>
    <w:rsid w:val="009D4C8C"/>
    <w:rsid w:val="009E0AAE"/>
    <w:rsid w:val="009E0BA9"/>
    <w:rsid w:val="009E2D71"/>
    <w:rsid w:val="009F2778"/>
    <w:rsid w:val="009F54D2"/>
    <w:rsid w:val="00A01728"/>
    <w:rsid w:val="00A0425C"/>
    <w:rsid w:val="00A05410"/>
    <w:rsid w:val="00A06FBA"/>
    <w:rsid w:val="00A07EA6"/>
    <w:rsid w:val="00A116B5"/>
    <w:rsid w:val="00A17648"/>
    <w:rsid w:val="00A25F8D"/>
    <w:rsid w:val="00A2736C"/>
    <w:rsid w:val="00A27FD7"/>
    <w:rsid w:val="00A3378F"/>
    <w:rsid w:val="00A33ABB"/>
    <w:rsid w:val="00A3503D"/>
    <w:rsid w:val="00A36224"/>
    <w:rsid w:val="00A36F61"/>
    <w:rsid w:val="00A370A0"/>
    <w:rsid w:val="00A4494A"/>
    <w:rsid w:val="00A51D91"/>
    <w:rsid w:val="00A51EA4"/>
    <w:rsid w:val="00A565FA"/>
    <w:rsid w:val="00A57474"/>
    <w:rsid w:val="00A63D31"/>
    <w:rsid w:val="00A64DE4"/>
    <w:rsid w:val="00A72315"/>
    <w:rsid w:val="00A730FE"/>
    <w:rsid w:val="00A76A93"/>
    <w:rsid w:val="00A813E7"/>
    <w:rsid w:val="00A8409A"/>
    <w:rsid w:val="00A8545A"/>
    <w:rsid w:val="00A85661"/>
    <w:rsid w:val="00A87067"/>
    <w:rsid w:val="00A905B6"/>
    <w:rsid w:val="00AA2241"/>
    <w:rsid w:val="00AA3D71"/>
    <w:rsid w:val="00AA49C9"/>
    <w:rsid w:val="00AA7202"/>
    <w:rsid w:val="00AA752C"/>
    <w:rsid w:val="00AB0485"/>
    <w:rsid w:val="00AB2B78"/>
    <w:rsid w:val="00AC2D28"/>
    <w:rsid w:val="00AC319D"/>
    <w:rsid w:val="00AC603C"/>
    <w:rsid w:val="00AD2014"/>
    <w:rsid w:val="00AD4C99"/>
    <w:rsid w:val="00AE38C6"/>
    <w:rsid w:val="00AE6ECD"/>
    <w:rsid w:val="00AF0822"/>
    <w:rsid w:val="00AF22E9"/>
    <w:rsid w:val="00AF2682"/>
    <w:rsid w:val="00AF6E25"/>
    <w:rsid w:val="00AF6F52"/>
    <w:rsid w:val="00B01C6B"/>
    <w:rsid w:val="00B05D51"/>
    <w:rsid w:val="00B06110"/>
    <w:rsid w:val="00B06B3C"/>
    <w:rsid w:val="00B126F6"/>
    <w:rsid w:val="00B127D0"/>
    <w:rsid w:val="00B14C29"/>
    <w:rsid w:val="00B1762C"/>
    <w:rsid w:val="00B21D2C"/>
    <w:rsid w:val="00B236A6"/>
    <w:rsid w:val="00B26413"/>
    <w:rsid w:val="00B27AC4"/>
    <w:rsid w:val="00B362DE"/>
    <w:rsid w:val="00B43183"/>
    <w:rsid w:val="00B43496"/>
    <w:rsid w:val="00B4413C"/>
    <w:rsid w:val="00B4579D"/>
    <w:rsid w:val="00B457CD"/>
    <w:rsid w:val="00B55D2C"/>
    <w:rsid w:val="00B634C7"/>
    <w:rsid w:val="00B65EFF"/>
    <w:rsid w:val="00B6668C"/>
    <w:rsid w:val="00B67208"/>
    <w:rsid w:val="00B71047"/>
    <w:rsid w:val="00B72D40"/>
    <w:rsid w:val="00B74162"/>
    <w:rsid w:val="00B84095"/>
    <w:rsid w:val="00B916EA"/>
    <w:rsid w:val="00B91B49"/>
    <w:rsid w:val="00B95406"/>
    <w:rsid w:val="00B96780"/>
    <w:rsid w:val="00B96EA2"/>
    <w:rsid w:val="00BB0CB9"/>
    <w:rsid w:val="00BB404B"/>
    <w:rsid w:val="00BC223D"/>
    <w:rsid w:val="00BC74F7"/>
    <w:rsid w:val="00BD0362"/>
    <w:rsid w:val="00BD2F6D"/>
    <w:rsid w:val="00BD6221"/>
    <w:rsid w:val="00BD649B"/>
    <w:rsid w:val="00BE2275"/>
    <w:rsid w:val="00BF1438"/>
    <w:rsid w:val="00BF1768"/>
    <w:rsid w:val="00BF1C18"/>
    <w:rsid w:val="00BF2489"/>
    <w:rsid w:val="00C00A22"/>
    <w:rsid w:val="00C052E5"/>
    <w:rsid w:val="00C05955"/>
    <w:rsid w:val="00C17B82"/>
    <w:rsid w:val="00C17E46"/>
    <w:rsid w:val="00C208E5"/>
    <w:rsid w:val="00C21FB5"/>
    <w:rsid w:val="00C252F9"/>
    <w:rsid w:val="00C25BFC"/>
    <w:rsid w:val="00C34E3C"/>
    <w:rsid w:val="00C4072F"/>
    <w:rsid w:val="00C434DA"/>
    <w:rsid w:val="00C438D8"/>
    <w:rsid w:val="00C46987"/>
    <w:rsid w:val="00C47CC5"/>
    <w:rsid w:val="00C55EEB"/>
    <w:rsid w:val="00C56668"/>
    <w:rsid w:val="00C57033"/>
    <w:rsid w:val="00C57425"/>
    <w:rsid w:val="00C57582"/>
    <w:rsid w:val="00C57FBF"/>
    <w:rsid w:val="00C602CF"/>
    <w:rsid w:val="00C625C4"/>
    <w:rsid w:val="00C6285B"/>
    <w:rsid w:val="00C6468F"/>
    <w:rsid w:val="00C7532D"/>
    <w:rsid w:val="00C75658"/>
    <w:rsid w:val="00C7688E"/>
    <w:rsid w:val="00C8114D"/>
    <w:rsid w:val="00C83280"/>
    <w:rsid w:val="00C832F2"/>
    <w:rsid w:val="00C855D6"/>
    <w:rsid w:val="00C9149A"/>
    <w:rsid w:val="00C920C6"/>
    <w:rsid w:val="00C93C82"/>
    <w:rsid w:val="00C93D17"/>
    <w:rsid w:val="00C95CAF"/>
    <w:rsid w:val="00C979E6"/>
    <w:rsid w:val="00C97B5F"/>
    <w:rsid w:val="00CA3120"/>
    <w:rsid w:val="00CB27FE"/>
    <w:rsid w:val="00CC0D69"/>
    <w:rsid w:val="00CC1A4B"/>
    <w:rsid w:val="00CC3DDD"/>
    <w:rsid w:val="00CC6E60"/>
    <w:rsid w:val="00CD14A4"/>
    <w:rsid w:val="00CD4C5D"/>
    <w:rsid w:val="00CE1A2D"/>
    <w:rsid w:val="00CE3CE0"/>
    <w:rsid w:val="00CF0F6A"/>
    <w:rsid w:val="00CF2C4A"/>
    <w:rsid w:val="00CF2DC7"/>
    <w:rsid w:val="00CF57A3"/>
    <w:rsid w:val="00D010E5"/>
    <w:rsid w:val="00D12431"/>
    <w:rsid w:val="00D1284D"/>
    <w:rsid w:val="00D15018"/>
    <w:rsid w:val="00D15CC6"/>
    <w:rsid w:val="00D2223E"/>
    <w:rsid w:val="00D22326"/>
    <w:rsid w:val="00D237E0"/>
    <w:rsid w:val="00D239B4"/>
    <w:rsid w:val="00D23B75"/>
    <w:rsid w:val="00D2691D"/>
    <w:rsid w:val="00D26E7B"/>
    <w:rsid w:val="00D27DF0"/>
    <w:rsid w:val="00D344E2"/>
    <w:rsid w:val="00D35D9B"/>
    <w:rsid w:val="00D463D5"/>
    <w:rsid w:val="00D55CFF"/>
    <w:rsid w:val="00D60013"/>
    <w:rsid w:val="00D64E93"/>
    <w:rsid w:val="00D6595F"/>
    <w:rsid w:val="00D71FA0"/>
    <w:rsid w:val="00D73615"/>
    <w:rsid w:val="00D751C9"/>
    <w:rsid w:val="00D76243"/>
    <w:rsid w:val="00D767B0"/>
    <w:rsid w:val="00D80CDB"/>
    <w:rsid w:val="00D84DE6"/>
    <w:rsid w:val="00D84FD9"/>
    <w:rsid w:val="00D935BA"/>
    <w:rsid w:val="00D95EF5"/>
    <w:rsid w:val="00DA2743"/>
    <w:rsid w:val="00DB030F"/>
    <w:rsid w:val="00DB334A"/>
    <w:rsid w:val="00DC026A"/>
    <w:rsid w:val="00DC5F0C"/>
    <w:rsid w:val="00DC7C99"/>
    <w:rsid w:val="00DD200D"/>
    <w:rsid w:val="00DE479F"/>
    <w:rsid w:val="00DE4A50"/>
    <w:rsid w:val="00DE592C"/>
    <w:rsid w:val="00DE612C"/>
    <w:rsid w:val="00DE74FD"/>
    <w:rsid w:val="00DE7E2A"/>
    <w:rsid w:val="00DF5F38"/>
    <w:rsid w:val="00E01E23"/>
    <w:rsid w:val="00E02687"/>
    <w:rsid w:val="00E03931"/>
    <w:rsid w:val="00E06E33"/>
    <w:rsid w:val="00E21987"/>
    <w:rsid w:val="00E23A2D"/>
    <w:rsid w:val="00E2651C"/>
    <w:rsid w:val="00E36D51"/>
    <w:rsid w:val="00E5300F"/>
    <w:rsid w:val="00E53465"/>
    <w:rsid w:val="00E546BC"/>
    <w:rsid w:val="00E65BF2"/>
    <w:rsid w:val="00E6600D"/>
    <w:rsid w:val="00E701BE"/>
    <w:rsid w:val="00E837B2"/>
    <w:rsid w:val="00E8715B"/>
    <w:rsid w:val="00E9272E"/>
    <w:rsid w:val="00E975A9"/>
    <w:rsid w:val="00EA328C"/>
    <w:rsid w:val="00EA78F7"/>
    <w:rsid w:val="00EB0437"/>
    <w:rsid w:val="00EB625B"/>
    <w:rsid w:val="00EC12E7"/>
    <w:rsid w:val="00EC16AA"/>
    <w:rsid w:val="00EC2B6E"/>
    <w:rsid w:val="00EC36E9"/>
    <w:rsid w:val="00EC5ABE"/>
    <w:rsid w:val="00EC6B37"/>
    <w:rsid w:val="00ED0E96"/>
    <w:rsid w:val="00ED4F13"/>
    <w:rsid w:val="00ED57CB"/>
    <w:rsid w:val="00EE4D21"/>
    <w:rsid w:val="00EE50BB"/>
    <w:rsid w:val="00EE688C"/>
    <w:rsid w:val="00EF034A"/>
    <w:rsid w:val="00EF3CDA"/>
    <w:rsid w:val="00F0012F"/>
    <w:rsid w:val="00F040D8"/>
    <w:rsid w:val="00F17F7C"/>
    <w:rsid w:val="00F22865"/>
    <w:rsid w:val="00F23C18"/>
    <w:rsid w:val="00F30E9F"/>
    <w:rsid w:val="00F32C85"/>
    <w:rsid w:val="00F33392"/>
    <w:rsid w:val="00F34815"/>
    <w:rsid w:val="00F358B0"/>
    <w:rsid w:val="00F361ED"/>
    <w:rsid w:val="00F3645E"/>
    <w:rsid w:val="00F40FFA"/>
    <w:rsid w:val="00F4301A"/>
    <w:rsid w:val="00F44F23"/>
    <w:rsid w:val="00F45321"/>
    <w:rsid w:val="00F504FB"/>
    <w:rsid w:val="00F51224"/>
    <w:rsid w:val="00F545D9"/>
    <w:rsid w:val="00F54DEA"/>
    <w:rsid w:val="00F61F07"/>
    <w:rsid w:val="00F63C8F"/>
    <w:rsid w:val="00F6459A"/>
    <w:rsid w:val="00F70A2C"/>
    <w:rsid w:val="00F711D7"/>
    <w:rsid w:val="00F71B87"/>
    <w:rsid w:val="00F741FC"/>
    <w:rsid w:val="00F77D5A"/>
    <w:rsid w:val="00F81AC3"/>
    <w:rsid w:val="00F9339D"/>
    <w:rsid w:val="00F96F6D"/>
    <w:rsid w:val="00F97BAE"/>
    <w:rsid w:val="00FA07DE"/>
    <w:rsid w:val="00FA3034"/>
    <w:rsid w:val="00FA4720"/>
    <w:rsid w:val="00FA6360"/>
    <w:rsid w:val="00FB10C5"/>
    <w:rsid w:val="00FB296D"/>
    <w:rsid w:val="00FB391B"/>
    <w:rsid w:val="00FB5BB6"/>
    <w:rsid w:val="00FB6046"/>
    <w:rsid w:val="00FC02FE"/>
    <w:rsid w:val="00FC06CB"/>
    <w:rsid w:val="00FC0F33"/>
    <w:rsid w:val="00FC4FF1"/>
    <w:rsid w:val="00FD6619"/>
    <w:rsid w:val="00FE151F"/>
    <w:rsid w:val="00FF3448"/>
    <w:rsid w:val="00FF7EF7"/>
    <w:rsid w:val="077ED4EE"/>
    <w:rsid w:val="07F50F6D"/>
    <w:rsid w:val="12F554A3"/>
    <w:rsid w:val="141B58E2"/>
    <w:rsid w:val="19F9A6F3"/>
    <w:rsid w:val="1B690389"/>
    <w:rsid w:val="1FFD6A52"/>
    <w:rsid w:val="27FE97B2"/>
    <w:rsid w:val="29BDDC9E"/>
    <w:rsid w:val="2FE3E6A2"/>
    <w:rsid w:val="2FFB5163"/>
    <w:rsid w:val="35EF4270"/>
    <w:rsid w:val="375D4F33"/>
    <w:rsid w:val="377718E0"/>
    <w:rsid w:val="37771B17"/>
    <w:rsid w:val="37FFA960"/>
    <w:rsid w:val="39AD68C6"/>
    <w:rsid w:val="39FFCE81"/>
    <w:rsid w:val="3B4A7D3F"/>
    <w:rsid w:val="3BF70DB9"/>
    <w:rsid w:val="3E974E30"/>
    <w:rsid w:val="3EFD9294"/>
    <w:rsid w:val="3F3F08C2"/>
    <w:rsid w:val="3FAA5E8C"/>
    <w:rsid w:val="3FF5E0ED"/>
    <w:rsid w:val="42FFA6BE"/>
    <w:rsid w:val="47E735B0"/>
    <w:rsid w:val="4D71D497"/>
    <w:rsid w:val="537F0621"/>
    <w:rsid w:val="57FDF1AD"/>
    <w:rsid w:val="5ABD9327"/>
    <w:rsid w:val="5BBE875A"/>
    <w:rsid w:val="5BDB4A07"/>
    <w:rsid w:val="5BFF9B6D"/>
    <w:rsid w:val="5D3B075A"/>
    <w:rsid w:val="5D6EF9C5"/>
    <w:rsid w:val="5DFFA685"/>
    <w:rsid w:val="5EE572C9"/>
    <w:rsid w:val="5FA903FD"/>
    <w:rsid w:val="5FD70FF4"/>
    <w:rsid w:val="5FEE3731"/>
    <w:rsid w:val="5FEFD7FA"/>
    <w:rsid w:val="60FC9B9A"/>
    <w:rsid w:val="62CE2F75"/>
    <w:rsid w:val="635FAF08"/>
    <w:rsid w:val="63BF83E7"/>
    <w:rsid w:val="63F9F754"/>
    <w:rsid w:val="64D7661A"/>
    <w:rsid w:val="67EFF8F7"/>
    <w:rsid w:val="688F103C"/>
    <w:rsid w:val="6A2E0C25"/>
    <w:rsid w:val="6B5D79A3"/>
    <w:rsid w:val="6FB3972D"/>
    <w:rsid w:val="6FE0D975"/>
    <w:rsid w:val="73AB808E"/>
    <w:rsid w:val="76DF4804"/>
    <w:rsid w:val="76DFCBEB"/>
    <w:rsid w:val="77EF2864"/>
    <w:rsid w:val="78EEF8B5"/>
    <w:rsid w:val="7AFBC797"/>
    <w:rsid w:val="7B774AD8"/>
    <w:rsid w:val="7BE7257E"/>
    <w:rsid w:val="7E9F45DE"/>
    <w:rsid w:val="7EFFB887"/>
    <w:rsid w:val="7F7D6E91"/>
    <w:rsid w:val="7F7F28EA"/>
    <w:rsid w:val="7F7FD42F"/>
    <w:rsid w:val="7FBD1787"/>
    <w:rsid w:val="7FDF04F1"/>
    <w:rsid w:val="7FEF3B0D"/>
    <w:rsid w:val="7FF1AF5E"/>
    <w:rsid w:val="7FF33E56"/>
    <w:rsid w:val="7FFFDFA1"/>
    <w:rsid w:val="8F520794"/>
    <w:rsid w:val="96FAD1B8"/>
    <w:rsid w:val="97FFDE94"/>
    <w:rsid w:val="AB8E3AB0"/>
    <w:rsid w:val="ADE97CD1"/>
    <w:rsid w:val="AFDE1AAF"/>
    <w:rsid w:val="AFE2CEFE"/>
    <w:rsid w:val="AFF31F59"/>
    <w:rsid w:val="AFFFC6ED"/>
    <w:rsid w:val="B5FF1412"/>
    <w:rsid w:val="B7916474"/>
    <w:rsid w:val="BBFE0A34"/>
    <w:rsid w:val="BD7FB1BA"/>
    <w:rsid w:val="BFA7CDE0"/>
    <w:rsid w:val="BFBE921D"/>
    <w:rsid w:val="BFFD7FDD"/>
    <w:rsid w:val="C6F3B801"/>
    <w:rsid w:val="CEAF6016"/>
    <w:rsid w:val="CFDD48D0"/>
    <w:rsid w:val="DBEF9121"/>
    <w:rsid w:val="DBF2B315"/>
    <w:rsid w:val="DFBBEB8F"/>
    <w:rsid w:val="DFF5BD09"/>
    <w:rsid w:val="DFFF75C4"/>
    <w:rsid w:val="E3FED5B0"/>
    <w:rsid w:val="E6B4311D"/>
    <w:rsid w:val="E775D7D8"/>
    <w:rsid w:val="E8EB850C"/>
    <w:rsid w:val="EA4F3EBD"/>
    <w:rsid w:val="EB6F259B"/>
    <w:rsid w:val="EBD73202"/>
    <w:rsid w:val="ED7F055D"/>
    <w:rsid w:val="EDCB325B"/>
    <w:rsid w:val="EE7F3ECC"/>
    <w:rsid w:val="EEFF084D"/>
    <w:rsid w:val="EF5F470C"/>
    <w:rsid w:val="F3E7B661"/>
    <w:rsid w:val="F4BD3549"/>
    <w:rsid w:val="F4DDAB07"/>
    <w:rsid w:val="F5FEE9BE"/>
    <w:rsid w:val="F76F2BC1"/>
    <w:rsid w:val="F7924AAF"/>
    <w:rsid w:val="F7FB90CB"/>
    <w:rsid w:val="F7FCF0DD"/>
    <w:rsid w:val="F9EBE4CF"/>
    <w:rsid w:val="F9EFE7E2"/>
    <w:rsid w:val="F9FD8C10"/>
    <w:rsid w:val="FBE751A5"/>
    <w:rsid w:val="FD9D2BA2"/>
    <w:rsid w:val="FDBBC1FB"/>
    <w:rsid w:val="FDFE04D8"/>
    <w:rsid w:val="FE5D6F77"/>
    <w:rsid w:val="FE6115EF"/>
    <w:rsid w:val="FEF0F09A"/>
    <w:rsid w:val="FFB68612"/>
    <w:rsid w:val="FFB7D1E4"/>
    <w:rsid w:val="FFF7F12B"/>
    <w:rsid w:val="FFFB0F62"/>
    <w:rsid w:val="FFFC361B"/>
    <w:rsid w:val="FFFF4240"/>
    <w:rsid w:val="FFFFEF5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20" w:semiHidden="0" w:name="Emphasis" w:locked="1"/>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28"/>
    <w:qFormat/>
    <w:uiPriority w:val="9"/>
    <w:pPr>
      <w:keepNext/>
      <w:keepLines/>
      <w:pBdr>
        <w:top w:val="none" w:color="FFFFFF" w:sz="0" w:space="31"/>
        <w:left w:val="none" w:color="FFFFFF" w:sz="0" w:space="31"/>
        <w:bottom w:val="none" w:color="FFFFFF" w:sz="0" w:space="31"/>
        <w:right w:val="none" w:color="FFFFFF" w:sz="0" w:space="31"/>
      </w:pBdr>
      <w:spacing w:beforeLines="10" w:afterLines="10" w:line="580" w:lineRule="exact"/>
      <w:ind w:firstLine="200" w:firstLineChars="200"/>
      <w:outlineLvl w:val="0"/>
    </w:pPr>
    <w:rPr>
      <w:rFonts w:ascii="Calibri" w:hAnsi="Calibri" w:eastAsia="黑体" w:cs="Calibri"/>
      <w:color w:val="000000"/>
      <w:kern w:val="44"/>
      <w:u w:color="000000"/>
    </w:rPr>
  </w:style>
  <w:style w:type="paragraph" w:styleId="3">
    <w:name w:val="heading 2"/>
    <w:basedOn w:val="1"/>
    <w:next w:val="1"/>
    <w:link w:val="29"/>
    <w:qFormat/>
    <w:locked/>
    <w:uiPriority w:val="0"/>
    <w:pPr>
      <w:keepNext/>
      <w:keepLines/>
      <w:spacing w:before="260" w:after="260" w:line="416" w:lineRule="auto"/>
      <w:outlineLvl w:val="1"/>
    </w:pPr>
    <w:rPr>
      <w:rFonts w:ascii="Arial" w:hAnsi="Arial" w:eastAsia="黑体"/>
      <w:b/>
      <w:bCs/>
    </w:rPr>
  </w:style>
  <w:style w:type="paragraph" w:styleId="4">
    <w:name w:val="heading 3"/>
    <w:basedOn w:val="1"/>
    <w:next w:val="1"/>
    <w:link w:val="30"/>
    <w:semiHidden/>
    <w:unhideWhenUsed/>
    <w:qFormat/>
    <w:locked/>
    <w:uiPriority w:val="0"/>
    <w:pPr>
      <w:keepNext/>
      <w:keepLines/>
      <w:spacing w:before="260" w:after="260" w:line="416" w:lineRule="auto"/>
      <w:outlineLvl w:val="2"/>
    </w:pPr>
    <w:rPr>
      <w:b/>
      <w:bCs/>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9"/>
    <w:qFormat/>
    <w:uiPriority w:val="0"/>
    <w:pPr>
      <w:jc w:val="left"/>
    </w:pPr>
    <w:rPr>
      <w:rFonts w:eastAsia="宋体"/>
      <w:sz w:val="21"/>
      <w:szCs w:val="21"/>
    </w:rPr>
  </w:style>
  <w:style w:type="paragraph" w:styleId="6">
    <w:name w:val="Body Text"/>
    <w:basedOn w:val="1"/>
    <w:link w:val="37"/>
    <w:qFormat/>
    <w:uiPriority w:val="0"/>
    <w:pPr>
      <w:spacing w:after="120"/>
    </w:pPr>
  </w:style>
  <w:style w:type="paragraph" w:styleId="7">
    <w:name w:val="Body Text Indent"/>
    <w:basedOn w:val="1"/>
    <w:link w:val="90"/>
    <w:unhideWhenUsed/>
    <w:qFormat/>
    <w:uiPriority w:val="99"/>
    <w:pPr>
      <w:spacing w:after="120"/>
      <w:ind w:left="420" w:leftChars="200"/>
    </w:pPr>
  </w:style>
  <w:style w:type="paragraph" w:styleId="8">
    <w:name w:val="Plain Text"/>
    <w:basedOn w:val="1"/>
    <w:link w:val="91"/>
    <w:unhideWhenUsed/>
    <w:qFormat/>
    <w:uiPriority w:val="0"/>
    <w:rPr>
      <w:rFonts w:ascii="宋体" w:hAnsi="Courier New" w:eastAsia="宋体" w:cs="宋体"/>
      <w:sz w:val="21"/>
      <w:szCs w:val="21"/>
    </w:rPr>
  </w:style>
  <w:style w:type="paragraph" w:styleId="9">
    <w:name w:val="Date"/>
    <w:basedOn w:val="1"/>
    <w:next w:val="1"/>
    <w:link w:val="74"/>
    <w:unhideWhenUsed/>
    <w:qFormat/>
    <w:uiPriority w:val="0"/>
    <w:pPr>
      <w:ind w:left="100" w:leftChars="2500"/>
    </w:pPr>
    <w:rPr>
      <w:rFonts w:eastAsia="宋体"/>
      <w:sz w:val="21"/>
      <w:szCs w:val="24"/>
    </w:rPr>
  </w:style>
  <w:style w:type="paragraph" w:styleId="10">
    <w:name w:val="Balloon Text"/>
    <w:basedOn w:val="1"/>
    <w:link w:val="34"/>
    <w:qFormat/>
    <w:uiPriority w:val="99"/>
    <w:rPr>
      <w:sz w:val="18"/>
      <w:szCs w:val="18"/>
    </w:rPr>
  </w:style>
  <w:style w:type="paragraph" w:styleId="11">
    <w:name w:val="footer"/>
    <w:basedOn w:val="1"/>
    <w:link w:val="31"/>
    <w:qFormat/>
    <w:uiPriority w:val="99"/>
    <w:pPr>
      <w:tabs>
        <w:tab w:val="center" w:pos="4153"/>
        <w:tab w:val="right" w:pos="8306"/>
      </w:tabs>
      <w:snapToGrid w:val="0"/>
      <w:jc w:val="left"/>
    </w:pPr>
    <w:rPr>
      <w:sz w:val="18"/>
      <w:szCs w:val="18"/>
    </w:rPr>
  </w:style>
  <w:style w:type="paragraph" w:styleId="12">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99"/>
    <w:pPr>
      <w:pBdr>
        <w:top w:val="none" w:color="FFFFFF" w:sz="0" w:space="31"/>
        <w:left w:val="none" w:color="FFFFFF" w:sz="0" w:space="31"/>
        <w:bottom w:val="none" w:color="FFFFFF" w:sz="0" w:space="31"/>
        <w:right w:val="none" w:color="FFFFFF" w:sz="0" w:space="31"/>
      </w:pBdr>
    </w:pPr>
    <w:rPr>
      <w:rFonts w:ascii="Calibri" w:hAnsi="Calibri" w:eastAsia="宋体" w:cs="Calibri"/>
      <w:color w:val="000000"/>
      <w:sz w:val="21"/>
      <w:szCs w:val="21"/>
      <w:u w:color="000000"/>
    </w:rPr>
  </w:style>
  <w:style w:type="paragraph" w:styleId="14">
    <w:name w:val="toc 2"/>
    <w:basedOn w:val="1"/>
    <w:next w:val="1"/>
    <w:qFormat/>
    <w:locked/>
    <w:uiPriority w:val="0"/>
    <w:pPr>
      <w:tabs>
        <w:tab w:val="right" w:pos="8306"/>
      </w:tabs>
      <w:spacing w:line="400" w:lineRule="exact"/>
      <w:jc w:val="center"/>
    </w:pPr>
    <w:rPr>
      <w:rFonts w:ascii="楷体_GB2312" w:hAnsi="楷体_GB2312" w:eastAsia="楷体_GB2312" w:cs="楷体_GB2312"/>
      <w:sz w:val="28"/>
      <w:szCs w:val="28"/>
    </w:rPr>
  </w:style>
  <w:style w:type="paragraph" w:styleId="15">
    <w:name w:val="HTML Preformatted"/>
    <w:basedOn w:val="1"/>
    <w:link w:val="76"/>
    <w:semiHidden/>
    <w:unhideWhenUsed/>
    <w:qFormat/>
    <w:uiPriority w:val="99"/>
    <w:rPr>
      <w:rFonts w:ascii="Courier New" w:hAnsi="Courier New" w:eastAsia="宋体"/>
      <w:sz w:val="20"/>
      <w:szCs w:val="20"/>
      <w:lang w:val="zh-CN"/>
    </w:rPr>
  </w:style>
  <w:style w:type="paragraph" w:styleId="16">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styleId="17">
    <w:name w:val="Title"/>
    <w:basedOn w:val="1"/>
    <w:next w:val="1"/>
    <w:link w:val="36"/>
    <w:qFormat/>
    <w:uiPriority w:val="99"/>
    <w:pPr>
      <w:spacing w:before="240" w:after="60"/>
      <w:jc w:val="center"/>
      <w:outlineLvl w:val="0"/>
    </w:pPr>
    <w:rPr>
      <w:rFonts w:ascii="Cambria" w:hAnsi="Cambria" w:eastAsia="宋体" w:cs="Cambria"/>
      <w:b/>
      <w:bCs/>
    </w:rPr>
  </w:style>
  <w:style w:type="paragraph" w:styleId="18">
    <w:name w:val="annotation subject"/>
    <w:basedOn w:val="5"/>
    <w:next w:val="5"/>
    <w:link w:val="78"/>
    <w:qFormat/>
    <w:uiPriority w:val="0"/>
    <w:rPr>
      <w:b/>
      <w:bCs/>
      <w:szCs w:val="24"/>
      <w:lang w:val="zh-CN"/>
    </w:rPr>
  </w:style>
  <w:style w:type="paragraph" w:styleId="19">
    <w:name w:val="Body Text First Indent"/>
    <w:basedOn w:val="6"/>
    <w:link w:val="38"/>
    <w:qFormat/>
    <w:uiPriority w:val="99"/>
    <w:pPr>
      <w:ind w:firstLine="420" w:firstLineChars="100"/>
    </w:pPr>
    <w:rPr>
      <w:rFonts w:eastAsia="宋体"/>
      <w:sz w:val="21"/>
      <w:szCs w:val="21"/>
    </w:rPr>
  </w:style>
  <w:style w:type="table" w:styleId="21">
    <w:name w:val="Table Grid"/>
    <w:basedOn w:val="20"/>
    <w:qFormat/>
    <w:uiPriority w:val="3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page number"/>
    <w:basedOn w:val="22"/>
    <w:qFormat/>
    <w:uiPriority w:val="99"/>
  </w:style>
  <w:style w:type="character" w:styleId="24">
    <w:name w:val="FollowedHyperlink"/>
    <w:semiHidden/>
    <w:unhideWhenUsed/>
    <w:qFormat/>
    <w:uiPriority w:val="99"/>
    <w:rPr>
      <w:color w:val="800080"/>
      <w:u w:val="single"/>
    </w:rPr>
  </w:style>
  <w:style w:type="character" w:styleId="25">
    <w:name w:val="Emphasis"/>
    <w:basedOn w:val="22"/>
    <w:qFormat/>
    <w:locked/>
    <w:uiPriority w:val="20"/>
    <w:rPr>
      <w:i/>
      <w:iCs/>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字符"/>
    <w:link w:val="2"/>
    <w:qFormat/>
    <w:locked/>
    <w:uiPriority w:val="9"/>
    <w:rPr>
      <w:rFonts w:ascii="Calibri" w:hAnsi="Calibri" w:eastAsia="黑体" w:cs="Calibri"/>
      <w:color w:val="000000"/>
      <w:kern w:val="44"/>
      <w:sz w:val="44"/>
      <w:szCs w:val="44"/>
      <w:u w:color="000000"/>
    </w:rPr>
  </w:style>
  <w:style w:type="character" w:customStyle="1" w:styleId="29">
    <w:name w:val="标题 2 字符"/>
    <w:link w:val="3"/>
    <w:qFormat/>
    <w:uiPriority w:val="0"/>
    <w:rPr>
      <w:rFonts w:ascii="Arial" w:hAnsi="Arial" w:eastAsia="黑体"/>
      <w:b/>
      <w:bCs/>
      <w:kern w:val="2"/>
      <w:sz w:val="32"/>
      <w:szCs w:val="32"/>
    </w:rPr>
  </w:style>
  <w:style w:type="character" w:customStyle="1" w:styleId="30">
    <w:name w:val="标题 3 字符"/>
    <w:link w:val="4"/>
    <w:semiHidden/>
    <w:qFormat/>
    <w:uiPriority w:val="0"/>
    <w:rPr>
      <w:rFonts w:ascii="Times New Roman" w:hAnsi="Times New Roman" w:eastAsia="仿宋_GB2312"/>
      <w:b/>
      <w:bCs/>
      <w:kern w:val="2"/>
      <w:sz w:val="32"/>
      <w:szCs w:val="32"/>
    </w:rPr>
  </w:style>
  <w:style w:type="character" w:customStyle="1" w:styleId="31">
    <w:name w:val="页脚 字符"/>
    <w:link w:val="11"/>
    <w:qFormat/>
    <w:locked/>
    <w:uiPriority w:val="99"/>
    <w:rPr>
      <w:rFonts w:ascii="Times New Roman" w:hAnsi="Times New Roman" w:eastAsia="仿宋_GB2312" w:cs="Times New Roman"/>
      <w:sz w:val="18"/>
      <w:szCs w:val="18"/>
    </w:rPr>
  </w:style>
  <w:style w:type="character" w:customStyle="1" w:styleId="32">
    <w:name w:val="页眉 字符"/>
    <w:link w:val="12"/>
    <w:qFormat/>
    <w:locked/>
    <w:uiPriority w:val="99"/>
    <w:rPr>
      <w:rFonts w:ascii="Times New Roman" w:hAnsi="Times New Roman" w:eastAsia="仿宋_GB2312" w:cs="Times New Roman"/>
      <w:sz w:val="18"/>
      <w:szCs w:val="18"/>
    </w:rPr>
  </w:style>
  <w:style w:type="paragraph" w:customStyle="1" w:styleId="33">
    <w:name w:val="一、正文一级小标题"/>
    <w:basedOn w:val="1"/>
    <w:next w:val="1"/>
    <w:qFormat/>
    <w:uiPriority w:val="99"/>
    <w:pPr>
      <w:adjustRightInd w:val="0"/>
      <w:snapToGrid w:val="0"/>
      <w:spacing w:line="560" w:lineRule="exact"/>
      <w:ind w:firstLine="640" w:firstLineChars="200"/>
      <w:textAlignment w:val="baseline"/>
      <w:outlineLvl w:val="0"/>
    </w:pPr>
    <w:rPr>
      <w:rFonts w:ascii="黑体" w:eastAsia="黑体" w:cs="黑体"/>
    </w:rPr>
  </w:style>
  <w:style w:type="character" w:customStyle="1" w:styleId="34">
    <w:name w:val="批注框文本 字符"/>
    <w:link w:val="10"/>
    <w:qFormat/>
    <w:locked/>
    <w:uiPriority w:val="99"/>
    <w:rPr>
      <w:rFonts w:ascii="Times New Roman" w:hAnsi="Times New Roman" w:eastAsia="仿宋_GB2312" w:cs="Times New Roman"/>
      <w:sz w:val="18"/>
      <w:szCs w:val="18"/>
    </w:rPr>
  </w:style>
  <w:style w:type="paragraph" w:styleId="35">
    <w:name w:val="List Paragraph"/>
    <w:basedOn w:val="1"/>
    <w:qFormat/>
    <w:uiPriority w:val="34"/>
    <w:pPr>
      <w:ind w:firstLine="420" w:firstLineChars="200"/>
    </w:pPr>
    <w:rPr>
      <w:rFonts w:ascii="Calibri" w:hAnsi="Calibri" w:eastAsia="宋体" w:cs="Calibri"/>
      <w:sz w:val="21"/>
      <w:szCs w:val="21"/>
    </w:rPr>
  </w:style>
  <w:style w:type="character" w:customStyle="1" w:styleId="36">
    <w:name w:val="标题 字符"/>
    <w:link w:val="17"/>
    <w:qFormat/>
    <w:locked/>
    <w:uiPriority w:val="99"/>
    <w:rPr>
      <w:rFonts w:ascii="Cambria" w:hAnsi="Cambria" w:eastAsia="宋体" w:cs="Cambria"/>
      <w:b/>
      <w:bCs/>
      <w:sz w:val="32"/>
      <w:szCs w:val="32"/>
    </w:rPr>
  </w:style>
  <w:style w:type="character" w:customStyle="1" w:styleId="37">
    <w:name w:val="正文文本 字符"/>
    <w:link w:val="6"/>
    <w:qFormat/>
    <w:locked/>
    <w:uiPriority w:val="0"/>
    <w:rPr>
      <w:rFonts w:ascii="Times New Roman" w:hAnsi="Times New Roman" w:eastAsia="仿宋_GB2312" w:cs="Times New Roman"/>
      <w:sz w:val="24"/>
      <w:szCs w:val="24"/>
    </w:rPr>
  </w:style>
  <w:style w:type="character" w:customStyle="1" w:styleId="38">
    <w:name w:val="正文首行缩进 字符"/>
    <w:link w:val="19"/>
    <w:qFormat/>
    <w:locked/>
    <w:uiPriority w:val="99"/>
    <w:rPr>
      <w:rFonts w:ascii="Times New Roman" w:hAnsi="Times New Roman" w:eastAsia="宋体" w:cs="Times New Roman"/>
      <w:sz w:val="24"/>
      <w:szCs w:val="24"/>
    </w:rPr>
  </w:style>
  <w:style w:type="character" w:customStyle="1" w:styleId="39">
    <w:name w:val="批注文字 字符"/>
    <w:link w:val="5"/>
    <w:qFormat/>
    <w:locked/>
    <w:uiPriority w:val="0"/>
    <w:rPr>
      <w:rFonts w:ascii="Times New Roman" w:hAnsi="Times New Roman" w:eastAsia="宋体" w:cs="Times New Roman"/>
      <w:sz w:val="24"/>
      <w:szCs w:val="24"/>
    </w:rPr>
  </w:style>
  <w:style w:type="table" w:customStyle="1" w:styleId="40">
    <w:name w:val="Table Normal1"/>
    <w:qFormat/>
    <w:uiPriority w:val="99"/>
    <w:pPr>
      <w:pBdr>
        <w:top w:val="none" w:color="FFFFFF" w:sz="0" w:space="31"/>
        <w:left w:val="none" w:color="FFFFFF" w:sz="0" w:space="31"/>
        <w:bottom w:val="none" w:color="FFFFFF" w:sz="0" w:space="31"/>
        <w:right w:val="none" w:color="FFFFFF" w:sz="0" w:space="31"/>
      </w:pBdr>
    </w:pPr>
    <w:rPr>
      <w:rFonts w:ascii="Times New Roman" w:hAnsi="Times New Roman"/>
    </w:rPr>
    <w:tblPr>
      <w:tblCellMar>
        <w:top w:w="0" w:type="dxa"/>
        <w:left w:w="0" w:type="dxa"/>
        <w:bottom w:w="0" w:type="dxa"/>
        <w:right w:w="0" w:type="dxa"/>
      </w:tblCellMar>
    </w:tblPr>
  </w:style>
  <w:style w:type="paragraph" w:customStyle="1" w:styleId="41">
    <w:name w:val="页眉与页脚"/>
    <w:qFormat/>
    <w:uiPriority w:val="99"/>
    <w:pPr>
      <w:pBdr>
        <w:top w:val="none" w:color="FFFFFF" w:sz="0" w:space="31"/>
        <w:left w:val="none" w:color="FFFFFF" w:sz="0" w:space="31"/>
        <w:bottom w:val="none" w:color="FFFFFF" w:sz="0" w:space="31"/>
        <w:right w:val="none" w:color="FFFFFF" w:sz="0" w:space="31"/>
      </w:pBdr>
      <w:tabs>
        <w:tab w:val="right" w:pos="9020"/>
      </w:tabs>
    </w:pPr>
    <w:rPr>
      <w:rFonts w:ascii="Helvetica" w:hAnsi="Helvetica" w:eastAsia="宋体" w:cs="Helvetica"/>
      <w:color w:val="000000"/>
      <w:sz w:val="24"/>
      <w:szCs w:val="24"/>
      <w:lang w:val="en-US" w:eastAsia="zh-CN" w:bidi="ar-SA"/>
    </w:rPr>
  </w:style>
  <w:style w:type="paragraph" w:customStyle="1" w:styleId="42">
    <w:name w:val="正文1"/>
    <w:qFormat/>
    <w:uiPriority w:val="99"/>
    <w:pPr>
      <w:autoSpaceDE w:val="0"/>
      <w:autoSpaceDN w:val="0"/>
      <w:adjustRightInd w:val="0"/>
      <w:spacing w:after="160" w:line="259" w:lineRule="auto"/>
    </w:pPr>
    <w:rPr>
      <w:rFonts w:ascii="Times New Roman" w:hAnsi="Helvetica" w:eastAsia="宋体" w:cs="Times New Roman"/>
      <w:color w:val="000000"/>
      <w:sz w:val="24"/>
      <w:szCs w:val="24"/>
      <w:lang w:val="en-US" w:eastAsia="ar-SA" w:bidi="ar-SA"/>
    </w:rPr>
  </w:style>
  <w:style w:type="paragraph" w:customStyle="1" w:styleId="43">
    <w:name w:val="列出段落1"/>
    <w:basedOn w:val="1"/>
    <w:qFormat/>
    <w:uiPriority w:val="0"/>
    <w:pPr>
      <w:ind w:firstLine="420" w:firstLineChars="200"/>
    </w:pPr>
    <w:rPr>
      <w:rFonts w:ascii="Calibri" w:hAnsi="Calibri" w:eastAsia="宋体" w:cs="Calibri"/>
      <w:sz w:val="21"/>
      <w:szCs w:val="21"/>
    </w:rPr>
  </w:style>
  <w:style w:type="character" w:customStyle="1" w:styleId="44">
    <w:name w:val="正文文本 Char1"/>
    <w:basedOn w:val="22"/>
    <w:semiHidden/>
    <w:qFormat/>
    <w:uiPriority w:val="99"/>
  </w:style>
  <w:style w:type="paragraph" w:customStyle="1" w:styleId="4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6">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7">
    <w:name w:val="xl63"/>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48">
    <w:name w:val="xl64"/>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49">
    <w:name w:val="xl65"/>
    <w:basedOn w:val="1"/>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50">
    <w:name w:val="xl66"/>
    <w:basedOn w:val="1"/>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5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8"/>
      <w:szCs w:val="28"/>
    </w:rPr>
  </w:style>
  <w:style w:type="paragraph" w:customStyle="1" w:styleId="5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8"/>
      <w:szCs w:val="28"/>
    </w:rPr>
  </w:style>
  <w:style w:type="paragraph" w:customStyle="1" w:styleId="5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5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5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56">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57">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58">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5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6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61">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62">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63">
    <w:name w:val="xl79"/>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6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6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6">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6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68">
    <w:name w:val="xl8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69">
    <w:name w:val="xl85"/>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70">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71">
    <w:name w:val="xl87"/>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b/>
      <w:bCs/>
      <w:color w:val="000000"/>
      <w:kern w:val="0"/>
      <w:sz w:val="36"/>
      <w:szCs w:val="36"/>
    </w:rPr>
  </w:style>
  <w:style w:type="paragraph" w:customStyle="1" w:styleId="72">
    <w:name w:val="xl88"/>
    <w:basedOn w:val="1"/>
    <w:qFormat/>
    <w:uiPriority w:val="0"/>
    <w:pPr>
      <w:widowControl/>
      <w:pBdr>
        <w:bottom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73">
    <w:name w:val="Table Paragraph"/>
    <w:basedOn w:val="1"/>
    <w:qFormat/>
    <w:uiPriority w:val="1"/>
    <w:pPr>
      <w:jc w:val="left"/>
    </w:pPr>
    <w:rPr>
      <w:rFonts w:ascii="Calibri" w:hAnsi="Calibri" w:eastAsia="Calibri"/>
      <w:kern w:val="0"/>
      <w:sz w:val="22"/>
      <w:szCs w:val="22"/>
      <w:lang w:eastAsia="en-US"/>
    </w:rPr>
  </w:style>
  <w:style w:type="character" w:customStyle="1" w:styleId="74">
    <w:name w:val="日期 字符"/>
    <w:link w:val="9"/>
    <w:qFormat/>
    <w:uiPriority w:val="0"/>
    <w:rPr>
      <w:rFonts w:ascii="Times New Roman" w:hAnsi="Times New Roman"/>
      <w:kern w:val="2"/>
      <w:sz w:val="21"/>
      <w:szCs w:val="24"/>
    </w:rPr>
  </w:style>
  <w:style w:type="paragraph" w:styleId="7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76">
    <w:name w:val="HTML 预设格式 字符"/>
    <w:link w:val="15"/>
    <w:semiHidden/>
    <w:qFormat/>
    <w:uiPriority w:val="99"/>
    <w:rPr>
      <w:rFonts w:ascii="Courier New" w:hAnsi="Courier New"/>
      <w:kern w:val="2"/>
      <w:lang w:val="zh-CN" w:eastAsia="zh-CN"/>
    </w:rPr>
  </w:style>
  <w:style w:type="paragraph" w:customStyle="1" w:styleId="77">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character" w:customStyle="1" w:styleId="78">
    <w:name w:val="批注主题 字符"/>
    <w:link w:val="18"/>
    <w:qFormat/>
    <w:uiPriority w:val="0"/>
    <w:rPr>
      <w:rFonts w:ascii="Times New Roman" w:hAnsi="Times New Roman" w:eastAsia="宋体" w:cs="Times New Roman"/>
      <w:b/>
      <w:bCs/>
      <w:kern w:val="2"/>
      <w:sz w:val="21"/>
      <w:szCs w:val="24"/>
      <w:lang w:val="zh-CN" w:eastAsia="zh-CN"/>
    </w:rPr>
  </w:style>
  <w:style w:type="paragraph" w:customStyle="1" w:styleId="79">
    <w:name w:val="Char Char"/>
    <w:basedOn w:val="1"/>
    <w:qFormat/>
    <w:uiPriority w:val="0"/>
    <w:rPr>
      <w:rFonts w:ascii="仿宋_GB2312"/>
      <w:b/>
    </w:rPr>
  </w:style>
  <w:style w:type="table" w:customStyle="1" w:styleId="80">
    <w:name w:val="网格型1"/>
    <w:basedOn w:val="20"/>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1">
    <w:name w:val="会议讨论材料标题"/>
    <w:basedOn w:val="1"/>
    <w:link w:val="82"/>
    <w:qFormat/>
    <w:uiPriority w:val="0"/>
    <w:pPr>
      <w:spacing w:line="400" w:lineRule="exact"/>
      <w:jc w:val="center"/>
    </w:pPr>
    <w:rPr>
      <w:rFonts w:ascii="方正小标宋简体" w:hAnsi="黑体" w:eastAsia="方正小标宋简体"/>
    </w:rPr>
  </w:style>
  <w:style w:type="character" w:customStyle="1" w:styleId="82">
    <w:name w:val="会议讨论材料标题 Char"/>
    <w:basedOn w:val="22"/>
    <w:link w:val="81"/>
    <w:qFormat/>
    <w:uiPriority w:val="0"/>
    <w:rPr>
      <w:rFonts w:ascii="方正小标宋简体" w:hAnsi="黑体" w:eastAsia="方正小标宋简体"/>
      <w:kern w:val="2"/>
      <w:sz w:val="32"/>
      <w:szCs w:val="32"/>
    </w:rPr>
  </w:style>
  <w:style w:type="paragraph" w:customStyle="1" w:styleId="83">
    <w:name w:val="会议讨论材料一级标题"/>
    <w:basedOn w:val="1"/>
    <w:link w:val="84"/>
    <w:qFormat/>
    <w:uiPriority w:val="0"/>
    <w:pPr>
      <w:adjustRightInd w:val="0"/>
      <w:snapToGrid w:val="0"/>
      <w:spacing w:line="400" w:lineRule="exact"/>
      <w:ind w:firstLine="560" w:firstLineChars="200"/>
    </w:pPr>
    <w:rPr>
      <w:rFonts w:ascii="黑体" w:hAnsi="黑体" w:eastAsia="黑体"/>
      <w:sz w:val="28"/>
    </w:rPr>
  </w:style>
  <w:style w:type="character" w:customStyle="1" w:styleId="84">
    <w:name w:val="会议讨论材料一级标题 Char"/>
    <w:basedOn w:val="22"/>
    <w:link w:val="83"/>
    <w:qFormat/>
    <w:uiPriority w:val="0"/>
    <w:rPr>
      <w:rFonts w:ascii="黑体" w:hAnsi="黑体" w:eastAsia="黑体"/>
      <w:kern w:val="2"/>
      <w:sz w:val="28"/>
      <w:szCs w:val="32"/>
    </w:rPr>
  </w:style>
  <w:style w:type="paragraph" w:customStyle="1" w:styleId="85">
    <w:name w:val="会材二级标题"/>
    <w:basedOn w:val="1"/>
    <w:link w:val="86"/>
    <w:qFormat/>
    <w:uiPriority w:val="0"/>
    <w:pPr>
      <w:spacing w:line="400" w:lineRule="exact"/>
      <w:ind w:firstLine="560" w:firstLineChars="200"/>
    </w:pPr>
    <w:rPr>
      <w:rFonts w:ascii="楷体_GB2312" w:hAnsi="楷体" w:eastAsia="楷体_GB2312" w:cs="仿宋_GB2312"/>
      <w:color w:val="000000"/>
      <w:sz w:val="28"/>
      <w:szCs w:val="28"/>
    </w:rPr>
  </w:style>
  <w:style w:type="character" w:customStyle="1" w:styleId="86">
    <w:name w:val="会材二级标题 Char"/>
    <w:basedOn w:val="22"/>
    <w:link w:val="85"/>
    <w:qFormat/>
    <w:uiPriority w:val="0"/>
    <w:rPr>
      <w:rFonts w:ascii="楷体_GB2312" w:hAnsi="楷体" w:eastAsia="楷体_GB2312" w:cs="仿宋_GB2312"/>
      <w:color w:val="000000"/>
      <w:kern w:val="2"/>
      <w:sz w:val="28"/>
      <w:szCs w:val="28"/>
    </w:rPr>
  </w:style>
  <w:style w:type="paragraph" w:customStyle="1" w:styleId="87">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88">
    <w:name w:val="NormalCharacter"/>
    <w:qFormat/>
    <w:uiPriority w:val="0"/>
    <w:rPr>
      <w:kern w:val="2"/>
      <w:sz w:val="21"/>
      <w:szCs w:val="22"/>
      <w:lang w:val="en-US" w:eastAsia="zh-CN" w:bidi="ar-SA"/>
    </w:rPr>
  </w:style>
  <w:style w:type="paragraph" w:customStyle="1" w:styleId="89">
    <w:name w:val="Default"/>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character" w:customStyle="1" w:styleId="90">
    <w:name w:val="正文文本缩进 字符"/>
    <w:basedOn w:val="22"/>
    <w:link w:val="7"/>
    <w:qFormat/>
    <w:uiPriority w:val="99"/>
    <w:rPr>
      <w:rFonts w:ascii="Times New Roman" w:hAnsi="Times New Roman" w:eastAsia="仿宋_GB2312"/>
      <w:kern w:val="2"/>
      <w:sz w:val="32"/>
      <w:szCs w:val="32"/>
    </w:rPr>
  </w:style>
  <w:style w:type="character" w:customStyle="1" w:styleId="91">
    <w:name w:val="纯文本 字符"/>
    <w:basedOn w:val="22"/>
    <w:link w:val="8"/>
    <w:qFormat/>
    <w:uiPriority w:val="0"/>
    <w:rPr>
      <w:rFonts w:ascii="宋体" w:hAnsi="Courier New" w:cs="宋体"/>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789</Words>
  <Characters>4503</Characters>
  <Lines>37</Lines>
  <Paragraphs>10</Paragraphs>
  <TotalTime>44</TotalTime>
  <ScaleCrop>false</ScaleCrop>
  <LinksUpToDate>false</LinksUpToDate>
  <CharactersWithSpaces>5282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2021-09-24T04:46:00Z</dcterms:created>
  <dc:creator>陈晓莉</dc:creator>
  <cp:lastModifiedBy>uos</cp:lastModifiedBy>
  <cp:lastPrinted>2021-09-27T19:10:00Z</cp:lastPrinted>
  <dcterms:modified xsi:type="dcterms:W3CDTF">2021-10-11T08:58:12Z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D75CE91C569249599681B42628FE6AFB</vt:lpwstr>
  </property>
</Properties>
</file>