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平谷区“十五五”时期构建现代化产业体系发展新质生产力专项规划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为加快建设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具有</w:t>
      </w:r>
      <w:r>
        <w:rPr>
          <w:rFonts w:hint="eastAsia" w:ascii="仿宋_GB2312" w:hAnsi="仿宋_GB2312" w:eastAsia="仿宋_GB2312" w:cs="仿宋_GB2312"/>
          <w:sz w:val="32"/>
          <w:szCs w:val="32"/>
        </w:rPr>
        <w:t>平谷特色的现代化产业体系，依据《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北京市平谷区</w:t>
      </w:r>
      <w:r>
        <w:rPr>
          <w:rFonts w:hint="eastAsia" w:ascii="仿宋_GB2312" w:hAnsi="仿宋_GB2312" w:eastAsia="仿宋_GB2312" w:cs="仿宋_GB2312"/>
          <w:sz w:val="32"/>
          <w:szCs w:val="32"/>
        </w:rPr>
        <w:t>国民经济和社会发展第十五个五年规划纲要》《北京市“十五五”时期现代化产业体系发展规划》等，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编制本规划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一、总体目标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坚持以习近平新时代中国特色社会主义思想为指导，全面贯彻党的二十大和二十届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历次</w:t>
      </w:r>
      <w:r>
        <w:rPr>
          <w:rFonts w:hint="eastAsia" w:ascii="仿宋_GB2312" w:hAnsi="仿宋_GB2312" w:eastAsia="仿宋_GB2312" w:cs="仿宋_GB2312"/>
          <w:sz w:val="32"/>
          <w:szCs w:val="32"/>
        </w:rPr>
        <w:t>全会精神，深入落实习近平总书记对北京重要讲话精神，完整、准确、全面贯彻新发展理念，</w:t>
      </w: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t>立足北京城市战略定位</w:t>
      </w:r>
      <w:r>
        <w:rPr>
          <w:rFonts w:hint="eastAsia" w:ascii="仿宋_GB2312" w:hAnsi="仿宋_GB2312" w:eastAsia="仿宋_GB2312" w:cs="仿宋_GB2312"/>
          <w:sz w:val="32"/>
          <w:szCs w:val="32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深化落实平谷区</w:t>
      </w:r>
      <w:r>
        <w:rPr>
          <w:rFonts w:hint="eastAsia" w:ascii="仿宋_GB2312" w:hAnsi="仿宋_GB2312" w:eastAsia="仿宋_GB2312" w:cs="仿宋_GB2312"/>
          <w:sz w:val="32"/>
          <w:szCs w:val="32"/>
        </w:rPr>
        <w:t>“三区一口岸”功能定位，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以服务新时代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北京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发展为统领、以高质量发展为主题，坚持智能化、绿色化、融合化方向，推动主导产业提质升级，促进特色产业集聚发展，培育壮大未来产业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全面提升产业体系活力和效能，为北京率先基本实现社会主义现代化</w:t>
      </w:r>
      <w:r>
        <w:rPr>
          <w:rFonts w:hint="eastAsia" w:ascii="仿宋_GB2312" w:hAnsi="仿宋_GB2312" w:eastAsia="仿宋_GB2312" w:cs="仿宋_GB2312"/>
          <w:sz w:val="32"/>
          <w:szCs w:val="32"/>
        </w:rPr>
        <w:t>贡献平谷力量。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2030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年，体现平谷特色的现代化产业体系基本建成，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智能化、绿色化、融合化特征更加凸显，全要素生产率持续提高。全区规上工业总产值达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到2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0亿元，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高技术制造业产值增速</w:t>
      </w:r>
      <w:r>
        <w:rPr>
          <w:rFonts w:hint="default" w:ascii="Times New Roman" w:hAnsi="Times New Roman" w:eastAsia="仿宋_GB2312"/>
          <w:sz w:val="32"/>
          <w:szCs w:val="32"/>
          <w:highlight w:val="none"/>
        </w:rPr>
        <w:t>与全市工业增速保持同步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eastAsia="zh-CN"/>
        </w:rPr>
        <w:t>，占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规上工业总产值比重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eastAsia="zh-CN"/>
        </w:rPr>
        <w:t>达到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35%，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培育3个百亿级特色产业集群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。产业结构持续优化，先进制造业保持合理比重，现代服务业能级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稳步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提升，产业集群化水平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显著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提高。展望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2035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年，体现平谷特色的现代化产业体系更加成熟，产业发展生态更加优化，产业综合实力显著增强，推动经济总量迈上新台阶，为北京率先基本实现社会主义现代化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作出更大贡献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736"/>
        <w:gridCol w:w="4371"/>
        <w:gridCol w:w="961"/>
        <w:gridCol w:w="901"/>
        <w:gridCol w:w="8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eastAsia="zh-CN"/>
              </w:rPr>
              <w:t>专栏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1：“十五五”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时期平谷区产业发展主要指标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7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eastAsia="zh-CN"/>
              </w:rPr>
              <w:t>类别</w:t>
            </w: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eastAsia="zh-CN"/>
              </w:rPr>
              <w:t>指标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2025年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val="en-US" w:eastAsia="zh-CN"/>
              </w:rPr>
              <w:t>2030年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vertAlign w:val="baseline"/>
                <w:lang w:eastAsia="zh-CN"/>
              </w:rPr>
              <w:t>属性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0" w:hRule="atLeast"/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3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产业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vertAlign w:val="baseline"/>
                <w:lang w:eastAsia="zh-CN"/>
              </w:rPr>
              <w:t>结构</w:t>
            </w: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全区规上工业总产值（亿元）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163.40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200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yellow"/>
                <w:vertAlign w:val="baseline"/>
                <w:lang w:eastAsia="zh-CN"/>
              </w:rPr>
            </w:pP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高技术制造业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产值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占规上工业总产值比重（%）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28.97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7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yellow"/>
                <w:vertAlign w:val="baseline"/>
                <w:lang w:eastAsia="zh-CN"/>
              </w:rPr>
            </w:pP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战略性新兴产业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产值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占规上工业总产值比重（%）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31.43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数字经济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增加值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eastAsia="zh-CN"/>
              </w:rPr>
              <w:t>占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/>
              </w:rPr>
              <w:t>GDP比重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%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56.26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68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7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百亿产业集群（个）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73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yellow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eastAsia="zh-CN"/>
              </w:rPr>
              <w:t>创新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eastAsia="zh-CN"/>
              </w:rPr>
              <w:t>能力</w:t>
            </w: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yellow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累计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市级专精特新企业培育数量（家）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150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180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7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yellow"/>
                <w:vertAlign w:val="baseline"/>
                <w:lang w:eastAsia="zh-CN"/>
              </w:rPr>
            </w:pP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yellow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中试平台数量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（个）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5" w:hRule="atLeast"/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7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yellow"/>
                <w:vertAlign w:val="baseline"/>
                <w:lang w:eastAsia="zh-CN"/>
              </w:rPr>
            </w:pP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yellow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市级以上重点实验室（个）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7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yellow"/>
                <w:vertAlign w:val="baseline"/>
                <w:lang w:eastAsia="zh-CN"/>
              </w:rPr>
            </w:pP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全社会研究与试验发展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经费支出占全区生产总值比重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（%）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—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7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累计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有效发明专利拥有量（件）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1904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4000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73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yellow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eastAsia="zh-CN"/>
              </w:rPr>
              <w:t>质量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vertAlign w:val="baseline"/>
                <w:lang w:eastAsia="zh-CN"/>
              </w:rPr>
              <w:t>效益</w:t>
            </w: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yellow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累计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国家级专精特新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小巨人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企业（个）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7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市级以上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制造业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单项冠军企业（产品）（个）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73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绿色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发展</w:t>
            </w: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</w:rPr>
              <w:t>单位地区生产总值二氧化碳排放降幅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val="en-US" w:eastAsia="zh-CN"/>
              </w:rPr>
              <w:t>%</w:t>
            </w:r>
            <w:r>
              <w:rPr>
                <w:rFonts w:hint="eastAsia" w:ascii="仿宋_GB2312" w:hAnsi="仿宋_GB2312" w:eastAsia="仿宋_GB2312" w:cs="仿宋_GB2312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—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符合市级要求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预期性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7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3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非化石能源占一次能源消费比重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（%）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vertAlign w:val="baseline"/>
                <w:lang w:eastAsia="zh-CN"/>
              </w:rPr>
              <w:t>24.17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29左右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  <w:t>预期性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注：“—”表示没有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年数据。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二、加快构建“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3+6+2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”现代化产业体系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立足北京市产业体系总体部署，结合平谷区功能定位和产业基础，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推动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现代农业、物流、文旅三大主导产业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提质升级，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促进高端装备制造、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首都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共享中央厨房、直播电商、宠物经济、农医联动大健康、生产性服务业六大特色产业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发展壮大，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抢占布局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合成生物、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通用人工智能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两大未来产业赛道，筑牢实体经济根基，打造具有平谷特色的现代化产业体系。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1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提质升级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三大主导产业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引领发展现代农业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加快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传统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农业转型升级。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优化农业生产方式，发展设施农业和智慧农业，推动</w:t>
      </w:r>
      <w:r>
        <w:rPr>
          <w:rFonts w:hint="eastAsia" w:ascii="仿宋_GB2312" w:hAnsi="仿宋_GB2312" w:eastAsia="仿宋_GB2312" w:cs="仿宋_GB2312"/>
          <w:sz w:val="32"/>
          <w:szCs w:val="32"/>
        </w:rPr>
        <w:t>种养设施设备改造升级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高效智能温室等设施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推广成熟智能农机装备和技术模式。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优化种养品种</w:t>
      </w:r>
      <w:r>
        <w:rPr>
          <w:rFonts w:hint="eastAsia" w:ascii="仿宋_GB2312" w:hAnsi="仿宋_GB2312" w:eastAsia="仿宋_GB2312" w:cs="仿宋_GB2312"/>
          <w:sz w:val="32"/>
          <w:szCs w:val="32"/>
        </w:rPr>
        <w:t>结构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提高粮食、蔬菜、畜禽等优良品种覆盖率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，扩大</w:t>
      </w:r>
      <w:r>
        <w:rPr>
          <w:rFonts w:hint="eastAsia" w:ascii="仿宋_GB2312" w:hAnsi="仿宋_GB2312" w:eastAsia="仿宋_GB2312" w:cs="仿宋_GB2312"/>
          <w:sz w:val="32"/>
          <w:szCs w:val="32"/>
        </w:rPr>
        <w:t>“京”系列蛋鸡、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风味番茄</w:t>
      </w:r>
      <w:r>
        <w:rPr>
          <w:rFonts w:hint="eastAsia" w:ascii="仿宋_GB2312" w:hAnsi="仿宋_GB2312" w:eastAsia="仿宋_GB2312" w:cs="仿宋_GB2312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优质品种规模，</w:t>
      </w:r>
      <w:r>
        <w:rPr>
          <w:rFonts w:hint="eastAsia" w:ascii="仿宋_GB2312" w:hAnsi="仿宋_GB2312" w:eastAsia="仿宋_GB2312" w:cs="仿宋_GB2312"/>
          <w:sz w:val="32"/>
          <w:szCs w:val="32"/>
        </w:rPr>
        <w:t>培育具有康养等特色功能的农业产品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。延伸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产业链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推动农业生产向</w:t>
      </w:r>
      <w:r>
        <w:rPr>
          <w:rFonts w:hint="eastAsia" w:ascii="仿宋_GB2312" w:hAnsi="仿宋_GB2312" w:eastAsia="仿宋_GB2312" w:cs="仿宋_GB2312"/>
          <w:sz w:val="32"/>
          <w:szCs w:val="32"/>
        </w:rPr>
        <w:t>农产品精深加工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中央厨房、功能食品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等环节延伸，发展</w:t>
      </w:r>
      <w:r>
        <w:rPr>
          <w:rFonts w:hint="eastAsia" w:ascii="仿宋_GB2312" w:hAnsi="仿宋_GB2312" w:eastAsia="仿宋_GB2312" w:cs="仿宋_GB2312"/>
          <w:sz w:val="32"/>
          <w:szCs w:val="32"/>
        </w:rPr>
        <w:t>净菜加工、预制菜肴等食品加工产业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建设农业科技策源高地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深化农业中关村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2.0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建设，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加强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与中国农业大学等高校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院所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合作，高标准建设国家农业科技创新港，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推动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畜禽生物育种、农业智能装备等领域全国重点实验室落地。打好关键核心技术攻坚战，围绕干细胞育种、基因科学、合成生物等领域开展核心技术攻关。聚力打造“种业之都”，推进作物、动物、微生物等领域种业研究更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，推进非主粮食品育种与技术研发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。创新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科技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人才引育机制，依托农业中关村人才综合改革试验区优势，集聚一批农业科技领军人才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和创新团队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加快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农业科技成果转化应用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搭建成果验证平台，推进中试基地场景验证，设置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药食同源</w:t>
      </w:r>
      <w:r>
        <w:rPr>
          <w:rFonts w:hint="eastAsia" w:ascii="仿宋_GB2312" w:hAnsi="仿宋_GB2312" w:eastAsia="仿宋_GB2312" w:cs="仿宋_GB2312"/>
          <w:sz w:val="32"/>
          <w:szCs w:val="32"/>
        </w:rPr>
        <w:t>功能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性</w:t>
      </w:r>
      <w:r>
        <w:rPr>
          <w:rFonts w:hint="eastAsia" w:ascii="仿宋_GB2312" w:hAnsi="仿宋_GB2312" w:eastAsia="仿宋_GB2312" w:cs="仿宋_GB2312"/>
          <w:sz w:val="32"/>
          <w:szCs w:val="32"/>
        </w:rPr>
        <w:t>食品、细胞农业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合成生物等中试生产线。拓展科技示范场景，全域布局“博士农场”“科技小院”，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覆盖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60%</w:t>
      </w:r>
      <w:r>
        <w:rPr>
          <w:rFonts w:hint="eastAsia" w:ascii="仿宋_GB2312" w:hAnsi="仿宋_GB2312" w:eastAsia="仿宋_GB2312" w:cs="仿宋_GB2312"/>
          <w:sz w:val="32"/>
          <w:szCs w:val="32"/>
        </w:rPr>
        <w:t>以上行政村，打造一批“无人果园”“无人菜园”，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农作物制种基地、畜禽种业基地。健全成果转化机制，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建强</w:t>
      </w:r>
      <w:r>
        <w:rPr>
          <w:rFonts w:hint="eastAsia" w:ascii="仿宋_GB2312" w:hAnsi="仿宋_GB2312" w:eastAsia="仿宋_GB2312" w:cs="仿宋_GB2312"/>
          <w:sz w:val="32"/>
          <w:szCs w:val="32"/>
        </w:rPr>
        <w:t>京瓦中心孵化器，完善实验室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共享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管理体系，推动全球农业科技成果在平谷验证、孵化转化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申创国家农业高新技术产业示范区。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eastAsia="zh-CN"/>
              </w:rPr>
              <w:t>专栏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eastAsia="zh-CN"/>
              </w:rPr>
              <w:t>：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农业中关村“五区”融合发展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“校区”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打造“未来大学”，推进教育科技人才“三位一体”融合发展，形成全国重点实验室集群。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“园区”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立足农业总部经济中心和农业行政服务中心功能定位，招引聚集一批国际一流头部企业和部市农业行政服务机构，全力推进农业中关村学院建设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“街区”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以轨道国农港站为契机激活商业街区下沉广场。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“社区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”：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打造高品质住宅及配套服务设施。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“景区”：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建设农业迪士尼、农业试验田等，加强与中国科学院植物研究所、中国中医科学院等科研机构的对接沟通，布局建设一批“国字头”中试基地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集群发展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物流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产业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畅通多式联运通道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增强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铁路物流能力，推进京平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“H”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型铁路扩能项目，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提升平谷地方铁路使用效率，推动地方铁路与京哈铁路高效联通，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拓展中亚、东南亚等国际物流通道。提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公路货运能力，完善“五横两纵一环”货运交通路网，加快云打路等道路建设。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强化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场站能级，</w:t>
      </w:r>
      <w:r>
        <w:rPr>
          <w:rFonts w:hint="eastAsia" w:ascii="仿宋_GB2312" w:hAnsi="仿宋_GB2312" w:eastAsia="仿宋_GB2312" w:cs="仿宋_GB2312"/>
          <w:sz w:val="32"/>
          <w:szCs w:val="32"/>
        </w:rPr>
        <w:t>高标准建成马坊站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南北</w:t>
      </w:r>
      <w:r>
        <w:rPr>
          <w:rFonts w:hint="eastAsia" w:ascii="仿宋_GB2312" w:hAnsi="仿宋_GB2312" w:eastAsia="仿宋_GB2312" w:cs="仿宋_GB2312"/>
          <w:sz w:val="32"/>
          <w:szCs w:val="32"/>
        </w:rPr>
        <w:t>场区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增强</w:t>
      </w:r>
      <w:r>
        <w:rPr>
          <w:rFonts w:hint="eastAsia" w:ascii="仿宋_GB2312" w:hAnsi="仿宋_GB2312" w:eastAsia="仿宋_GB2312" w:cs="仿宋_GB2312"/>
          <w:sz w:val="32"/>
          <w:szCs w:val="32"/>
        </w:rPr>
        <w:t>场站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货物处理能力。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color="auto" w:fill="auto"/>
        </w:rPr>
        <w:t>多式联运运行机制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推进国家级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多式联运示范工程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推广多式联运“一单制”“一箱制”，探索多式联运电子化统一单证、电子结算等成果应用。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增强物流枢纽集聚能力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加快仓储设施扩容提质，高标准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城郊大仓基地，推进现代智慧物流设施建成投用。深化口岸功能服务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建成具有报关、查验、监管等功能的铁路海关监管场所，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探索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开展进口肉类精加工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，培育平谷口岸直供品牌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推动“物流+”业态融合发展，</w:t>
      </w:r>
      <w:r>
        <w:rPr>
          <w:rFonts w:hint="eastAsia" w:ascii="仿宋_GB2312" w:hAnsi="仿宋_GB2312" w:eastAsia="仿宋_GB2312" w:cs="仿宋_GB2312"/>
          <w:sz w:val="32"/>
          <w:szCs w:val="32"/>
        </w:rPr>
        <w:t>促进物流与装备制造、中央厨房、医药器械等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两业”</w:t>
      </w:r>
      <w:r>
        <w:rPr>
          <w:rFonts w:hint="eastAsia" w:ascii="仿宋_GB2312" w:hAnsi="仿宋_GB2312" w:eastAsia="仿宋_GB2312" w:cs="仿宋_GB2312"/>
          <w:sz w:val="32"/>
          <w:szCs w:val="32"/>
        </w:rPr>
        <w:t>融合发展，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发展</w:t>
      </w:r>
      <w:r>
        <w:rPr>
          <w:rFonts w:hint="eastAsia" w:ascii="仿宋_GB2312" w:hAnsi="仿宋_GB2312" w:eastAsia="仿宋_GB2312" w:cs="仿宋_GB2312"/>
          <w:sz w:val="32"/>
          <w:szCs w:val="32"/>
        </w:rPr>
        <w:t>“物流+直播”业态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，打造线上线下一体化仓播服务场景。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建设高质量配送网络。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加快</w:t>
      </w:r>
      <w:r>
        <w:rPr>
          <w:rFonts w:hint="eastAsia" w:ascii="仿宋_GB2312" w:hAnsi="仿宋_GB2312" w:eastAsia="仿宋_GB2312" w:cs="仿宋_GB2312"/>
          <w:sz w:val="32"/>
          <w:szCs w:val="32"/>
        </w:rPr>
        <w:t>推进前置仓建设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，打造</w:t>
      </w:r>
      <w:r>
        <w:rPr>
          <w:rFonts w:hint="eastAsia" w:ascii="仿宋_GB2312" w:hAnsi="仿宋_GB2312" w:eastAsia="仿宋_GB2312" w:cs="仿宋_GB2312"/>
          <w:sz w:val="32"/>
          <w:szCs w:val="32"/>
        </w:rPr>
        <w:t>智能物流骨干网络重要节点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构建立体运输网络，</w:t>
      </w:r>
      <w:r>
        <w:rPr>
          <w:rFonts w:hint="eastAsia" w:ascii="仿宋_GB2312" w:hAnsi="仿宋_GB2312" w:eastAsia="仿宋_GB2312" w:cs="仿宋_GB2312"/>
          <w:sz w:val="32"/>
          <w:szCs w:val="32"/>
        </w:rPr>
        <w:t>推广“六环外仓储换乘+绿电车辆进城”模式，推进轨道交通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号线建设，探索“客货两用”模式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完善乡村配送体系，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物流枢纽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乡镇配送中心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</w:rPr>
        <w:t>村级服务站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物流网络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深化“交邮合作”“邮快合作”等模式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延伸冷链服务网络，支持在重点乡镇建设具有冷藏等功能的集配中心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推动绿色智慧升级。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推动设施智能化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，探索开展无人仓、无人车应用试点，推动自动分拣、智能调度、无人配送场景开放。分段推进零碳园区建设，完成制加氢一体站建设，推广新能源作业机械和配送车辆，打造绿色低碳物流示范标杆。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强化标准化应用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推广</w:t>
      </w:r>
      <w:r>
        <w:rPr>
          <w:rFonts w:hint="eastAsia" w:ascii="仿宋_GB2312" w:hAnsi="仿宋_GB2312" w:eastAsia="仿宋_GB2312" w:cs="仿宋_GB2312"/>
          <w:sz w:val="32"/>
          <w:szCs w:val="32"/>
        </w:rPr>
        <w:t>标准化托盘等载具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，推进</w:t>
      </w:r>
      <w:r>
        <w:rPr>
          <w:rFonts w:hint="eastAsia" w:ascii="仿宋_GB2312" w:hAnsi="仿宋_GB2312" w:eastAsia="仿宋_GB2312" w:cs="仿宋_GB2312"/>
          <w:sz w:val="32"/>
          <w:szCs w:val="32"/>
        </w:rPr>
        <w:t>标准化包装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支持建立载具循环共用系统与统一编码标识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。深化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信息化集成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搭建</w:t>
      </w:r>
      <w:r>
        <w:rPr>
          <w:rFonts w:hint="eastAsia" w:ascii="仿宋_GB2312" w:hAnsi="仿宋_GB2312" w:eastAsia="仿宋_GB2312" w:cs="仿宋_GB2312"/>
          <w:sz w:val="32"/>
          <w:szCs w:val="32"/>
        </w:rPr>
        <w:t>京平综合物流枢纽数字化服务平台，统筹班列、物流基地、前置仓等资源，构建统一调度系统。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2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3.提质升级文旅产业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优化全域空间布局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深化“一湖一山两河一带多沟多点”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产业</w:t>
      </w:r>
      <w:r>
        <w:rPr>
          <w:rFonts w:hint="eastAsia" w:ascii="仿宋_GB2312" w:hAnsi="仿宋_GB2312" w:eastAsia="仿宋_GB2312" w:cs="仿宋_GB2312"/>
          <w:sz w:val="32"/>
          <w:szCs w:val="32"/>
        </w:rPr>
        <w:t>布局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建设金海湖国家旅游度假区，推进综合小镇和沟域生态商务休闲区（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VBD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）建设。</w:t>
      </w:r>
      <w:r>
        <w:rPr>
          <w:rFonts w:hint="eastAsia" w:ascii="仿宋_GB2312" w:hAnsi="仿宋_GB2312" w:eastAsia="仿宋_GB2312" w:cs="仿宋_GB2312"/>
          <w:sz w:val="32"/>
          <w:szCs w:val="32"/>
        </w:rPr>
        <w:t>打造丫髻山文旅康养地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发展山地康养、登高休闲等业态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布局</w:t>
      </w:r>
      <w:r>
        <w:rPr>
          <w:rFonts w:hint="eastAsia" w:ascii="仿宋_GB2312" w:hAnsi="仿宋_GB2312" w:eastAsia="仿宋_GB2312" w:cs="仿宋_GB2312"/>
          <w:sz w:val="32"/>
          <w:szCs w:val="32"/>
        </w:rPr>
        <w:t>泃河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洳河休闲经济区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培育</w:t>
      </w:r>
      <w:r>
        <w:rPr>
          <w:rFonts w:hint="eastAsia" w:ascii="仿宋_GB2312" w:hAnsi="仿宋_GB2312" w:eastAsia="仿宋_GB2312" w:cs="仿宋_GB2312"/>
          <w:sz w:val="32"/>
          <w:szCs w:val="32"/>
        </w:rPr>
        <w:t>滨水露营、亲水亲子乐园等业态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激活农业高科技观光体验带，串联智能温室、植物工厂等设施，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拓展</w:t>
      </w:r>
      <w:r>
        <w:rPr>
          <w:rFonts w:hint="eastAsia" w:ascii="仿宋_GB2312" w:hAnsi="仿宋_GB2312" w:eastAsia="仿宋_GB2312" w:cs="仿宋_GB2312"/>
          <w:sz w:val="32"/>
          <w:szCs w:val="32"/>
        </w:rPr>
        <w:t>农耕体验、农业科普等业态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布局多沟多点旅游节点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打造山东庄镇、大华山镇、黄松峪乡等特色沟域休闲带，培育生态度假、文化体验等特色休闲节点。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丰富休闲产品供给。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做强农业科技休闲，</w:t>
      </w:r>
      <w:r>
        <w:rPr>
          <w:rFonts w:hint="eastAsia" w:ascii="仿宋_GB2312" w:hAnsi="仿宋_GB2312" w:eastAsia="仿宋_GB2312" w:cs="仿宋_GB2312"/>
          <w:sz w:val="32"/>
          <w:szCs w:val="32"/>
        </w:rPr>
        <w:t>开放智能温室、无人机植保等智慧农业场景，建设农业大观园、采摘园，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拓展</w:t>
      </w:r>
      <w:r>
        <w:rPr>
          <w:rFonts w:hint="eastAsia" w:ascii="仿宋_GB2312" w:hAnsi="仿宋_GB2312" w:eastAsia="仿宋_GB2312" w:cs="仿宋_GB2312"/>
          <w:sz w:val="32"/>
          <w:szCs w:val="32"/>
        </w:rPr>
        <w:t>农耕研学、农创市集等业态。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做优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生态康养休闲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，布局</w:t>
      </w:r>
      <w:r>
        <w:rPr>
          <w:rFonts w:hint="eastAsia" w:ascii="仿宋_GB2312" w:hAnsi="仿宋_GB2312" w:eastAsia="仿宋_GB2312" w:cs="仿宋_GB2312"/>
          <w:sz w:val="32"/>
          <w:szCs w:val="32"/>
        </w:rPr>
        <w:t>康养体验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业态</w:t>
      </w:r>
      <w:r>
        <w:rPr>
          <w:rFonts w:hint="eastAsia" w:ascii="仿宋_GB2312" w:hAnsi="仿宋_GB2312" w:eastAsia="仿宋_GB2312" w:cs="仿宋_GB2312"/>
          <w:sz w:val="32"/>
          <w:szCs w:val="32"/>
        </w:rPr>
        <w:t>，推进慢城系统建设，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培育</w:t>
      </w:r>
      <w:r>
        <w:rPr>
          <w:rFonts w:hint="eastAsia" w:ascii="仿宋_GB2312" w:hAnsi="仿宋_GB2312" w:eastAsia="仿宋_GB2312" w:cs="仿宋_GB2312"/>
          <w:sz w:val="32"/>
          <w:szCs w:val="32"/>
        </w:rPr>
        <w:t>低碳运动等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新场景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做活</w:t>
      </w:r>
      <w:r>
        <w:rPr>
          <w:rFonts w:hint="eastAsia" w:ascii="仿宋_GB2312" w:hAnsi="仿宋_GB2312" w:eastAsia="仿宋_GB2312" w:cs="仿宋_GB2312"/>
          <w:sz w:val="32"/>
          <w:szCs w:val="32"/>
        </w:rPr>
        <w:t>文化时尚休闲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挖掘乡镇特色要素推动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IP</w:t>
      </w:r>
      <w:r>
        <w:rPr>
          <w:rFonts w:hint="eastAsia" w:ascii="仿宋_GB2312" w:hAnsi="仿宋_GB2312" w:eastAsia="仿宋_GB2312" w:cs="仿宋_GB2312"/>
          <w:sz w:val="32"/>
          <w:szCs w:val="32"/>
        </w:rPr>
        <w:t>转化，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壮大</w:t>
      </w:r>
      <w:r>
        <w:rPr>
          <w:rFonts w:hint="eastAsia" w:ascii="仿宋_GB2312" w:hAnsi="仿宋_GB2312" w:eastAsia="仿宋_GB2312" w:cs="仿宋_GB2312"/>
          <w:sz w:val="32"/>
          <w:szCs w:val="32"/>
        </w:rPr>
        <w:t>“四季有节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、全域联动</w:t>
      </w:r>
      <w:r>
        <w:rPr>
          <w:rFonts w:hint="eastAsia" w:ascii="仿宋_GB2312" w:hAnsi="仿宋_GB2312" w:eastAsia="仿宋_GB2312" w:cs="仿宋_GB2312"/>
          <w:sz w:val="32"/>
          <w:szCs w:val="32"/>
        </w:rPr>
        <w:t>”节庆集群，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孵化</w:t>
      </w:r>
      <w:r>
        <w:rPr>
          <w:rFonts w:hint="eastAsia" w:ascii="仿宋_GB2312" w:hAnsi="仿宋_GB2312" w:eastAsia="仿宋_GB2312" w:cs="仿宋_GB2312"/>
          <w:sz w:val="32"/>
          <w:szCs w:val="32"/>
        </w:rPr>
        <w:t>自然教育、文创艺术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宠物互动等新业态。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培育文旅消费品牌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擦亮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区域特色品牌，做强</w:t>
      </w:r>
      <w:r>
        <w:rPr>
          <w:rFonts w:hint="eastAsia" w:ascii="仿宋_GB2312" w:hAnsi="仿宋_GB2312" w:eastAsia="仿宋_GB2312" w:cs="仿宋_GB2312"/>
          <w:sz w:val="32"/>
          <w:szCs w:val="32"/>
        </w:rPr>
        <w:t>“桃醉平谷”“畅游平谷”等系列品牌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开发“平谷游玩+食谷品鉴”特色文旅线路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，加快</w:t>
      </w:r>
      <w:r>
        <w:rPr>
          <w:rFonts w:hint="eastAsia" w:ascii="仿宋_GB2312" w:hAnsi="仿宋_GB2312" w:eastAsia="仿宋_GB2312" w:cs="仿宋_GB2312"/>
          <w:sz w:val="32"/>
          <w:szCs w:val="32"/>
        </w:rPr>
        <w:t>融入“夜京城”消费集聚区，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扩大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中国（北京）休闲大会影响力。做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优</w:t>
      </w:r>
      <w:r>
        <w:rPr>
          <w:rFonts w:hint="eastAsia" w:ascii="仿宋_GB2312" w:hAnsi="仿宋_GB2312" w:eastAsia="仿宋_GB2312" w:cs="仿宋_GB2312"/>
          <w:sz w:val="32"/>
          <w:szCs w:val="32"/>
        </w:rPr>
        <w:t>特色文旅品牌，培育“研学平谷”“冰雪休闲”等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子</w:t>
      </w:r>
      <w:r>
        <w:rPr>
          <w:rFonts w:hint="eastAsia" w:ascii="仿宋_GB2312" w:hAnsi="仿宋_GB2312" w:eastAsia="仿宋_GB2312" w:cs="仿宋_GB2312"/>
          <w:sz w:val="32"/>
          <w:szCs w:val="32"/>
        </w:rPr>
        <w:t>品牌，构建覆盖全年龄段、全季节的文旅品牌体系。提升品牌传播效能，积极合作新媒体社交平台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挖掘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文旅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活动“爆点”，实施“平谷出海”计划，扩大“世界休闲谷”国际影响力。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楷体" w:cs="仿宋_GB2312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highlight w:val="none"/>
                <w:vertAlign w:val="baseline"/>
                <w:lang w:eastAsia="zh-CN"/>
              </w:rPr>
              <w:t>专栏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highlight w:val="none"/>
                <w:vertAlign w:val="baseline"/>
                <w:lang w:eastAsia="zh-CN"/>
              </w:rPr>
              <w:t>：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highlight w:val="none"/>
                <w:lang w:eastAsia="zh-CN"/>
              </w:rPr>
              <w:t>休闲文旅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highlight w:val="none"/>
              </w:rPr>
              <w:t>产业重点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highlight w:val="none"/>
                <w:lang w:eastAsia="zh-CN"/>
              </w:rPr>
              <w:t>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优质产品供给工程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聚焦金海湖、丫髻山、桃源里核心片区，推动景区提质与“平急两用”综合体建设。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新业态培育工程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聚焦研学、花卉宠物、乡村艺术、数智演艺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领域，培育多元融合新业态。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“文旅+”融合工程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积极推动“文旅+百业”“百业+文旅”多业态融合，推进农文旅体商融合高质量发展。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旅游要素品牌提升工程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推进美食、住宿、购物、畅游、夜游消费要素品牌建设，激发区域经济新动能。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文化创新创造活力激发工程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深耕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“75321”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文化沃土，实施文化遗产保护传承，推动公共文化服务提质增效。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宣传推广与人文交流工程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以“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北京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桃花源·世界休闲谷”构建多元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IP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体系，放大世界休闲大会效应，深化京津冀文旅协同。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7.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文旅服务体系提升工程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升级旅游公共服务，构建游客友好环境，健全综合治理与安全应急机制，优化营商环境。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1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（二）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做特做优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六大特色产业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壮大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发展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高端装备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制造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产业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智能农机装备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产业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着力提升研发能力，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支持科研院所、企业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搭建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农机装备创新平台，针对共性技术瓶颈、关键工艺难题和高端装备短板开展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集中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攻关。壮大产业集群，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全面建成农机农具产业园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引育农机装备企业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重点发展收获机械、智能农机装备等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细分领域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。拓展应用场景，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探索建立“人工智能+农机”示范基地，鼓励高校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科研院所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企业在平谷开展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农机装备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研发试验与推广应用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汽车零部件产业。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推动存量企业转型升级，引导底盘结构件企业向线控底盘配套方向发展，支持车身饰件企业提升工艺水平，鼓励有条件的企业开发汽车电子、芯片、传感器等高附加值产品。布局新能源零部件产业，加快引进新能源、智能网联零部件头部企业，深化与全市智能网联整车企业合作，提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同步开发能力。强化汽车后市场综合服务，发挥京平物流枢纽优势，引进仓储配送、维保服务、汽车文化展示等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配套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企业，健全汽车后市场产业链条。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高端医疗装备产业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重点发展高值介入器械，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加快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先进材料、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3D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打印、合成生物等技术应用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发展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心脑血管介入、神经介入、牙科材料等产品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培育壮大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医美设备板块，招引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行业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优质医美企业，依托本地医疗美容优质资源，发展医用激光、光子、射频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等设备。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布局中医设备领域，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深化与中国中医科学院等机构合作，承接中医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数字化辅助诊断装备等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成果落地。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畅通市场渠道，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谋划开展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“企业进医院”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活动，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组织企业与连锁药店、医药公司开展供需对接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，打通产品入市“最后一公里”。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培育发展首都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共享中央厨房产业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</w:rPr>
        <w:t>夯实首都食品保供支撑。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</w:rPr>
        <w:t>打造现代食材供应体系，依托农业中关村、食品营养谷、首都物流高地资源优势，构建集食材集约化供应、智能化加工、高效化配送、多元化服务于一体的全链条供应能力。推广集中加工配送模式，面向校园、机关、养老机构等场景，落地“净菜＋炒菜机器人”应用，提升终端配送效率与食品安全水平。完善产销对接机制，围绕连锁餐饮、团餐服务、零售终端等领域，构建“基地+中央厨房+终端”产销体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</w:rPr>
        <w:t>做强炒菜机器人研发转化。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eastAsia="zh-CN"/>
        </w:rPr>
        <w:t>建强研发平台，推进世界炒菜机器人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</w:rPr>
        <w:t>研究院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eastAsia="zh-CN"/>
        </w:rPr>
        <w:t>建设，联合科研院所、头部企业共建技术研发团队，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搭建产学研协同研发平台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加强核心技术攻关，开展菜品智能烹饪、后厨自动化管理等技术研究，突破高精度传感器、智能控制器和特种电机等核心零部件研发难题。推动成果转化应用，常态化举办中国炒菜机器人大赛，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搭建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线上展示交易平台，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组织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智能烹饪设备展示推介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活动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打造特色食品产业集群。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引育链主企业，重点引进中央厨房、食品装备领域龙头主体，打造智能烹饪装备制造集聚区。壮大配套主体，围绕核心零部件、标准化菜包、芯片设计等方向招引配套企业，提升本地化配套能力。构建闭环产业生态，打造“原料供给-中试放大-规模化生产-终端配送”闭环，集聚包装设计、物流配送、营销策划等服务企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2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6.加快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发展直播电商产业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夯实直播电商产业基础。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优化空间布局，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高标准建设北京（平谷）直播电商产业功能区，构建“一院、五区、多点”</w:t>
      </w:r>
      <w:r>
        <w:rPr>
          <w:rStyle w:val="17"/>
          <w:rFonts w:hint="eastAsia" w:ascii="仿宋_GB2312" w:hAnsi="仿宋_GB2312" w:eastAsia="仿宋_GB2312" w:cs="仿宋_GB2312"/>
          <w:sz w:val="32"/>
          <w:szCs w:val="32"/>
          <w:lang w:eastAsia="zh-CN"/>
        </w:rPr>
        <w:footnoteReference w:id="0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空间布局，推动</w:t>
      </w:r>
      <w:r>
        <w:rPr>
          <w:rFonts w:hint="eastAsia" w:ascii="仿宋_GB2312" w:hAnsi="仿宋_GB2312" w:eastAsia="仿宋_GB2312" w:cs="仿宋_GB2312"/>
          <w:sz w:val="32"/>
          <w:szCs w:val="32"/>
        </w:rPr>
        <w:t>各片区整体联动、错位发展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。完善直播电商上下游配套服务，梳理多元化户外直播场景清单，丰富直播消费场景和供给，构建直播电商特色产业集群，推动线上线下流量深度融合。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培育壮大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产业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主体。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健全企业梯队，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引育头部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MCN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机构、运营服务商，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扶持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中小微直播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机构发展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完善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龙头引领、梯次协同的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培育机制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建强主播队伍，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实施六大主播赋能行动，组建“乡村振兴直播联盟”，打造“一村一直播、一村一网红”的本土直播人才队伍。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集聚专业人才，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发挥北京智力资源密集优势，加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新媒体、语言、金融等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专业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引进培养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，建立直播电商人才库。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拓展直播电商发展空间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深耕本地市场，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“直播+农特产品”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专场活动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结合鲜桃季、北寨红杏品鉴节等节庆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时点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开展直播促销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布局区域市场，</w:t>
      </w:r>
      <w:r>
        <w:rPr>
          <w:rFonts w:hint="eastAsia" w:ascii="仿宋_GB2312" w:hAnsi="仿宋_GB2312" w:eastAsia="仿宋_GB2312" w:cs="仿宋_GB2312"/>
          <w:sz w:val="32"/>
          <w:szCs w:val="32"/>
        </w:rPr>
        <w:t>深化京津冀直播电商协同，推动农特产品进入京津冀销售网络，拓展北京直播经济辐射范围。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开拓国际市场</w:t>
      </w:r>
      <w:r>
        <w:rPr>
          <w:rFonts w:hint="eastAsia" w:ascii="仿宋_GB2312" w:hAnsi="仿宋_GB2312" w:eastAsia="仿宋_GB2312" w:cs="仿宋_GB2312"/>
          <w:sz w:val="32"/>
          <w:szCs w:val="32"/>
        </w:rPr>
        <w:t>，依托中欧班列、海铁联运班列等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跨境线路</w:t>
      </w:r>
      <w:r>
        <w:rPr>
          <w:rFonts w:hint="eastAsia" w:ascii="仿宋_GB2312" w:hAnsi="仿宋_GB2312" w:eastAsia="仿宋_GB2312" w:cs="仿宋_GB2312"/>
          <w:sz w:val="32"/>
          <w:szCs w:val="32"/>
        </w:rPr>
        <w:t>，打通国际国内物流大通道，深度链接国内外优质供应链。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.提速发展宠物经济产业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打造宠物产业科创高地。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建强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创新研究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平台，布局建设国际科技合作创新载体，依托全健康（One Health）国际科技合作中心平台优势，集聚国内外科研资源与高端智力。</w:t>
      </w:r>
      <w:r>
        <w:rPr>
          <w:rFonts w:hint="eastAsia" w:ascii="仿宋_GB2312" w:hAnsi="仿宋_GB2312" w:eastAsia="仿宋_GB2312" w:cs="仿宋_GB2312"/>
          <w:sz w:val="32"/>
          <w:szCs w:val="32"/>
        </w:rPr>
        <w:t>增强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科技</w:t>
      </w:r>
      <w:r>
        <w:rPr>
          <w:rFonts w:hint="eastAsia" w:ascii="仿宋_GB2312" w:hAnsi="仿宋_GB2312" w:eastAsia="仿宋_GB2312" w:cs="仿宋_GB2312"/>
          <w:sz w:val="32"/>
          <w:szCs w:val="32"/>
        </w:rPr>
        <w:t>创新能力，聚焦宠物生物育种、健康诊疗、检验检测、生态环境治理等领域，持续开展关键技术攻关与成果转化落地。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培育壮大产业链市场主体。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夯实产业基础，依托宠物经济产业园、文化产业园、爬宠产业园等重点产业载体，持续完善研发中试、质量检测、生产制造、供应链配套等全链条产业生态。培育优质市场主体，加强招引产业链龙头企业与创新型配套企业，推动产业摆脱传统低端加工模式，向科技研发、高端智造、品牌运营等高附加值环节跃升，构建链条完善、集聚度高、竞争力强的特色产业集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拓展宠物消费市场。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优化消费环境，持续推进宠物友好城市建设，引导景区、酒店、商圈等公共空间逐步开放携宠服务，完善携宠消费场景供给。丰富消费供给，办好全球爬宠盛典等特色活动，培育宠物经济特色IP，打造多元宠物主题消费内容。畅通产销循环，健全线上线下一体化消费流通体系，打通产品展示、交易销售、售后运维全链条，充分释放宠物经济内需潜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特色发展农医联动大健康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产业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夯实原料供给基础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提升技术研发能力，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依托农业中关村种业创新资源，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聚焦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植物基蛋白、精准营养组分等方向，建立从基因挖掘、分子设计到产业化应用的研发体系，推进功能性原料创新。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优化功能性品种布局，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推进富硒、高钙等营养型农产品品种应用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，构建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覆盖主粮、蔬菜、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畜禽的功能性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品种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体系。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提高种养规模化水平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推动功能性食材标准化、规模化生产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打造全谷物标准化种植示范区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，支持企业建设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规范化种养基地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推进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功能性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食品精深加工。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加强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重点技术布局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，联合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食品产业技术研究院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等科研机构，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围绕功能性食品加工工艺、风味调控、功效评价等方向开展技术攻关。畅通成果转化通道，规划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建设功能性食品中试验证与产业化平台，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推动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科技成果向市场产品转化。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丰富食品供给矩阵</w:t>
      </w:r>
      <w:r>
        <w:rPr>
          <w:rFonts w:hint="eastAsia" w:ascii="仿宋_GB2312" w:hAnsi="仿宋_GB2312" w:eastAsia="仿宋_GB2312" w:cs="仿宋_GB2312"/>
          <w:sz w:val="32"/>
          <w:szCs w:val="32"/>
        </w:rPr>
        <w:t>，重点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培育</w:t>
      </w:r>
      <w:r>
        <w:rPr>
          <w:rFonts w:hint="eastAsia" w:ascii="仿宋_GB2312" w:hAnsi="仿宋_GB2312" w:eastAsia="仿宋_GB2312" w:cs="仿宋_GB2312"/>
          <w:sz w:val="32"/>
          <w:szCs w:val="32"/>
        </w:rPr>
        <w:t>功能性普通食品，积极开发药食同源食品，鼓励发展保健食品和特医食品。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打造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主动健康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服务场景。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搭建服务载体，加快全国首个主动健康小镇建设，建强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望京医院平谷院区主动健康中心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，支持有条件的乡镇布局“智慧健康小屋”等服务载体。创新服务模式，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以“主动健康十大行动”为统领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培育营养咨询、膳食干预、康养体验等农业健康服务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探索“农业-健康”社区化、场景化服务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。构建</w:t>
      </w:r>
      <w:r>
        <w:rPr>
          <w:rFonts w:hint="eastAsia" w:ascii="仿宋_GB2312" w:hAnsi="仿宋_GB2312" w:eastAsia="仿宋_GB2312" w:cs="仿宋_GB2312"/>
          <w:sz w:val="32"/>
          <w:szCs w:val="32"/>
        </w:rPr>
        <w:t>全域服务网络，健全区、乡镇、村三级联动机制，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推广</w:t>
      </w:r>
      <w:r>
        <w:rPr>
          <w:rFonts w:hint="eastAsia" w:ascii="仿宋_GB2312" w:hAnsi="仿宋_GB2312" w:eastAsia="仿宋_GB2312" w:cs="仿宋_GB2312"/>
          <w:sz w:val="32"/>
          <w:szCs w:val="32"/>
        </w:rPr>
        <w:t>“家庭医生+网格员”协同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发展</w:t>
      </w:r>
      <w:r>
        <w:rPr>
          <w:rFonts w:hint="eastAsia" w:ascii="仿宋_GB2312" w:hAnsi="仿宋_GB2312" w:eastAsia="仿宋_GB2312" w:cs="仿宋_GB2312"/>
          <w:sz w:val="32"/>
          <w:szCs w:val="32"/>
        </w:rPr>
        <w:t>机制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做实网格化健康管理。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9.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优化发展生产性服务业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推进</w:t>
      </w:r>
      <w:r>
        <w:rPr>
          <w:rFonts w:hint="eastAsia" w:ascii="仿宋_GB2312" w:hAnsi="仿宋_GB2312" w:eastAsia="仿宋_GB2312" w:cs="仿宋_GB2312"/>
          <w:sz w:val="32"/>
          <w:szCs w:val="32"/>
        </w:rPr>
        <w:t>农业中关村与中关村平谷园“两园融合”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，围绕农业中关村、北京物流高地等建设需求，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推动先进制造业与现代服务业协同发展，培育农业社会化服务、人力资源服务等生产性服务业，构建与平谷产业升级相适应的服务支撑体系。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培育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农业社会化服务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产业。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健全农事服务体系，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加快布局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“1+1+2+N”</w:t>
      </w:r>
      <w:r>
        <w:rPr>
          <w:rFonts w:hint="eastAsia" w:ascii="仿宋_GB2312" w:hAnsi="仿宋_GB2312" w:eastAsia="仿宋_GB2312" w:cs="仿宋_GB2312"/>
          <w:sz w:val="32"/>
          <w:szCs w:val="32"/>
        </w:rPr>
        <w:t>农事服务网络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推进现代农事综合服务中心落地运行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，支持有条件的乡镇建立</w:t>
      </w:r>
      <w:r>
        <w:rPr>
          <w:rFonts w:hint="eastAsia" w:ascii="仿宋_GB2312" w:hAnsi="仿宋_GB2312" w:eastAsia="仿宋_GB2312" w:cs="仿宋_GB2312"/>
          <w:sz w:val="32"/>
          <w:szCs w:val="32"/>
        </w:rPr>
        <w:t>特色服务站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，引导</w:t>
      </w:r>
      <w:r>
        <w:rPr>
          <w:rFonts w:hint="eastAsia" w:ascii="仿宋_GB2312" w:hAnsi="仿宋_GB2312" w:eastAsia="仿宋_GB2312" w:cs="仿宋_GB2312"/>
          <w:sz w:val="32"/>
          <w:szCs w:val="32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资源</w:t>
      </w:r>
      <w:r>
        <w:rPr>
          <w:rFonts w:hint="eastAsia" w:ascii="仿宋_GB2312" w:hAnsi="仿宋_GB2312" w:eastAsia="仿宋_GB2312" w:cs="仿宋_GB2312"/>
          <w:sz w:val="32"/>
          <w:szCs w:val="32"/>
        </w:rPr>
        <w:t>下沉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。增强服务主体能力</w:t>
      </w:r>
      <w:r>
        <w:rPr>
          <w:rFonts w:hint="eastAsia" w:ascii="仿宋_GB2312" w:hAnsi="仿宋_GB2312" w:eastAsia="仿宋_GB2312" w:cs="仿宋_GB2312"/>
          <w:sz w:val="32"/>
          <w:szCs w:val="32"/>
        </w:rPr>
        <w:t>，支持本土企业与科研院所、高校深化合作，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集约化育苗、绿色防控、智能装备等专业化服务。拓展服务半径，推动服务网络向京津冀延伸，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全国农业社会化服务总部基地。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发展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人力资源服务产业。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搭建产业集聚平台，</w:t>
      </w:r>
      <w:r>
        <w:rPr>
          <w:rFonts w:hint="eastAsia" w:ascii="仿宋_GB2312" w:hAnsi="仿宋_GB2312" w:eastAsia="仿宋_GB2312" w:cs="仿宋_GB2312"/>
          <w:sz w:val="32"/>
          <w:szCs w:val="32"/>
        </w:rPr>
        <w:t>加快推进人力资源产业园建设，组建区人力资源服务行业协会，吸引优质机构落户。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深化产才融合发展</w:t>
      </w:r>
      <w:r>
        <w:rPr>
          <w:rFonts w:hint="eastAsia" w:ascii="仿宋_GB2312" w:hAnsi="仿宋_GB2312" w:eastAsia="仿宋_GB2312" w:cs="仿宋_GB2312"/>
          <w:sz w:val="32"/>
          <w:szCs w:val="32"/>
        </w:rPr>
        <w:t>，紧扣直播电商、农业社会化服务等特色产业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需求</w:t>
      </w:r>
      <w:r>
        <w:rPr>
          <w:rFonts w:hint="eastAsia" w:ascii="仿宋_GB2312" w:hAnsi="仿宋_GB2312" w:eastAsia="仿宋_GB2312" w:cs="仿宋_GB2312"/>
          <w:sz w:val="32"/>
          <w:szCs w:val="32"/>
        </w:rPr>
        <w:t>，开展精准化、定向式职业技能培训，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促进</w:t>
      </w:r>
      <w:r>
        <w:rPr>
          <w:rFonts w:hint="eastAsia" w:ascii="仿宋_GB2312" w:hAnsi="仿宋_GB2312" w:eastAsia="仿宋_GB2312" w:cs="仿宋_GB2312"/>
          <w:sz w:val="32"/>
          <w:szCs w:val="32"/>
        </w:rPr>
        <w:t>人力资源服务与重点产业融合。开拓劳务协作空间，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主动</w:t>
      </w:r>
      <w:r>
        <w:rPr>
          <w:rFonts w:hint="eastAsia" w:ascii="仿宋_GB2312" w:hAnsi="仿宋_GB2312" w:eastAsia="仿宋_GB2312" w:cs="仿宋_GB2312"/>
          <w:sz w:val="32"/>
          <w:szCs w:val="32"/>
        </w:rPr>
        <w:t>对接顺义、朝阳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、亦庄</w:t>
      </w:r>
      <w:r>
        <w:rPr>
          <w:rFonts w:hint="eastAsia" w:ascii="仿宋_GB2312" w:hAnsi="仿宋_GB2312" w:eastAsia="仿宋_GB2312" w:cs="仿宋_GB2312"/>
          <w:sz w:val="32"/>
          <w:szCs w:val="32"/>
        </w:rPr>
        <w:t>等周边区域岗位，建立常态化精准推送机制。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1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（三）培育壮大两大未来产业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突破发展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合成生物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产业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强化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合成生物技术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策源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突破关键理论瓶颈，围绕多元化食物供给、首都食品安全保障、国民营养健康等需求，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开展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底盘细胞构建、功能基因元件开发及合成通路设计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等核心技术研究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夯实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创新载体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建强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北京（平谷）农业微生物国际创新研究平台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，设立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菌种保藏库、基因元件库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等科研设施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布局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全国“种子库”与“零部件库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”。构建协同创新机制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，集聚研发机构和创新团队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，推动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原始创新与市场需求衔接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建立联合攻关、资源共享、成果转化等协同运行机制。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推动合成生物技术转化。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搭建转化平台，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加快北京农业食品合成生物创新中心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建设，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构建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涵盖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验证中心、中试平台、技术标准等环节的公共服务网络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。推进成果转化，依托现有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创新研究平台，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发酵工艺、微生物制剂等成果放大与工程化应用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，推动绿色农药创新基地落地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培育产业集群，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高标准建设合成生物产业基地，引进孵化合成蛋白、功能性添加剂等优质企业，完善现代食品营养谷产业承载配套。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拓展产品应用场景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拓展应用领域，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推动合成生物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技术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与传统产业融合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加快在食品制造、绿色农业、健康消费等领域推广。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创新应用模式，</w:t>
      </w:r>
      <w:r>
        <w:rPr>
          <w:rFonts w:hint="eastAsia" w:ascii="仿宋_GB2312" w:hAnsi="仿宋_GB2312" w:eastAsia="仿宋_GB2312" w:cs="仿宋_GB2312"/>
          <w:sz w:val="32"/>
          <w:szCs w:val="32"/>
        </w:rPr>
        <w:t>探索“定制化生产+精准营养”服务模式，运用大数据与健康监测技术，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开发</w:t>
      </w:r>
      <w:r>
        <w:rPr>
          <w:rFonts w:hint="eastAsia" w:ascii="仿宋_GB2312" w:hAnsi="仿宋_GB2312" w:eastAsia="仿宋_GB2312" w:cs="仿宋_GB2312"/>
          <w:sz w:val="32"/>
          <w:szCs w:val="32"/>
        </w:rPr>
        <w:t>基于合成生物的精准营养解决方案。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健全推广机制，完善合成生物技术</w:t>
      </w:r>
      <w:r>
        <w:rPr>
          <w:rFonts w:hint="eastAsia" w:ascii="仿宋_GB2312" w:hAnsi="仿宋_GB2312" w:eastAsia="仿宋_GB2312" w:cs="仿宋_GB2312"/>
          <w:sz w:val="32"/>
          <w:szCs w:val="32"/>
        </w:rPr>
        <w:t>认证评价体系，推进国际标准互认，对接京津冀一体化和北京国际消费中心城市建设需求，搭建国内外市场对接渠道。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楷体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eastAsia="zh-CN"/>
              </w:rPr>
              <w:t>专栏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vertAlign w:val="baseline"/>
                <w:lang w:eastAsia="zh-CN"/>
              </w:rPr>
              <w:t>：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eastAsia="zh-CN"/>
              </w:rPr>
              <w:t>绿色农药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产业培育重点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eastAsia="zh-CN"/>
              </w:rPr>
              <w:t>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1.加强宣传推广。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深耕微生物制剂、中药源植保等特色优势领域，打造绿色农药产业标杆。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2.构建全链路发展体系。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前端聚力种业源头创新，中端做强绿色农药研发试验、科学植保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和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绿色生产，后端完善质量检测、精深加工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和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终端管控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深化校地协同创新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。加强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校地战略合作，用好教育安居、专项补贴等配套政策，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强化人才集聚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。依托千亩标准化试验田、规模化智能温室集群等载体，承接国家级行业认证、试验示范等功能性平台。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4.优化产业发展生态。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完善园区配套、政策体系、服务机制，精准招引产业链龙头企业、专精特新企业和创新型科创主体，构建绿色农药产业集群。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培育发展通用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人工智能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产业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强化基础设施支撑能力。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筑牢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智能算力底座，统筹北京智慧网联算力中心、兴谷智慧产业赋能中心等项目建设，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谋划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建设面向通用大模型训练推理的算力资源池。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升级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网络基础设施，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6G技术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应用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与网络部署，加快万兆园区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改造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，完善超高速、大容量、智能化全光网络基础设施。促进算网协同发展，规划建设直达京津冀算力枢纽的直连网络，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构建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云间互联与云边协同网络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提升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通用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人工智能技术水平。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加强基础理论研究，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依托国家农业科技创新港等平台，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引导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高校院所和企业围绕多模态感知、智能决策等核心方向开展研究，形成一批原创性算法成果。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增强模型训练能力，围绕通用大模型训练推理优化、行业知识库构建等方向，支持企业建立创新联合体，突破一批模型训练关键技术。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强化成果转化能力，依托北京高校科技成果转移转化促进中心（平谷）等载体，推动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通用大模型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与产业需求精准对接，开展技术验证与产业化应用试点。</w:t>
      </w:r>
    </w:p>
    <w:p>
      <w:pPr>
        <w:numPr>
          <w:ilvl w:val="0"/>
          <w:numId w:val="0"/>
        </w:numPr>
        <w:spacing w:line="560" w:lineRule="exact"/>
        <w:ind w:firstLine="642" w:firstLineChars="200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拓展人工智能应用场景。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深入实施“人工智能+”行动，落实“一区一品”，推动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通用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人工智能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技术赋能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农业、物流、文旅等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重点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产业，建成一批高价值的行业数据集和标杆应用场景。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深化公共服务应用，开发政务、医疗、养老、社区治理等领域智能化应用，完善公共服务智能化功能。拓展民生消费场景，促进智能终端产品在教育、健康、家居等领域落地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应用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三、加强实施保障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强化组织领导。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化产业链“链长制”工作机制，统筹推进规划实施，明确部门职责分工。建立健全调度与会商机制，协调解决跨部门、跨领域重点事项。加强规划实施监测评估和中期评估，完善重点产业统计监测体系，强化政策衔接协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强化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资金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保障。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统筹</w:t>
      </w:r>
      <w:r>
        <w:rPr>
          <w:rFonts w:hint="eastAsia" w:ascii="仿宋_GB2312" w:hAnsi="仿宋_GB2312" w:eastAsia="仿宋_GB2312" w:cs="仿宋_GB2312"/>
          <w:sz w:val="32"/>
          <w:szCs w:val="32"/>
        </w:rPr>
        <w:t>用好产业引导基金、区政府投资基金等财政工具，积极争取超长期特别国债、中央预算内投资和专项债券等政策资金支持。推动金融机构创新中长期贷款、产业链融资、知识产权质押贷款等产品，加大对高成长性和高技术企业的融资支持力度。完善产融对接机制，畅通金融资源与产业需求对接渠道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强化要素保障。</w:t>
      </w:r>
      <w:r>
        <w:rPr>
          <w:rFonts w:hint="eastAsia" w:ascii="仿宋_GB2312" w:hAnsi="仿宋_GB2312" w:eastAsia="仿宋_GB2312" w:cs="仿宋_GB2312"/>
          <w:sz w:val="32"/>
          <w:szCs w:val="32"/>
        </w:rPr>
        <w:t>优化用地、用林、用能审批流程，探索长期租赁、弹性年期出让等灵活供地方式，积极盘活闲置低效资源，对重大产业项目实行用地、用能等要素优先保障。围绕智慧农业、食品营养、人工智能等重点领域，完善紧缺人才目录动态更新机制，健全人才引进和培养机制，畅通人才服务绿色通道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s0lY7tAAAAAFAQAADwAAAAAAAAABACAAAAA4AAAAZHJzL2Rvd25yZXYueG1sUEsB&#10;AhQAFAAAAAgAh07iQGUktTAgAgAANwQAAA4AAAAAAAAAAQAgAAAAN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>
      <w:pPr>
        <w:pStyle w:val="10"/>
        <w:snapToGrid w:val="0"/>
        <w:rPr>
          <w:rFonts w:hint="eastAsia" w:eastAsia="宋体"/>
          <w:lang w:eastAsia="zh-CN"/>
        </w:rPr>
      </w:pPr>
      <w:r>
        <w:rPr>
          <w:rStyle w:val="17"/>
        </w:rPr>
        <w:footnoteRef/>
      </w:r>
      <w:r>
        <w:t xml:space="preserve"> </w:t>
      </w:r>
      <w:r>
        <w:rPr>
          <w:rFonts w:hint="eastAsia"/>
        </w:rPr>
        <w:t>一院</w:t>
      </w:r>
      <w:r>
        <w:rPr>
          <w:rFonts w:hint="eastAsia"/>
          <w:lang w:eastAsia="zh-CN"/>
        </w:rPr>
        <w:t>指</w:t>
      </w:r>
      <w:r>
        <w:rPr>
          <w:rFonts w:hint="eastAsia"/>
        </w:rPr>
        <w:t>村播学院</w:t>
      </w:r>
      <w:r>
        <w:rPr>
          <w:rFonts w:hint="eastAsia"/>
          <w:lang w:eastAsia="zh-CN"/>
        </w:rPr>
        <w:t>，</w:t>
      </w:r>
      <w:r>
        <w:rPr>
          <w:rFonts w:hint="eastAsia"/>
        </w:rPr>
        <w:t>五区</w:t>
      </w:r>
      <w:r>
        <w:rPr>
          <w:rFonts w:hint="eastAsia"/>
          <w:lang w:eastAsia="zh-CN"/>
        </w:rPr>
        <w:t>指</w:t>
      </w:r>
      <w:r>
        <w:rPr>
          <w:rFonts w:hint="eastAsia"/>
        </w:rPr>
        <w:t>现代物流仓播仓配供应链集聚区</w:t>
      </w:r>
      <w:r>
        <w:rPr>
          <w:rFonts w:hint="eastAsia"/>
          <w:lang w:eastAsia="zh-CN"/>
        </w:rPr>
        <w:t>、</w:t>
      </w:r>
      <w:r>
        <w:rPr>
          <w:rFonts w:hint="eastAsia"/>
        </w:rPr>
        <w:t>丝路电商休闲消费直播体验区</w:t>
      </w:r>
      <w:r>
        <w:rPr>
          <w:rFonts w:hint="eastAsia"/>
          <w:lang w:eastAsia="zh-CN"/>
        </w:rPr>
        <w:t>、</w:t>
      </w:r>
      <w:r>
        <w:rPr>
          <w:rFonts w:hint="eastAsia"/>
        </w:rPr>
        <w:t>农业中关村创新链直播引领区</w:t>
      </w:r>
      <w:r>
        <w:rPr>
          <w:rFonts w:hint="eastAsia"/>
          <w:lang w:eastAsia="zh-CN"/>
        </w:rPr>
        <w:t>、</w:t>
      </w:r>
      <w:r>
        <w:rPr>
          <w:rFonts w:hint="eastAsia"/>
        </w:rPr>
        <w:t>现代食品营养产业链直播示范区</w:t>
      </w:r>
      <w:r>
        <w:rPr>
          <w:rFonts w:hint="eastAsia"/>
          <w:lang w:eastAsia="zh-CN"/>
        </w:rPr>
        <w:t>、</w:t>
      </w:r>
      <w:r>
        <w:rPr>
          <w:rFonts w:hint="eastAsia"/>
        </w:rPr>
        <w:t>智慧商圈引流直播活力区</w:t>
      </w:r>
      <w:r>
        <w:rPr>
          <w:rFonts w:hint="eastAsia"/>
          <w:lang w:eastAsia="zh-CN"/>
        </w:rPr>
        <w:t>，</w:t>
      </w:r>
      <w:r>
        <w:rPr>
          <w:rFonts w:hint="eastAsia"/>
        </w:rPr>
        <w:t>多点</w:t>
      </w:r>
      <w:r>
        <w:rPr>
          <w:rFonts w:hint="eastAsia"/>
          <w:lang w:eastAsia="zh-CN"/>
        </w:rPr>
        <w:t>指</w:t>
      </w:r>
      <w:r>
        <w:rPr>
          <w:rFonts w:hint="eastAsia"/>
        </w:rPr>
        <w:t>18个乡镇街道分散发展，打造‘一村一直播’新格局</w:t>
      </w:r>
      <w:r>
        <w:rPr>
          <w:rFonts w:hint="eastAsia"/>
          <w:lang w:eastAsia="zh-CN"/>
        </w:rPr>
        <w:t>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trackRevisions w:val="tru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DBF10FF"/>
    <w:rsid w:val="0FB7325A"/>
    <w:rsid w:val="0FFF5975"/>
    <w:rsid w:val="158EFA17"/>
    <w:rsid w:val="19F2D5C7"/>
    <w:rsid w:val="1AF6752D"/>
    <w:rsid w:val="1BDF13E4"/>
    <w:rsid w:val="1EFDC5FA"/>
    <w:rsid w:val="1F6FB6A5"/>
    <w:rsid w:val="1F874C30"/>
    <w:rsid w:val="1FDFA66E"/>
    <w:rsid w:val="21615943"/>
    <w:rsid w:val="23EA4C8F"/>
    <w:rsid w:val="259A6FB1"/>
    <w:rsid w:val="27EF11AE"/>
    <w:rsid w:val="27FFD45D"/>
    <w:rsid w:val="28FFA3B0"/>
    <w:rsid w:val="2EFFFA60"/>
    <w:rsid w:val="2FBDFCCD"/>
    <w:rsid w:val="2FDFB4DA"/>
    <w:rsid w:val="33FAD2F9"/>
    <w:rsid w:val="36F73AE2"/>
    <w:rsid w:val="37679C3A"/>
    <w:rsid w:val="3BEFEA3E"/>
    <w:rsid w:val="3BFE75C9"/>
    <w:rsid w:val="3D5FFAE6"/>
    <w:rsid w:val="3DBDB1BF"/>
    <w:rsid w:val="3DCB4BAA"/>
    <w:rsid w:val="3DCF3248"/>
    <w:rsid w:val="3EE9B3DE"/>
    <w:rsid w:val="3EFA983F"/>
    <w:rsid w:val="3F5BE21D"/>
    <w:rsid w:val="3FDE4988"/>
    <w:rsid w:val="3FF78F0E"/>
    <w:rsid w:val="3FFE5A09"/>
    <w:rsid w:val="3FFFFD4A"/>
    <w:rsid w:val="40FF95B6"/>
    <w:rsid w:val="45FDF2DD"/>
    <w:rsid w:val="47430BFD"/>
    <w:rsid w:val="4E78F6C6"/>
    <w:rsid w:val="4F3FFAAE"/>
    <w:rsid w:val="4FFD4EF6"/>
    <w:rsid w:val="4FFF0838"/>
    <w:rsid w:val="538F1A10"/>
    <w:rsid w:val="539FE413"/>
    <w:rsid w:val="56EB7B6E"/>
    <w:rsid w:val="57BB3B82"/>
    <w:rsid w:val="57DE15DE"/>
    <w:rsid w:val="59CDE67F"/>
    <w:rsid w:val="5AB60B4D"/>
    <w:rsid w:val="5ABF407B"/>
    <w:rsid w:val="5BE5D175"/>
    <w:rsid w:val="5C79072A"/>
    <w:rsid w:val="5D41F5E6"/>
    <w:rsid w:val="5DB21531"/>
    <w:rsid w:val="5DBD45F9"/>
    <w:rsid w:val="5DDF96AC"/>
    <w:rsid w:val="5DEEB909"/>
    <w:rsid w:val="5DF789E3"/>
    <w:rsid w:val="5E115341"/>
    <w:rsid w:val="5EB329E5"/>
    <w:rsid w:val="5EFF2FC4"/>
    <w:rsid w:val="5FE93526"/>
    <w:rsid w:val="5FEA4C04"/>
    <w:rsid w:val="5FEE6836"/>
    <w:rsid w:val="5FF556FE"/>
    <w:rsid w:val="666DDEB8"/>
    <w:rsid w:val="66FFE6B4"/>
    <w:rsid w:val="67F12935"/>
    <w:rsid w:val="67FFE69E"/>
    <w:rsid w:val="6B9FA627"/>
    <w:rsid w:val="6BAC0C53"/>
    <w:rsid w:val="6DBDCF49"/>
    <w:rsid w:val="6E6EE88F"/>
    <w:rsid w:val="6EB40380"/>
    <w:rsid w:val="6EEFA3AF"/>
    <w:rsid w:val="6EFD99AC"/>
    <w:rsid w:val="6F3D4AA1"/>
    <w:rsid w:val="6F75D972"/>
    <w:rsid w:val="6FCFFB3F"/>
    <w:rsid w:val="6FFF6A6B"/>
    <w:rsid w:val="755D3D63"/>
    <w:rsid w:val="75BDB065"/>
    <w:rsid w:val="75EF180F"/>
    <w:rsid w:val="763F68B9"/>
    <w:rsid w:val="76FBEB3D"/>
    <w:rsid w:val="773F3A77"/>
    <w:rsid w:val="77AFC75F"/>
    <w:rsid w:val="77B710D3"/>
    <w:rsid w:val="77E90753"/>
    <w:rsid w:val="77FB802F"/>
    <w:rsid w:val="77FFCBAC"/>
    <w:rsid w:val="77FFF125"/>
    <w:rsid w:val="7ABF6126"/>
    <w:rsid w:val="7ACA50E6"/>
    <w:rsid w:val="7B8F0AA8"/>
    <w:rsid w:val="7BBFA23C"/>
    <w:rsid w:val="7BD342E0"/>
    <w:rsid w:val="7BDE909E"/>
    <w:rsid w:val="7BFBD5CE"/>
    <w:rsid w:val="7C3F102B"/>
    <w:rsid w:val="7C7BCEB4"/>
    <w:rsid w:val="7D4ED668"/>
    <w:rsid w:val="7D8C2204"/>
    <w:rsid w:val="7DAD5AAE"/>
    <w:rsid w:val="7DB5717E"/>
    <w:rsid w:val="7DBFCD68"/>
    <w:rsid w:val="7DCF974D"/>
    <w:rsid w:val="7EBEA1B2"/>
    <w:rsid w:val="7EC6848A"/>
    <w:rsid w:val="7EDDA599"/>
    <w:rsid w:val="7EE9F391"/>
    <w:rsid w:val="7EFF9290"/>
    <w:rsid w:val="7F1D5BE4"/>
    <w:rsid w:val="7F3157FD"/>
    <w:rsid w:val="7F33E4B1"/>
    <w:rsid w:val="7F67546A"/>
    <w:rsid w:val="7F67BD4A"/>
    <w:rsid w:val="7F7EA415"/>
    <w:rsid w:val="7F7F18F1"/>
    <w:rsid w:val="7F9FB073"/>
    <w:rsid w:val="7FD74920"/>
    <w:rsid w:val="7FDC6511"/>
    <w:rsid w:val="7FF51509"/>
    <w:rsid w:val="7FF76D03"/>
    <w:rsid w:val="7FF82C57"/>
    <w:rsid w:val="7FFF1E79"/>
    <w:rsid w:val="7FFFAF5D"/>
    <w:rsid w:val="7FFFBEF7"/>
    <w:rsid w:val="8F63DFEB"/>
    <w:rsid w:val="93FA5655"/>
    <w:rsid w:val="9AFF5BE7"/>
    <w:rsid w:val="9DBF7724"/>
    <w:rsid w:val="9EF6AB1F"/>
    <w:rsid w:val="9F6F4AF0"/>
    <w:rsid w:val="9FFDB76A"/>
    <w:rsid w:val="9FFF8F73"/>
    <w:rsid w:val="ADBF10FF"/>
    <w:rsid w:val="ADFB6689"/>
    <w:rsid w:val="AF355711"/>
    <w:rsid w:val="AF751289"/>
    <w:rsid w:val="AFBBDC1A"/>
    <w:rsid w:val="B1EF856B"/>
    <w:rsid w:val="B47BD72C"/>
    <w:rsid w:val="B493CCFA"/>
    <w:rsid w:val="B6BA2699"/>
    <w:rsid w:val="B6CF2ED0"/>
    <w:rsid w:val="B7C6B8A2"/>
    <w:rsid w:val="BA6D6730"/>
    <w:rsid w:val="BAF9ECD0"/>
    <w:rsid w:val="BB4B927A"/>
    <w:rsid w:val="BBB78C8E"/>
    <w:rsid w:val="BBB7B467"/>
    <w:rsid w:val="BBF5664C"/>
    <w:rsid w:val="BBF96AD9"/>
    <w:rsid w:val="BCF0A3E9"/>
    <w:rsid w:val="BEB6F530"/>
    <w:rsid w:val="BEDFC79B"/>
    <w:rsid w:val="BEFF1D85"/>
    <w:rsid w:val="BF6EE3F1"/>
    <w:rsid w:val="BFAC908B"/>
    <w:rsid w:val="BFBFA540"/>
    <w:rsid w:val="BFDF8855"/>
    <w:rsid w:val="BFE1F1A7"/>
    <w:rsid w:val="C6E5FB79"/>
    <w:rsid w:val="C7FE51B2"/>
    <w:rsid w:val="CDF39323"/>
    <w:rsid w:val="CEFDEA48"/>
    <w:rsid w:val="D1EF3814"/>
    <w:rsid w:val="D5F77172"/>
    <w:rsid w:val="D5FB9467"/>
    <w:rsid w:val="D6CBA38B"/>
    <w:rsid w:val="D7F62656"/>
    <w:rsid w:val="D7F77C8F"/>
    <w:rsid w:val="D9FFD481"/>
    <w:rsid w:val="DAF31769"/>
    <w:rsid w:val="DB7FC85E"/>
    <w:rsid w:val="DBEF4C53"/>
    <w:rsid w:val="DBF98EE8"/>
    <w:rsid w:val="DEAF61FB"/>
    <w:rsid w:val="DEFEF72E"/>
    <w:rsid w:val="DF731CBF"/>
    <w:rsid w:val="DFC55CE8"/>
    <w:rsid w:val="DFF7287D"/>
    <w:rsid w:val="DFFCA7E8"/>
    <w:rsid w:val="DFFD6131"/>
    <w:rsid w:val="E2B7675F"/>
    <w:rsid w:val="E3B9C54B"/>
    <w:rsid w:val="E757EE23"/>
    <w:rsid w:val="E7FFD9CF"/>
    <w:rsid w:val="E9FF51B1"/>
    <w:rsid w:val="E9FFC61C"/>
    <w:rsid w:val="EAF12D82"/>
    <w:rsid w:val="EBBBE5E9"/>
    <w:rsid w:val="EBFFDF2F"/>
    <w:rsid w:val="ED2D6D96"/>
    <w:rsid w:val="EDFF3D16"/>
    <w:rsid w:val="EEB49084"/>
    <w:rsid w:val="EEDF12A1"/>
    <w:rsid w:val="EEF8B41A"/>
    <w:rsid w:val="EEFD9651"/>
    <w:rsid w:val="EEFF6311"/>
    <w:rsid w:val="EF67E79A"/>
    <w:rsid w:val="EF7D2291"/>
    <w:rsid w:val="EFD39D92"/>
    <w:rsid w:val="EFDFE739"/>
    <w:rsid w:val="EFF309E8"/>
    <w:rsid w:val="F19F35A5"/>
    <w:rsid w:val="F28EDFA6"/>
    <w:rsid w:val="F36FEE66"/>
    <w:rsid w:val="F3B420B3"/>
    <w:rsid w:val="F6DE9573"/>
    <w:rsid w:val="F77EC923"/>
    <w:rsid w:val="F7DBC4EB"/>
    <w:rsid w:val="F7DCDA9C"/>
    <w:rsid w:val="F7F6C50E"/>
    <w:rsid w:val="F7FE7366"/>
    <w:rsid w:val="F7FF15B3"/>
    <w:rsid w:val="F873754C"/>
    <w:rsid w:val="F8EB2EB8"/>
    <w:rsid w:val="F8FFFCEE"/>
    <w:rsid w:val="F9650CF6"/>
    <w:rsid w:val="F979D2A0"/>
    <w:rsid w:val="F99F0A42"/>
    <w:rsid w:val="F9FEB722"/>
    <w:rsid w:val="FA9FF8DC"/>
    <w:rsid w:val="FAECC2CD"/>
    <w:rsid w:val="FB777520"/>
    <w:rsid w:val="FB7FB768"/>
    <w:rsid w:val="FBBEA168"/>
    <w:rsid w:val="FBBFC2A2"/>
    <w:rsid w:val="FBD74AF4"/>
    <w:rsid w:val="FBF727EB"/>
    <w:rsid w:val="FBFB104C"/>
    <w:rsid w:val="FBFD7F44"/>
    <w:rsid w:val="FBFF1AF6"/>
    <w:rsid w:val="FBFFC02D"/>
    <w:rsid w:val="FC7AE7F1"/>
    <w:rsid w:val="FCFC9A1A"/>
    <w:rsid w:val="FD2FB6AE"/>
    <w:rsid w:val="FDFD75DE"/>
    <w:rsid w:val="FE5E0A2F"/>
    <w:rsid w:val="FE78B723"/>
    <w:rsid w:val="FE7DA17C"/>
    <w:rsid w:val="FEB7EA91"/>
    <w:rsid w:val="FEBF50FC"/>
    <w:rsid w:val="FECFC4F3"/>
    <w:rsid w:val="FEFB3D58"/>
    <w:rsid w:val="FEFF2D3E"/>
    <w:rsid w:val="FEFFED43"/>
    <w:rsid w:val="FF3B913B"/>
    <w:rsid w:val="FF5EC464"/>
    <w:rsid w:val="FF6DCB62"/>
    <w:rsid w:val="FF776D44"/>
    <w:rsid w:val="FFB5A923"/>
    <w:rsid w:val="FFBBDCF3"/>
    <w:rsid w:val="FFBF3865"/>
    <w:rsid w:val="FFBFA79F"/>
    <w:rsid w:val="FFBFD75B"/>
    <w:rsid w:val="FFBFDD3E"/>
    <w:rsid w:val="FFBFF3DE"/>
    <w:rsid w:val="FFC78DA9"/>
    <w:rsid w:val="FFCF9369"/>
    <w:rsid w:val="FFDE19E7"/>
    <w:rsid w:val="FFDF6070"/>
    <w:rsid w:val="FFDFBEE2"/>
    <w:rsid w:val="FFE6754A"/>
    <w:rsid w:val="FFEB2349"/>
    <w:rsid w:val="FFEB8866"/>
    <w:rsid w:val="FFEF7EB7"/>
    <w:rsid w:val="FFF798B0"/>
    <w:rsid w:val="FFF7D1EC"/>
    <w:rsid w:val="FFFF3AEE"/>
    <w:rsid w:val="FFFF5F3B"/>
    <w:rsid w:val="FFFFF8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1">
    <w:name w:val="Normal (Web)"/>
    <w:basedOn w:val="1"/>
    <w:qFormat/>
    <w:uiPriority w:val="0"/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Emphasis"/>
    <w:basedOn w:val="14"/>
    <w:qFormat/>
    <w:uiPriority w:val="0"/>
    <w:rPr>
      <w:i/>
    </w:rPr>
  </w:style>
  <w:style w:type="character" w:styleId="17">
    <w:name w:val="footnote reference"/>
    <w:basedOn w:val="14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2075</Words>
  <Characters>2155</Characters>
  <Lines>0</Lines>
  <Paragraphs>0</Paragraphs>
  <TotalTime>88</TotalTime>
  <ScaleCrop>false</ScaleCrop>
  <LinksUpToDate>false</LinksUpToDate>
  <CharactersWithSpaces>2156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2026-07-31T09:42:00Z</dcterms:created>
  <dc:creator>lxs</dc:creator>
  <cp:lastModifiedBy>owner</cp:lastModifiedBy>
  <cp:lastPrinted>2026-09-12T01:50:00Z</cp:lastPrinted>
  <dcterms:modified xsi:type="dcterms:W3CDTF">2026-11-02T08:57:29Z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4434B39A8D7596AA784BD86A0A256E8E_43</vt:lpwstr>
  </property>
  <property fmtid="{D5CDD505-2E9C-101B-9397-08002B2CF9AE}" pid="4" name="KSOTemplateDocerSaveRecord">
    <vt:lpwstr>eyJoZGlkIjoiMTg2NWQ0NDg4M2UzZDc1YjJkZDkyZmJmNWRmNGIyOGEiLCJ1c2VySWQiOiIxNDYxOTA5ODE2In0=</vt:lpwstr>
  </property>
</Properties>
</file>