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《房山区“十五五”时期文商旅体融合发展规划（征求意见稿）》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为深入贯彻落实国家、市、区关于“十五五”时期经济社会发展总体部署，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紧抓京津冀协同发展、北京国际消费中心城市建设机遇，立足房山区资源禀赋与发展现状，推动区域文商旅体产业高质量融合发展，房山区商务局、文化和旅游局、体育局联合编制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了《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房山区“十五五”时期文商旅体融合发展规划（征求意见稿）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十五五”时期是国内经济转向高质量发展、消费结构持续升级的关键阶段，居民消费加速向文化、旅游、体育等体验型领域延伸。京津冀协同发展不断深化，为房山承接中心城区功能疏解、整合区域资源创造有利条件；首都“四个中心”建设与国际消费中心城市培育，也为本区文商旅体融合发展带来重大机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十四五”期间，房山区文商旅体产业取得一定成效：商业消费稳步增长，文旅特色逐步凸显，体育赛事与全民健身氛围浓厚，全域旅游示范区成功创建，各类资源基础持续夯实。但同时也存在突出问题：区域资源分配不均、基础设施保障薄弱、产业融合深度不足、核心文化IP影响力偏弱、旅游淡旺季失衡等，制约产业提质升级。结合区域功能定位、客群需求变化以及产业发展痛点，亟需编制专项规划，系统谋划“十五五”时期发展路径，全面激活产业活力、释放消费潜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规划严格依据《扩大内需战略规划纲要（2022-2035年）》《关于支持国际消费中心城市培育建设的若干措施》《提振消费专项行动方案》《关于释放旅游消费潜力推动旅游业高质量发展的若干措施》等国家政策，对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市级层面</w:t>
      </w:r>
      <w:r>
        <w:rPr>
          <w:rFonts w:hint="eastAsia" w:ascii="仿宋_GB2312" w:hAnsi="仿宋_GB2312" w:eastAsia="仿宋_GB2312" w:cs="仿宋_GB2312"/>
          <w:sz w:val="32"/>
          <w:szCs w:val="32"/>
        </w:rPr>
        <w:t>《北京城市总体规划（2016年-2035年）》《北京市深化改革提振消费专项行动方案》《北京市“十四五”时期文化和旅游发展规划》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衔接《房山分区规划（国土空间规划）（2017年-2035年）》《房山区文旅产业高质量发展三年行动计划（2025年-2027年）》《房山区“十四五”时期体育发展规划》等本区现有规划文件，确保上下政策贯通、工作有效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（一）规划要点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空间上构建“一极辐射、双廊道驱动、三聚核支撑”全域格局；品牌上围绕“北京之源・大美房山”开展全媒体营销，拓展区域影响力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模式上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发展悦己消费、硬折扣消费、票根经济、线上线下融合消费及宠物经济；基础设施聚焦交通、步道、智慧服务等短板补齐。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文商旅体</w:t>
      </w:r>
      <w:r>
        <w:rPr>
          <w:rFonts w:hint="eastAsia" w:ascii="仿宋_GB2312" w:hAnsi="仿宋_GB2312" w:eastAsia="仿宋_GB2312" w:cs="仿宋_GB2312"/>
          <w:sz w:val="32"/>
          <w:szCs w:val="32"/>
        </w:rPr>
        <w:t>融合发展新场景。立足良乡大学城片区（良乡镇、长阳镇、拱辰街道部分区域）打造都市消费磁极；依托周口店北京人遗址、琉璃河遗址、金陵遗址“三源”历史遗存与周口店、十渡山水户外运动场景，分别搭建源文化体验廊道与运动活力体验廊道；聚焦北沟山水生态与红色资源、坡峰岭民俗体验与云居寺石经文化、石花洞与银狐洞等溶洞资源，分别打造山地自然聚核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山寺人文</w:t>
      </w:r>
      <w:r>
        <w:rPr>
          <w:rFonts w:hint="eastAsia" w:ascii="仿宋_GB2312" w:hAnsi="仿宋_GB2312" w:eastAsia="仿宋_GB2312" w:cs="仿宋_GB2312"/>
          <w:sz w:val="32"/>
          <w:szCs w:val="32"/>
        </w:rPr>
        <w:t>聚核与地质探奇聚核。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文商旅体</w:t>
      </w:r>
      <w:r>
        <w:rPr>
          <w:rFonts w:hint="eastAsia" w:ascii="仿宋_GB2312" w:hAnsi="仿宋_GB2312" w:eastAsia="仿宋_GB2312" w:cs="仿宋_GB2312"/>
          <w:sz w:val="32"/>
          <w:szCs w:val="32"/>
        </w:rPr>
        <w:t>融合消费新模式。重点培育城市融合消费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新典范</w:t>
      </w:r>
      <w:r>
        <w:rPr>
          <w:rFonts w:hint="eastAsia" w:ascii="仿宋_GB2312" w:hAnsi="仿宋_GB2312" w:eastAsia="仿宋_GB2312" w:cs="仿宋_GB2312"/>
          <w:sz w:val="32"/>
          <w:szCs w:val="32"/>
        </w:rPr>
        <w:t>、乡村旅游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新形象</w:t>
      </w:r>
      <w:r>
        <w:rPr>
          <w:rFonts w:hint="eastAsia" w:ascii="仿宋_GB2312" w:hAnsi="仿宋_GB2312" w:eastAsia="仿宋_GB2312" w:cs="仿宋_GB2312"/>
          <w:sz w:val="32"/>
          <w:szCs w:val="32"/>
        </w:rPr>
        <w:t>、文旅运动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新标杆</w:t>
      </w:r>
      <w:r>
        <w:rPr>
          <w:rFonts w:hint="eastAsia" w:ascii="仿宋_GB2312" w:hAnsi="仿宋_GB2312" w:eastAsia="仿宋_GB2312" w:cs="仿宋_GB2312"/>
          <w:sz w:val="32"/>
          <w:szCs w:val="32"/>
        </w:rPr>
        <w:t>三大特色品牌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发展悦己消费、硬折扣消费、票根经济、线上线下融合、宠物经济五大新型消费模式，延伸消费链条。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营造文商旅体融合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消费发展环境。搭建智慧服务网络，完善交通、体育、游览等基础设施；结合城市更新盘活闲置空间，强化市场监管与服务保障，营造安全舒适的消费环境。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三个阶段稳步推进：2026年为启动阶段，完成机制搭建、项目规划与试点筹备；2027—2028年为全面推进阶段，落地重点项目、推广创新业态、完善基础设施；2029—2030年为提质完善阶段，完成品牌升级，实现规划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、创新特点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立足现状精准施策。全面复盘“十四五”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时期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数据，直面资源不均、融合不深等现实问题，任务紧扣本地痛点设计，针对性强。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突出多业态深度融合。打破文化、商业、旅游、体育行业壁垒，推动场景、业态、消费模式跨界融合，同步联动农业、研学、康养等领域，构建全链条产业体系。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注重全域与全季发展。科学划分空间功能板块，推动区域协同联动；针对旅游淡旺季问题，布局四季主题活动与产品，实现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全年业态活跃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、政策衔接说明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规划严格衔接国家、北京市各项上位政策及房山区现有国土空间规划，发展定位、产业方向、项目布局均与现行政策保持一致，无政策冲突。同时充分衔接京津冀协同发展相关要求，强化区域联动，确保规划既贴合房山实际，又服从国家及首都发展大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96198"/>
    <w:rsid w:val="09244A21"/>
    <w:rsid w:val="09F84F96"/>
    <w:rsid w:val="133B5CA9"/>
    <w:rsid w:val="13A8770D"/>
    <w:rsid w:val="15F73572"/>
    <w:rsid w:val="2A4B60FF"/>
    <w:rsid w:val="2B241811"/>
    <w:rsid w:val="2BA0678D"/>
    <w:rsid w:val="2FA86DD9"/>
    <w:rsid w:val="312A390C"/>
    <w:rsid w:val="500A3006"/>
    <w:rsid w:val="56273527"/>
    <w:rsid w:val="59FD682B"/>
    <w:rsid w:val="5FDE3C7E"/>
    <w:rsid w:val="6FD7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宋体"/>
      <w:kern w:val="2"/>
      <w:sz w:val="28"/>
      <w:szCs w:val="28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  <w14:ligatures w14:val="standardContextual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000000" w:themeColor="text1"/>
      <w:kern w:val="0"/>
      <w:sz w:val="27"/>
      <w:szCs w:val="27"/>
      <w:lang w:val="en-US" w:eastAsia="zh-CN" w:bidi="ar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13"/>
    <w:semiHidden/>
    <w:unhideWhenUsed/>
    <w:qFormat/>
    <w:uiPriority w:val="0"/>
    <w:pPr>
      <w:keepNext/>
      <w:keepLines/>
      <w:ind w:firstLine="0" w:firstLineChars="0"/>
      <w:outlineLvl w:val="3"/>
    </w:pPr>
    <w:rPr>
      <w:rFonts w:ascii="黑体" w:hAnsi="黑体" w:eastAsia="黑体"/>
      <w:color w:val="000000" w:themeColor="text1"/>
      <w14:textFill>
        <w14:solidFill>
          <w14:schemeClr w14:val="tx1"/>
        </w14:solidFill>
      </w14:textFill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semiHidden/>
    <w:unhideWhenUsed/>
    <w:qFormat/>
    <w:uiPriority w:val="0"/>
    <w:pPr>
      <w:spacing w:before="50" w:beforeLines="50" w:line="240" w:lineRule="exact"/>
      <w:ind w:firstLine="0" w:firstLineChars="0"/>
      <w:jc w:val="center"/>
    </w:pPr>
    <w:rPr>
      <w:rFonts w:eastAsia="宋体"/>
      <w:sz w:val="21"/>
      <w:szCs w:val="21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字符"/>
    <w:basedOn w:val="8"/>
    <w:link w:val="2"/>
    <w:qFormat/>
    <w:uiPriority w:val="9"/>
    <w:rPr>
      <w:rFonts w:ascii="Times New Roman" w:hAnsi="Times New Roman" w:eastAsia="黑体" w:cs="宋体"/>
      <w:bCs/>
      <w:kern w:val="44"/>
      <w:sz w:val="32"/>
      <w:szCs w:val="44"/>
      <w14:ligatures w14:val="standardContextual"/>
    </w:rPr>
  </w:style>
  <w:style w:type="character" w:customStyle="1" w:styleId="11">
    <w:name w:val="标题 2 字符"/>
    <w:basedOn w:val="8"/>
    <w:link w:val="3"/>
    <w:qFormat/>
    <w:uiPriority w:val="9"/>
    <w:rPr>
      <w:rFonts w:ascii="黑体" w:hAnsi="黑体" w:eastAsia="黑体" w:cs="宋体"/>
      <w:bCs/>
      <w:sz w:val="32"/>
      <w:szCs w:val="32"/>
    </w:rPr>
  </w:style>
  <w:style w:type="character" w:customStyle="1" w:styleId="12">
    <w:name w:val="标题 3 字符"/>
    <w:basedOn w:val="8"/>
    <w:link w:val="4"/>
    <w:qFormat/>
    <w:uiPriority w:val="9"/>
    <w:rPr>
      <w:rFonts w:ascii="黑体" w:hAnsi="黑体" w:eastAsia="黑体"/>
      <w:bCs/>
      <w:color w:val="000000" w:themeColor="text1"/>
      <w:sz w:val="30"/>
      <w:szCs w:val="32"/>
      <w14:textFill>
        <w14:solidFill>
          <w14:schemeClr w14:val="tx1"/>
        </w14:solidFill>
      </w14:textFill>
    </w:rPr>
  </w:style>
  <w:style w:type="character" w:customStyle="1" w:styleId="13">
    <w:name w:val="标题 4 字符"/>
    <w:basedOn w:val="8"/>
    <w:link w:val="5"/>
    <w:qFormat/>
    <w:uiPriority w:val="9"/>
    <w:rPr>
      <w:rFonts w:ascii="黑体" w:hAnsi="黑体" w:eastAsia="黑体" w:cs="宋体"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2021-05-11T08:08:00Z</dcterms:created>
  <dc:creator>user</dc:creator>
  <cp:lastModifiedBy>user</cp:lastModifiedBy>
  <dcterms:modified xsi:type="dcterms:W3CDTF">2026-06-12T09:51:56Z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