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89AB92">
      <w:pPr>
        <w:suppressAutoHyphens/>
        <w:bidi w:val="0"/>
        <w:spacing w:line="560" w:lineRule="exact"/>
        <w:rPr>
          <w:rFonts w:ascii="楷体_GB2312" w:hAnsi="楷体_GB2312" w:eastAsia="楷体_GB2312" w:cs="楷体_GB2312"/>
          <w:b/>
          <w:bCs/>
          <w:color w:val="auto"/>
          <w:sz w:val="32"/>
          <w:szCs w:val="32"/>
          <w:highlight w:val="none"/>
        </w:rPr>
      </w:pPr>
      <w:r>
        <w:rPr>
          <w:rFonts w:hint="eastAsia" w:ascii="楷体_GB2312" w:hAnsi="楷体_GB2312" w:eastAsia="楷体_GB2312" w:cs="楷体_GB2312"/>
          <w:bCs/>
          <w:color w:val="auto"/>
          <w:sz w:val="32"/>
          <w:szCs w:val="32"/>
          <w:highlight w:val="none"/>
        </w:rPr>
        <w:t>北京市石景山区“十</w:t>
      </w:r>
      <w:r>
        <w:rPr>
          <w:rFonts w:hint="eastAsia" w:ascii="楷体_GB2312" w:hAnsi="楷体_GB2312" w:eastAsia="楷体_GB2312" w:cs="楷体_GB2312"/>
          <w:bCs/>
          <w:color w:val="auto"/>
          <w:sz w:val="32"/>
          <w:szCs w:val="32"/>
          <w:highlight w:val="none"/>
          <w:lang w:eastAsia="zh-CN"/>
        </w:rPr>
        <w:t>五</w:t>
      </w:r>
      <w:r>
        <w:rPr>
          <w:rFonts w:hint="eastAsia" w:ascii="楷体_GB2312" w:hAnsi="楷体_GB2312" w:eastAsia="楷体_GB2312" w:cs="楷体_GB2312"/>
          <w:bCs/>
          <w:color w:val="auto"/>
          <w:sz w:val="32"/>
          <w:szCs w:val="32"/>
          <w:highlight w:val="none"/>
        </w:rPr>
        <w:t>五”</w:t>
      </w:r>
      <w:r>
        <w:rPr>
          <w:rFonts w:hint="eastAsia" w:ascii="楷体_GB2312" w:hAnsi="楷体_GB2312" w:eastAsia="楷体_GB2312" w:cs="楷体_GB2312"/>
          <w:bCs/>
          <w:color w:val="auto"/>
          <w:sz w:val="32"/>
          <w:szCs w:val="32"/>
          <w:highlight w:val="none"/>
          <w:lang w:eastAsia="zh-CN"/>
        </w:rPr>
        <w:t>重点</w:t>
      </w:r>
      <w:r>
        <w:rPr>
          <w:rFonts w:hint="eastAsia" w:ascii="楷体_GB2312" w:hAnsi="楷体_GB2312" w:eastAsia="楷体_GB2312" w:cs="楷体_GB2312"/>
          <w:bCs/>
          <w:color w:val="auto"/>
          <w:sz w:val="32"/>
          <w:szCs w:val="32"/>
          <w:highlight w:val="none"/>
          <w:u w:val="none"/>
        </w:rPr>
        <w:t>专</w:t>
      </w:r>
      <w:r>
        <w:rPr>
          <w:rFonts w:hint="eastAsia" w:ascii="楷体_GB2312" w:hAnsi="楷体_GB2312" w:eastAsia="楷体_GB2312" w:cs="楷体_GB2312"/>
          <w:bCs/>
          <w:color w:val="auto"/>
          <w:sz w:val="32"/>
          <w:szCs w:val="32"/>
          <w:highlight w:val="none"/>
        </w:rPr>
        <w:t>项规划</w:t>
      </w:r>
    </w:p>
    <w:p w14:paraId="329C0CF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b w:val="0"/>
          <w:bCs w:val="0"/>
          <w:color w:val="auto"/>
          <w:sz w:val="44"/>
          <w:szCs w:val="44"/>
          <w:highlight w:val="none"/>
        </w:rPr>
      </w:pPr>
    </w:p>
    <w:p w14:paraId="03775CC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b w:val="0"/>
          <w:bCs w:val="0"/>
          <w:color w:val="auto"/>
          <w:sz w:val="44"/>
          <w:szCs w:val="44"/>
          <w:highlight w:val="none"/>
        </w:rPr>
      </w:pPr>
    </w:p>
    <w:p w14:paraId="67192CE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b w:val="0"/>
          <w:bCs w:val="0"/>
          <w:color w:val="auto"/>
          <w:sz w:val="44"/>
          <w:szCs w:val="44"/>
          <w:highlight w:val="none"/>
        </w:rPr>
      </w:pPr>
    </w:p>
    <w:p w14:paraId="066A3D4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b w:val="0"/>
          <w:bCs w:val="0"/>
          <w:color w:val="auto"/>
          <w:sz w:val="44"/>
          <w:szCs w:val="44"/>
          <w:highlight w:val="none"/>
        </w:rPr>
      </w:pPr>
    </w:p>
    <w:p w14:paraId="19BB4E65">
      <w:pPr>
        <w:keepNext w:val="0"/>
        <w:keepLines w:val="0"/>
        <w:pageBreakBefore w:val="0"/>
        <w:widowControl w:val="0"/>
        <w:tabs>
          <w:tab w:val="left" w:pos="142"/>
        </w:tabs>
        <w:kinsoku/>
        <w:wordWrap/>
        <w:overflowPunct/>
        <w:topLinePunct w:val="0"/>
        <w:autoSpaceDE/>
        <w:autoSpaceDN/>
        <w:bidi w:val="0"/>
        <w:adjustRightInd w:val="0"/>
        <w:snapToGrid w:val="0"/>
        <w:spacing w:after="160" w:line="560" w:lineRule="exact"/>
        <w:jc w:val="center"/>
        <w:textAlignment w:val="auto"/>
        <w:outlineLvl w:val="9"/>
        <w:rPr>
          <w:rFonts w:hint="eastAsia" w:ascii="方正小标宋简体" w:hAnsi="方正小标宋简体" w:eastAsia="方正小标宋简体" w:cs="方正小标宋简体"/>
          <w:b w:val="0"/>
          <w:bCs/>
          <w:color w:val="auto"/>
          <w:sz w:val="52"/>
          <w:szCs w:val="52"/>
          <w:highlight w:val="none"/>
          <w:lang w:eastAsia="zh-CN"/>
        </w:rPr>
      </w:pPr>
      <w:r>
        <w:rPr>
          <w:rFonts w:hint="eastAsia" w:ascii="方正小标宋简体" w:hAnsi="方正小标宋简体" w:eastAsia="方正小标宋简体" w:cs="方正小标宋简体"/>
          <w:b w:val="0"/>
          <w:bCs/>
          <w:color w:val="auto"/>
          <w:sz w:val="52"/>
          <w:szCs w:val="52"/>
          <w:highlight w:val="none"/>
        </w:rPr>
        <w:t>石景山区“十五五”</w:t>
      </w:r>
      <w:r>
        <w:rPr>
          <w:rFonts w:hint="eastAsia" w:ascii="方正小标宋简体" w:hAnsi="方正小标宋简体" w:eastAsia="方正小标宋简体" w:cs="方正小标宋简体"/>
          <w:b w:val="0"/>
          <w:bCs/>
          <w:color w:val="auto"/>
          <w:sz w:val="52"/>
          <w:szCs w:val="52"/>
          <w:highlight w:val="none"/>
          <w:lang w:eastAsia="zh-CN"/>
        </w:rPr>
        <w:t>时期</w:t>
      </w:r>
    </w:p>
    <w:p w14:paraId="1CEFBEB7">
      <w:pPr>
        <w:keepNext w:val="0"/>
        <w:keepLines w:val="0"/>
        <w:pageBreakBefore w:val="0"/>
        <w:widowControl w:val="0"/>
        <w:tabs>
          <w:tab w:val="left" w:pos="142"/>
        </w:tabs>
        <w:kinsoku/>
        <w:wordWrap/>
        <w:overflowPunct/>
        <w:topLinePunct w:val="0"/>
        <w:autoSpaceDE/>
        <w:autoSpaceDN/>
        <w:bidi w:val="0"/>
        <w:adjustRightInd w:val="0"/>
        <w:snapToGrid w:val="0"/>
        <w:spacing w:after="160" w:line="560" w:lineRule="exact"/>
        <w:jc w:val="center"/>
        <w:textAlignment w:val="auto"/>
        <w:outlineLvl w:val="9"/>
        <w:rPr>
          <w:rFonts w:hint="eastAsia" w:ascii="方正小标宋简体" w:hAnsi="方正小标宋简体" w:eastAsia="方正小标宋简体" w:cs="方正小标宋简体"/>
          <w:b w:val="0"/>
          <w:bCs/>
          <w:color w:val="auto"/>
          <w:sz w:val="52"/>
          <w:szCs w:val="52"/>
          <w:highlight w:val="none"/>
        </w:rPr>
      </w:pPr>
      <w:r>
        <w:rPr>
          <w:rFonts w:hint="eastAsia" w:ascii="方正小标宋简体" w:hAnsi="方正小标宋简体" w:eastAsia="方正小标宋简体" w:cs="方正小标宋简体"/>
          <w:b w:val="0"/>
          <w:bCs/>
          <w:color w:val="auto"/>
          <w:sz w:val="52"/>
          <w:szCs w:val="52"/>
          <w:highlight w:val="none"/>
        </w:rPr>
        <w:t>社会</w:t>
      </w:r>
      <w:r>
        <w:rPr>
          <w:rFonts w:hint="eastAsia" w:ascii="方正小标宋简体" w:hAnsi="方正小标宋简体" w:eastAsia="方正小标宋简体" w:cs="方正小标宋简体"/>
          <w:b w:val="0"/>
          <w:bCs/>
          <w:color w:val="auto"/>
          <w:sz w:val="52"/>
          <w:szCs w:val="52"/>
          <w:highlight w:val="none"/>
          <w:lang w:val="en-US" w:eastAsia="zh-CN"/>
        </w:rPr>
        <w:t>建设</w:t>
      </w:r>
      <w:r>
        <w:rPr>
          <w:rFonts w:hint="eastAsia" w:ascii="方正小标宋简体" w:hAnsi="方正小标宋简体" w:eastAsia="方正小标宋简体" w:cs="方正小标宋简体"/>
          <w:b w:val="0"/>
          <w:bCs/>
          <w:color w:val="auto"/>
          <w:sz w:val="52"/>
          <w:szCs w:val="52"/>
          <w:highlight w:val="none"/>
        </w:rPr>
        <w:t>规划</w:t>
      </w:r>
    </w:p>
    <w:p w14:paraId="45CD366C">
      <w:pPr>
        <w:keepNext w:val="0"/>
        <w:keepLines w:val="0"/>
        <w:pageBreakBefore w:val="0"/>
        <w:kinsoku/>
        <w:wordWrap/>
        <w:overflowPunct/>
        <w:topLinePunct w:val="0"/>
        <w:autoSpaceDE/>
        <w:autoSpaceDN/>
        <w:bidi w:val="0"/>
        <w:spacing w:line="560" w:lineRule="exact"/>
        <w:ind w:firstLine="420" w:firstLineChars="200"/>
        <w:jc w:val="center"/>
        <w:textAlignment w:val="auto"/>
        <w:rPr>
          <w:rFonts w:hint="eastAsia" w:ascii="仿宋_GB2312" w:hAnsi="仿宋_GB2312" w:eastAsia="仿宋_GB2312" w:cs="仿宋_GB2312"/>
          <w:b w:val="0"/>
          <w:bCs w:val="0"/>
          <w:color w:val="auto"/>
          <w:highlight w:val="none"/>
          <w:lang w:eastAsia="zh-CN"/>
        </w:rPr>
      </w:pPr>
    </w:p>
    <w:p w14:paraId="272822F2">
      <w:pPr>
        <w:jc w:val="center"/>
        <w:rPr>
          <w:rFonts w:hint="eastAsia" w:ascii="黑体" w:hAnsi="黑体" w:eastAsia="黑体" w:cs="黑体"/>
          <w:b/>
          <w:bCs/>
          <w:color w:val="auto"/>
          <w:sz w:val="44"/>
          <w:szCs w:val="44"/>
          <w:highlight w:val="none"/>
        </w:rPr>
      </w:pPr>
    </w:p>
    <w:p w14:paraId="55249C0D">
      <w:pPr>
        <w:jc w:val="center"/>
        <w:rPr>
          <w:rFonts w:hint="eastAsia" w:ascii="黑体" w:hAnsi="黑体" w:eastAsia="黑体" w:cs="黑体"/>
          <w:b/>
          <w:bCs/>
          <w:color w:val="auto"/>
          <w:sz w:val="44"/>
          <w:szCs w:val="44"/>
          <w:highlight w:val="none"/>
        </w:rPr>
      </w:pPr>
    </w:p>
    <w:p w14:paraId="0026AC48">
      <w:pPr>
        <w:jc w:val="center"/>
        <w:rPr>
          <w:rFonts w:hint="eastAsia" w:ascii="黑体" w:hAnsi="黑体" w:eastAsia="黑体" w:cs="黑体"/>
          <w:b/>
          <w:bCs/>
          <w:color w:val="auto"/>
          <w:sz w:val="44"/>
          <w:szCs w:val="44"/>
          <w:highlight w:val="none"/>
        </w:rPr>
      </w:pPr>
    </w:p>
    <w:p w14:paraId="3EBA08B3">
      <w:pPr>
        <w:jc w:val="center"/>
        <w:rPr>
          <w:rFonts w:hint="eastAsia" w:ascii="黑体" w:hAnsi="黑体" w:eastAsia="黑体" w:cs="黑体"/>
          <w:b/>
          <w:bCs/>
          <w:color w:val="auto"/>
          <w:sz w:val="44"/>
          <w:szCs w:val="44"/>
          <w:highlight w:val="none"/>
        </w:rPr>
      </w:pPr>
    </w:p>
    <w:p w14:paraId="764F11AD">
      <w:pPr>
        <w:jc w:val="center"/>
        <w:rPr>
          <w:rFonts w:hint="eastAsia" w:ascii="黑体" w:hAnsi="黑体" w:eastAsia="黑体" w:cs="黑体"/>
          <w:b/>
          <w:bCs/>
          <w:color w:val="auto"/>
          <w:sz w:val="44"/>
          <w:szCs w:val="44"/>
          <w:highlight w:val="none"/>
        </w:rPr>
      </w:pPr>
    </w:p>
    <w:p w14:paraId="5F02D712">
      <w:pPr>
        <w:jc w:val="center"/>
        <w:rPr>
          <w:rFonts w:hint="eastAsia" w:ascii="黑体" w:hAnsi="黑体" w:eastAsia="黑体" w:cs="黑体"/>
          <w:b/>
          <w:bCs/>
          <w:color w:val="auto"/>
          <w:sz w:val="44"/>
          <w:szCs w:val="44"/>
          <w:highlight w:val="none"/>
        </w:rPr>
      </w:pPr>
    </w:p>
    <w:p w14:paraId="05663A89">
      <w:pPr>
        <w:jc w:val="center"/>
        <w:rPr>
          <w:rFonts w:hint="eastAsia" w:ascii="黑体" w:hAnsi="黑体" w:eastAsia="黑体" w:cs="黑体"/>
          <w:b/>
          <w:bCs/>
          <w:color w:val="auto"/>
          <w:sz w:val="44"/>
          <w:szCs w:val="44"/>
          <w:highlight w:val="none"/>
        </w:rPr>
      </w:pPr>
    </w:p>
    <w:p w14:paraId="5C92295D">
      <w:pPr>
        <w:keepNext w:val="0"/>
        <w:keepLines w:val="0"/>
        <w:pageBreakBefore w:val="0"/>
        <w:widowControl w:val="0"/>
        <w:tabs>
          <w:tab w:val="left" w:pos="142"/>
        </w:tabs>
        <w:suppressAutoHyphens/>
        <w:kinsoku/>
        <w:wordWrap/>
        <w:overflowPunct/>
        <w:topLinePunct w:val="0"/>
        <w:autoSpaceDE/>
        <w:autoSpaceDN/>
        <w:bidi w:val="0"/>
        <w:adjustRightInd w:val="0"/>
        <w:snapToGrid w:val="0"/>
        <w:spacing w:after="160" w:line="560" w:lineRule="exact"/>
        <w:ind w:left="0" w:leftChars="0" w:right="0" w:rightChars="0"/>
        <w:jc w:val="center"/>
        <w:textAlignment w:val="auto"/>
        <w:outlineLvl w:val="9"/>
        <w:rPr>
          <w:rFonts w:hint="default" w:ascii="黑体" w:hAnsi="黑体" w:eastAsia="黑体" w:cs="黑体"/>
          <w:color w:val="auto"/>
          <w:sz w:val="32"/>
          <w:szCs w:val="32"/>
          <w:highlight w:val="none"/>
          <w:u w:val="none"/>
          <w:lang w:val="en-US" w:eastAsia="zh-CN"/>
        </w:rPr>
      </w:pPr>
      <w:r>
        <w:rPr>
          <w:rFonts w:hint="eastAsia" w:ascii="黑体" w:hAnsi="黑体" w:eastAsia="黑体" w:cs="黑体"/>
          <w:color w:val="auto"/>
          <w:sz w:val="32"/>
          <w:szCs w:val="32"/>
          <w:highlight w:val="none"/>
          <w:lang w:val="en-US" w:eastAsia="zh-CN"/>
        </w:rPr>
        <w:t>北京市石景山区人民政府</w:t>
      </w:r>
    </w:p>
    <w:p w14:paraId="5A9E2BB9">
      <w:pPr>
        <w:keepNext w:val="0"/>
        <w:keepLines w:val="0"/>
        <w:pageBreakBefore w:val="0"/>
        <w:widowControl w:val="0"/>
        <w:tabs>
          <w:tab w:val="left" w:pos="142"/>
        </w:tabs>
        <w:suppressAutoHyphens/>
        <w:kinsoku/>
        <w:wordWrap/>
        <w:overflowPunct/>
        <w:topLinePunct w:val="0"/>
        <w:autoSpaceDE/>
        <w:autoSpaceDN/>
        <w:bidi w:val="0"/>
        <w:adjustRightInd w:val="0"/>
        <w:snapToGrid w:val="0"/>
        <w:spacing w:after="160" w:line="560" w:lineRule="exact"/>
        <w:ind w:left="0" w:leftChars="0" w:right="0" w:rightChars="0"/>
        <w:jc w:val="center"/>
        <w:textAlignment w:val="auto"/>
        <w:outlineLvl w:val="9"/>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202</w:t>
      </w:r>
      <w:r>
        <w:rPr>
          <w:rFonts w:hint="eastAsia" w:ascii="黑体" w:hAnsi="黑体" w:eastAsia="黑体" w:cs="黑体"/>
          <w:color w:val="auto"/>
          <w:sz w:val="32"/>
          <w:szCs w:val="32"/>
          <w:highlight w:val="none"/>
          <w:lang w:val="en-US" w:eastAsia="zh-CN"/>
        </w:rPr>
        <w:t>6</w:t>
      </w:r>
      <w:r>
        <w:rPr>
          <w:rFonts w:hint="eastAsia" w:ascii="黑体" w:hAnsi="黑体" w:eastAsia="黑体" w:cs="黑体"/>
          <w:color w:val="auto"/>
          <w:sz w:val="32"/>
          <w:szCs w:val="32"/>
          <w:highlight w:val="none"/>
        </w:rPr>
        <w:t>年</w:t>
      </w:r>
      <w:r>
        <w:rPr>
          <w:rFonts w:hint="eastAsia" w:ascii="黑体" w:hAnsi="黑体" w:eastAsia="黑体" w:cs="黑体"/>
          <w:color w:val="auto"/>
          <w:sz w:val="32"/>
          <w:szCs w:val="32"/>
          <w:highlight w:val="none"/>
          <w:lang w:val="en-US" w:eastAsia="zh-CN"/>
        </w:rPr>
        <w:t>8</w:t>
      </w:r>
      <w:r>
        <w:rPr>
          <w:rFonts w:hint="eastAsia" w:ascii="黑体" w:hAnsi="黑体" w:eastAsia="黑体" w:cs="黑体"/>
          <w:color w:val="auto"/>
          <w:sz w:val="32"/>
          <w:szCs w:val="32"/>
          <w:highlight w:val="none"/>
        </w:rPr>
        <w:t>月</w:t>
      </w:r>
    </w:p>
    <w:p w14:paraId="3934B45B">
      <w:pPr>
        <w:jc w:val="center"/>
        <w:rPr>
          <w:rFonts w:hint="eastAsia" w:ascii="黑体" w:hAnsi="黑体" w:eastAsia="黑体" w:cs="黑体"/>
          <w:b/>
          <w:bCs/>
          <w:color w:val="auto"/>
          <w:sz w:val="44"/>
          <w:szCs w:val="44"/>
          <w:highlight w:val="none"/>
        </w:rPr>
      </w:pPr>
    </w:p>
    <w:p w14:paraId="602E3DA8">
      <w:pPr>
        <w:jc w:val="center"/>
        <w:rPr>
          <w:rFonts w:hint="eastAsia" w:ascii="黑体" w:hAnsi="黑体" w:eastAsia="黑体" w:cs="黑体"/>
          <w:b/>
          <w:bCs/>
          <w:color w:val="auto"/>
          <w:sz w:val="44"/>
          <w:szCs w:val="44"/>
          <w:highlight w:val="none"/>
        </w:rPr>
      </w:pPr>
    </w:p>
    <w:p w14:paraId="6EA4AC4D">
      <w:pPr>
        <w:jc w:val="center"/>
        <w:rPr>
          <w:rFonts w:hint="eastAsia" w:ascii="黑体" w:hAnsi="黑体" w:eastAsia="黑体" w:cs="黑体"/>
          <w:b/>
          <w:bCs/>
          <w:color w:val="auto"/>
          <w:sz w:val="44"/>
          <w:szCs w:val="44"/>
          <w:highlight w:val="none"/>
        </w:rPr>
      </w:pPr>
    </w:p>
    <w:p w14:paraId="5CC1821F">
      <w:pPr>
        <w:rPr>
          <w:rFonts w:hint="eastAsia"/>
          <w:color w:val="auto"/>
          <w:highlight w:val="none"/>
        </w:rPr>
      </w:pPr>
    </w:p>
    <w:sdt>
      <w:sdtPr>
        <w:rPr>
          <w:rFonts w:hint="eastAsia" w:ascii="仿宋_GB2312" w:hAnsi="仿宋_GB2312" w:eastAsia="仿宋_GB2312" w:cs="仿宋_GB2312"/>
          <w:color w:val="auto"/>
          <w:sz w:val="44"/>
          <w:szCs w:val="44"/>
          <w:highlight w:val="none"/>
          <w:lang w:val="en-US" w:eastAsia="zh-CN"/>
        </w:rPr>
        <w:id w:val="147462504"/>
        <w15:color w:val="DBDBDB"/>
        <w:docPartObj>
          <w:docPartGallery w:val="Table of Contents"/>
          <w:docPartUnique/>
        </w:docPartObj>
      </w:sdtPr>
      <w:sdtEndPr>
        <w:rPr>
          <w:rFonts w:hint="eastAsia" w:ascii="方正公文小标宋" w:hAnsi="方正公文小标宋" w:eastAsia="方正公文小标宋" w:cs="方正公文小标宋"/>
          <w:color w:val="auto"/>
          <w:sz w:val="30"/>
          <w:szCs w:val="30"/>
          <w:highlight w:val="none"/>
          <w:lang w:val="en-US" w:eastAsia="zh-CN"/>
        </w:rPr>
      </w:sdtEndPr>
      <w:sdtContent>
        <w:p w14:paraId="65CD1A46">
          <w:pPr>
            <w:pStyle w:val="10"/>
            <w:keepNext w:val="0"/>
            <w:keepLines w:val="0"/>
            <w:pageBreakBefore w:val="0"/>
            <w:widowControl w:val="0"/>
            <w:tabs>
              <w:tab w:val="right" w:leader="dot" w:pos="8306"/>
            </w:tabs>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sz w:val="44"/>
              <w:szCs w:val="44"/>
              <w:highlight w:val="none"/>
              <w:lang w:val="en-US" w:eastAsia="zh-CN"/>
            </w:rPr>
          </w:pPr>
        </w:p>
        <w:p w14:paraId="7892E3D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序言</w:t>
          </w:r>
        </w:p>
        <w:p w14:paraId="1D13C5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五五”时期是我国经济高质量发展攻坚、社会主义现代化建设承前启后、突破国际竞争围堵的战略机遇期，也是北京建设国际一流和谐宜居之都的关键阶段。石景山区作为中心城区，紧抓“两园一河”协同联动发展和服贸会“一会一址”落户举办重大机遇，深入实施“两大战略”，统筹做好“四个融合”文章，正处于深化改革、构建新发展格局的攻坚阶段。区域发展既要服务首都“四个中心”功能建设，又要保障民生福祉、推进工作创新，需立足区域特色与时代要求，精心谋划“十五五”时期社会建设规划，为全力打造新时代首都城市复兴新地标，高水平建设好首都城市西大门奠定坚实基础。</w:t>
          </w:r>
        </w:p>
        <w:p w14:paraId="1E228D3C">
          <w:pPr>
            <w:pStyle w:val="2"/>
            <w:adjustRightInd w:val="0"/>
            <w:snapToGrid w:val="0"/>
            <w:spacing w:line="560" w:lineRule="exact"/>
            <w:ind w:firstLine="640" w:firstLineChars="200"/>
            <w:rPr>
              <w:rFonts w:hint="default"/>
              <w:color w:val="auto"/>
              <w:highlight w:val="none"/>
              <w:lang w:val="en-US" w:eastAsia="zh-CN"/>
            </w:rPr>
          </w:pPr>
          <w:r>
            <w:rPr>
              <w:rFonts w:hint="eastAsia" w:ascii="仿宋_GB2312" w:hAnsi="仿宋_GB2312" w:eastAsia="仿宋_GB2312" w:cs="仿宋_GB2312"/>
              <w:color w:val="auto"/>
              <w:sz w:val="32"/>
              <w:szCs w:val="32"/>
              <w:highlight w:val="none"/>
              <w:lang w:val="en-US" w:eastAsia="zh-CN"/>
            </w:rPr>
            <w:t>《石景山区“十五五”时期社会建设规划》以习近平新时代中国特色社会主义思想为指导，全面贯彻习近平总书记关于社会工作、社会治理的重要论述和重要指示精神，依据《中共中央关于制定国民经济和社会发展第十五个五年规划的建议》《中共北京市委关于制定北京市国民经济和社会发展第十五个五年规划的建议》《中共北京市石景山区委关于制定石景山区国民经济和社会发展第十五个五年规划的建议》《北京市石景山区国民经济和社会发展第十五个五年规划纲要》编制，系统阐明社会建设的总体思路、主要目标和重点任务，是全区推进社会建设高质量发展的工作指引。</w:t>
          </w:r>
        </w:p>
        <w:p w14:paraId="1FED53E8">
          <w:pPr>
            <w:pStyle w:val="2"/>
            <w:rPr>
              <w:rFonts w:hint="eastAsia"/>
              <w:color w:val="auto"/>
              <w:highlight w:val="none"/>
              <w:lang w:val="en-US" w:eastAsia="zh-CN"/>
            </w:rPr>
          </w:pPr>
        </w:p>
        <w:p w14:paraId="17E5CEAB">
          <w:pPr>
            <w:pStyle w:val="2"/>
            <w:rPr>
              <w:rFonts w:hint="eastAsia"/>
              <w:color w:val="auto"/>
              <w:highlight w:val="none"/>
              <w:lang w:val="en-US" w:eastAsia="zh-CN"/>
            </w:rPr>
          </w:pPr>
        </w:p>
        <w:p w14:paraId="7248B939">
          <w:pPr>
            <w:pStyle w:val="10"/>
            <w:keepNext w:val="0"/>
            <w:keepLines w:val="0"/>
            <w:pageBreakBefore w:val="0"/>
            <w:widowControl w:val="0"/>
            <w:tabs>
              <w:tab w:val="right" w:leader="dot" w:pos="8306"/>
            </w:tabs>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目 录</w:t>
          </w:r>
        </w:p>
        <w:p w14:paraId="01F40107">
          <w:pPr>
            <w:rPr>
              <w:rFonts w:hint="eastAsia"/>
              <w:color w:val="auto"/>
              <w:highlight w:val="none"/>
              <w:lang w:val="en-US" w:eastAsia="zh-CN"/>
            </w:rPr>
          </w:pPr>
        </w:p>
        <w:p w14:paraId="3651B63F">
          <w:pPr>
            <w:pStyle w:val="9"/>
            <w:keepNext w:val="0"/>
            <w:keepLines w:val="0"/>
            <w:pageBreakBefore w:val="0"/>
            <w:widowControl w:val="0"/>
            <w:tabs>
              <w:tab w:val="right" w:leader="dot" w:pos="8448"/>
            </w:tabs>
            <w:kinsoku/>
            <w:wordWrap/>
            <w:overflowPunct/>
            <w:topLinePunct w:val="0"/>
            <w:autoSpaceDE/>
            <w:autoSpaceDN/>
            <w:bidi w:val="0"/>
            <w:spacing w:line="460" w:lineRule="exact"/>
            <w:textAlignment w:val="auto"/>
            <w:rPr>
              <w:rFonts w:hint="eastAsia" w:ascii="黑体" w:hAnsi="黑体" w:eastAsia="黑体" w:cs="黑体"/>
              <w:color w:val="auto"/>
              <w:sz w:val="28"/>
              <w:szCs w:val="40"/>
              <w:highlight w:val="none"/>
            </w:rPr>
          </w:pPr>
          <w:r>
            <w:rPr>
              <w:rFonts w:hint="eastAsia" w:ascii="楷体_GB2312" w:hAnsi="楷体_GB2312" w:eastAsia="楷体_GB2312" w:cs="楷体_GB2312"/>
              <w:color w:val="auto"/>
              <w:sz w:val="40"/>
              <w:szCs w:val="40"/>
              <w:highlight w:val="none"/>
            </w:rPr>
            <w:fldChar w:fldCharType="begin"/>
          </w:r>
          <w:r>
            <w:rPr>
              <w:rFonts w:hint="eastAsia" w:ascii="楷体_GB2312" w:hAnsi="楷体_GB2312" w:eastAsia="楷体_GB2312" w:cs="楷体_GB2312"/>
              <w:color w:val="auto"/>
              <w:sz w:val="40"/>
              <w:szCs w:val="40"/>
              <w:highlight w:val="none"/>
            </w:rPr>
            <w:instrText xml:space="preserve">TOC \o "1-2" \h \u </w:instrText>
          </w:r>
          <w:r>
            <w:rPr>
              <w:rFonts w:hint="eastAsia" w:ascii="楷体_GB2312" w:hAnsi="楷体_GB2312" w:eastAsia="楷体_GB2312" w:cs="楷体_GB2312"/>
              <w:color w:val="auto"/>
              <w:sz w:val="40"/>
              <w:szCs w:val="40"/>
              <w:highlight w:val="none"/>
            </w:rPr>
            <w:fldChar w:fldCharType="separate"/>
          </w:r>
          <w:r>
            <w:rPr>
              <w:rFonts w:hint="eastAsia" w:ascii="黑体" w:hAnsi="黑体" w:eastAsia="黑体" w:cs="黑体"/>
              <w:color w:val="auto"/>
              <w:sz w:val="28"/>
              <w:szCs w:val="40"/>
              <w:highlight w:val="none"/>
            </w:rPr>
            <w:fldChar w:fldCharType="begin"/>
          </w:r>
          <w:r>
            <w:rPr>
              <w:rFonts w:hint="eastAsia" w:ascii="黑体" w:hAnsi="黑体" w:eastAsia="黑体" w:cs="黑体"/>
              <w:color w:val="auto"/>
              <w:sz w:val="28"/>
              <w:szCs w:val="40"/>
              <w:highlight w:val="none"/>
            </w:rPr>
            <w:instrText xml:space="preserve"> HYPERLINK \l _Toc2087048107 </w:instrText>
          </w:r>
          <w:r>
            <w:rPr>
              <w:rFonts w:hint="eastAsia" w:ascii="黑体" w:hAnsi="黑体" w:eastAsia="黑体" w:cs="黑体"/>
              <w:color w:val="auto"/>
              <w:sz w:val="28"/>
              <w:szCs w:val="40"/>
              <w:highlight w:val="none"/>
            </w:rPr>
            <w:fldChar w:fldCharType="separate"/>
          </w:r>
          <w:r>
            <w:rPr>
              <w:rFonts w:hint="eastAsia" w:ascii="黑体" w:hAnsi="黑体" w:eastAsia="黑体" w:cs="黑体"/>
              <w:color w:val="auto"/>
              <w:sz w:val="28"/>
              <w:szCs w:val="40"/>
              <w:highlight w:val="none"/>
              <w:lang w:val="en-US" w:eastAsia="zh-CN"/>
            </w:rPr>
            <w:t>第一部分 过去五年建设成就</w:t>
          </w:r>
          <w:r>
            <w:rPr>
              <w:rFonts w:hint="eastAsia" w:ascii="仿宋_GB2312" w:hAnsi="仿宋_GB2312" w:eastAsia="仿宋_GB2312" w:cs="仿宋_GB2312"/>
              <w:color w:val="auto"/>
              <w:sz w:val="28"/>
              <w:szCs w:val="40"/>
              <w:highlight w:val="none"/>
            </w:rPr>
            <w:tab/>
          </w:r>
          <w:r>
            <w:rPr>
              <w:rFonts w:hint="eastAsia" w:ascii="仿宋_GB2312" w:hAnsi="仿宋_GB2312" w:eastAsia="仿宋_GB2312" w:cs="仿宋_GB2312"/>
              <w:color w:val="auto"/>
              <w:sz w:val="28"/>
              <w:szCs w:val="40"/>
              <w:highlight w:val="none"/>
            </w:rPr>
            <w:fldChar w:fldCharType="begin"/>
          </w:r>
          <w:r>
            <w:rPr>
              <w:rFonts w:hint="eastAsia" w:ascii="仿宋_GB2312" w:hAnsi="仿宋_GB2312" w:eastAsia="仿宋_GB2312" w:cs="仿宋_GB2312"/>
              <w:color w:val="auto"/>
              <w:sz w:val="28"/>
              <w:szCs w:val="40"/>
              <w:highlight w:val="none"/>
            </w:rPr>
            <w:instrText xml:space="preserve"> PAGEREF _Toc2087048107 \h </w:instrText>
          </w:r>
          <w:r>
            <w:rPr>
              <w:rFonts w:hint="eastAsia" w:ascii="仿宋_GB2312" w:hAnsi="仿宋_GB2312" w:eastAsia="仿宋_GB2312" w:cs="仿宋_GB2312"/>
              <w:color w:val="auto"/>
              <w:sz w:val="28"/>
              <w:szCs w:val="40"/>
              <w:highlight w:val="none"/>
            </w:rPr>
            <w:fldChar w:fldCharType="separate"/>
          </w:r>
          <w:r>
            <w:rPr>
              <w:rFonts w:hint="eastAsia" w:ascii="仿宋_GB2312" w:hAnsi="仿宋_GB2312" w:eastAsia="仿宋_GB2312" w:cs="仿宋_GB2312"/>
              <w:color w:val="auto"/>
              <w:sz w:val="28"/>
              <w:szCs w:val="40"/>
              <w:highlight w:val="none"/>
            </w:rPr>
            <w:t>4</w:t>
          </w:r>
          <w:r>
            <w:rPr>
              <w:rFonts w:hint="eastAsia" w:ascii="仿宋_GB2312" w:hAnsi="仿宋_GB2312" w:eastAsia="仿宋_GB2312" w:cs="仿宋_GB2312"/>
              <w:color w:val="auto"/>
              <w:sz w:val="28"/>
              <w:szCs w:val="40"/>
              <w:highlight w:val="none"/>
            </w:rPr>
            <w:fldChar w:fldCharType="end"/>
          </w:r>
          <w:r>
            <w:rPr>
              <w:rFonts w:hint="eastAsia" w:ascii="黑体" w:hAnsi="黑体" w:eastAsia="黑体" w:cs="黑体"/>
              <w:color w:val="auto"/>
              <w:sz w:val="28"/>
              <w:szCs w:val="40"/>
              <w:highlight w:val="none"/>
            </w:rPr>
            <w:fldChar w:fldCharType="end"/>
          </w:r>
        </w:p>
        <w:p w14:paraId="723102EF">
          <w:pPr>
            <w:pStyle w:val="10"/>
            <w:keepNext w:val="0"/>
            <w:keepLines w:val="0"/>
            <w:pageBreakBefore w:val="0"/>
            <w:widowControl w:val="0"/>
            <w:tabs>
              <w:tab w:val="right" w:leader="dot" w:pos="8448"/>
            </w:tabs>
            <w:kinsoku/>
            <w:wordWrap/>
            <w:overflowPunct/>
            <w:topLinePunct w:val="0"/>
            <w:autoSpaceDE/>
            <w:autoSpaceDN/>
            <w:bidi w:val="0"/>
            <w:spacing w:line="460" w:lineRule="exact"/>
            <w:textAlignment w:val="auto"/>
            <w:rPr>
              <w:rFonts w:hint="eastAsia" w:ascii="仿宋_GB2312" w:hAnsi="仿宋_GB2312" w:eastAsia="仿宋_GB2312" w:cs="仿宋_GB2312"/>
              <w:color w:val="auto"/>
              <w:sz w:val="28"/>
              <w:szCs w:val="36"/>
              <w:highlight w:val="none"/>
            </w:rPr>
          </w:pPr>
          <w:r>
            <w:rPr>
              <w:rFonts w:hint="eastAsia" w:ascii="仿宋_GB2312" w:hAnsi="仿宋_GB2312" w:eastAsia="仿宋_GB2312" w:cs="仿宋_GB2312"/>
              <w:color w:val="auto"/>
              <w:sz w:val="28"/>
              <w:szCs w:val="40"/>
              <w:highlight w:val="none"/>
            </w:rPr>
            <w:fldChar w:fldCharType="begin"/>
          </w:r>
          <w:r>
            <w:rPr>
              <w:rFonts w:hint="eastAsia" w:ascii="仿宋_GB2312" w:hAnsi="仿宋_GB2312" w:eastAsia="仿宋_GB2312" w:cs="仿宋_GB2312"/>
              <w:color w:val="auto"/>
              <w:sz w:val="28"/>
              <w:szCs w:val="40"/>
              <w:highlight w:val="none"/>
            </w:rPr>
            <w:instrText xml:space="preserve"> HYPERLINK \l _Toc1767351730 </w:instrText>
          </w:r>
          <w:r>
            <w:rPr>
              <w:rFonts w:hint="eastAsia" w:ascii="仿宋_GB2312" w:hAnsi="仿宋_GB2312" w:eastAsia="仿宋_GB2312" w:cs="仿宋_GB2312"/>
              <w:color w:val="auto"/>
              <w:sz w:val="28"/>
              <w:szCs w:val="40"/>
              <w:highlight w:val="none"/>
            </w:rPr>
            <w:fldChar w:fldCharType="separate"/>
          </w:r>
          <w:r>
            <w:rPr>
              <w:rFonts w:hint="eastAsia" w:ascii="仿宋_GB2312" w:hAnsi="仿宋_GB2312" w:eastAsia="仿宋_GB2312" w:cs="仿宋_GB2312"/>
              <w:bCs w:val="0"/>
              <w:color w:val="auto"/>
              <w:sz w:val="28"/>
              <w:szCs w:val="44"/>
              <w:highlight w:val="none"/>
              <w:lang w:val="en-US" w:eastAsia="zh-CN"/>
            </w:rPr>
            <w:t>一、</w:t>
          </w:r>
          <w:r>
            <w:rPr>
              <w:rFonts w:hint="eastAsia" w:ascii="仿宋_GB2312" w:hAnsi="仿宋_GB2312" w:eastAsia="仿宋_GB2312" w:cs="仿宋_GB2312"/>
              <w:bCs w:val="0"/>
              <w:color w:val="auto"/>
              <w:sz w:val="28"/>
              <w:szCs w:val="44"/>
              <w:highlight w:val="none"/>
            </w:rPr>
            <w:t>党建引领强基固本，社会</w:t>
          </w:r>
          <w:r>
            <w:rPr>
              <w:rFonts w:hint="eastAsia" w:ascii="仿宋_GB2312" w:hAnsi="仿宋_GB2312" w:eastAsia="仿宋_GB2312" w:cs="仿宋_GB2312"/>
              <w:bCs w:val="0"/>
              <w:color w:val="auto"/>
              <w:sz w:val="28"/>
              <w:szCs w:val="44"/>
              <w:highlight w:val="none"/>
              <w:lang w:val="en-US" w:eastAsia="zh-CN"/>
            </w:rPr>
            <w:t>工作</w:t>
          </w:r>
          <w:r>
            <w:rPr>
              <w:rFonts w:hint="eastAsia" w:ascii="仿宋_GB2312" w:hAnsi="仿宋_GB2312" w:eastAsia="仿宋_GB2312" w:cs="仿宋_GB2312"/>
              <w:bCs w:val="0"/>
              <w:color w:val="auto"/>
              <w:sz w:val="28"/>
              <w:szCs w:val="44"/>
              <w:highlight w:val="none"/>
            </w:rPr>
            <w:t>体系臻于完善</w:t>
          </w:r>
          <w:r>
            <w:rPr>
              <w:rFonts w:hint="eastAsia" w:ascii="仿宋_GB2312" w:hAnsi="仿宋_GB2312" w:eastAsia="仿宋_GB2312" w:cs="仿宋_GB2312"/>
              <w:color w:val="auto"/>
              <w:sz w:val="28"/>
              <w:szCs w:val="36"/>
              <w:highlight w:val="none"/>
            </w:rPr>
            <w:tab/>
          </w:r>
          <w:r>
            <w:rPr>
              <w:rFonts w:hint="eastAsia" w:ascii="仿宋_GB2312" w:hAnsi="仿宋_GB2312" w:eastAsia="仿宋_GB2312" w:cs="仿宋_GB2312"/>
              <w:color w:val="auto"/>
              <w:sz w:val="28"/>
              <w:szCs w:val="36"/>
              <w:highlight w:val="none"/>
            </w:rPr>
            <w:fldChar w:fldCharType="begin"/>
          </w:r>
          <w:r>
            <w:rPr>
              <w:rFonts w:hint="eastAsia" w:ascii="仿宋_GB2312" w:hAnsi="仿宋_GB2312" w:eastAsia="仿宋_GB2312" w:cs="仿宋_GB2312"/>
              <w:color w:val="auto"/>
              <w:sz w:val="28"/>
              <w:szCs w:val="36"/>
              <w:highlight w:val="none"/>
            </w:rPr>
            <w:instrText xml:space="preserve"> PAGEREF _Toc1767351730 \h </w:instrText>
          </w:r>
          <w:r>
            <w:rPr>
              <w:rFonts w:hint="eastAsia" w:ascii="仿宋_GB2312" w:hAnsi="仿宋_GB2312" w:eastAsia="仿宋_GB2312" w:cs="仿宋_GB2312"/>
              <w:color w:val="auto"/>
              <w:sz w:val="28"/>
              <w:szCs w:val="36"/>
              <w:highlight w:val="none"/>
            </w:rPr>
            <w:fldChar w:fldCharType="separate"/>
          </w:r>
          <w:r>
            <w:rPr>
              <w:rFonts w:hint="eastAsia" w:ascii="仿宋_GB2312" w:hAnsi="仿宋_GB2312" w:eastAsia="仿宋_GB2312" w:cs="仿宋_GB2312"/>
              <w:color w:val="auto"/>
              <w:sz w:val="28"/>
              <w:szCs w:val="36"/>
              <w:highlight w:val="none"/>
            </w:rPr>
            <w:t>4</w:t>
          </w:r>
          <w:r>
            <w:rPr>
              <w:rFonts w:hint="eastAsia" w:ascii="仿宋_GB2312" w:hAnsi="仿宋_GB2312" w:eastAsia="仿宋_GB2312" w:cs="仿宋_GB2312"/>
              <w:color w:val="auto"/>
              <w:sz w:val="28"/>
              <w:szCs w:val="36"/>
              <w:highlight w:val="none"/>
            </w:rPr>
            <w:fldChar w:fldCharType="end"/>
          </w:r>
          <w:r>
            <w:rPr>
              <w:rFonts w:hint="eastAsia" w:ascii="仿宋_GB2312" w:hAnsi="仿宋_GB2312" w:eastAsia="仿宋_GB2312" w:cs="仿宋_GB2312"/>
              <w:color w:val="auto"/>
              <w:sz w:val="28"/>
              <w:szCs w:val="40"/>
              <w:highlight w:val="none"/>
            </w:rPr>
            <w:fldChar w:fldCharType="end"/>
          </w:r>
        </w:p>
        <w:p w14:paraId="758C8943">
          <w:pPr>
            <w:pStyle w:val="10"/>
            <w:keepNext w:val="0"/>
            <w:keepLines w:val="0"/>
            <w:pageBreakBefore w:val="0"/>
            <w:widowControl w:val="0"/>
            <w:tabs>
              <w:tab w:val="right" w:leader="dot" w:pos="8448"/>
            </w:tabs>
            <w:kinsoku/>
            <w:wordWrap/>
            <w:overflowPunct/>
            <w:topLinePunct w:val="0"/>
            <w:autoSpaceDE/>
            <w:autoSpaceDN/>
            <w:bidi w:val="0"/>
            <w:spacing w:line="460" w:lineRule="exact"/>
            <w:textAlignment w:val="auto"/>
            <w:rPr>
              <w:rFonts w:hint="eastAsia" w:ascii="仿宋_GB2312" w:hAnsi="仿宋_GB2312" w:eastAsia="仿宋_GB2312" w:cs="仿宋_GB2312"/>
              <w:color w:val="auto"/>
              <w:sz w:val="28"/>
              <w:szCs w:val="36"/>
              <w:highlight w:val="none"/>
            </w:rPr>
          </w:pPr>
          <w:r>
            <w:rPr>
              <w:rFonts w:hint="eastAsia" w:ascii="仿宋_GB2312" w:hAnsi="仿宋_GB2312" w:eastAsia="仿宋_GB2312" w:cs="仿宋_GB2312"/>
              <w:color w:val="auto"/>
              <w:sz w:val="28"/>
              <w:szCs w:val="40"/>
              <w:highlight w:val="none"/>
            </w:rPr>
            <w:fldChar w:fldCharType="begin"/>
          </w:r>
          <w:r>
            <w:rPr>
              <w:rFonts w:hint="eastAsia" w:ascii="仿宋_GB2312" w:hAnsi="仿宋_GB2312" w:eastAsia="仿宋_GB2312" w:cs="仿宋_GB2312"/>
              <w:color w:val="auto"/>
              <w:sz w:val="28"/>
              <w:szCs w:val="40"/>
              <w:highlight w:val="none"/>
            </w:rPr>
            <w:instrText xml:space="preserve"> HYPERLINK \l _Toc1927623223 </w:instrText>
          </w:r>
          <w:r>
            <w:rPr>
              <w:rFonts w:hint="eastAsia" w:ascii="仿宋_GB2312" w:hAnsi="仿宋_GB2312" w:eastAsia="仿宋_GB2312" w:cs="仿宋_GB2312"/>
              <w:color w:val="auto"/>
              <w:sz w:val="28"/>
              <w:szCs w:val="40"/>
              <w:highlight w:val="none"/>
            </w:rPr>
            <w:fldChar w:fldCharType="separate"/>
          </w:r>
          <w:r>
            <w:rPr>
              <w:rFonts w:hint="eastAsia" w:ascii="仿宋_GB2312" w:hAnsi="仿宋_GB2312" w:eastAsia="仿宋_GB2312" w:cs="仿宋_GB2312"/>
              <w:bCs w:val="0"/>
              <w:color w:val="auto"/>
              <w:sz w:val="28"/>
              <w:szCs w:val="44"/>
              <w:highlight w:val="none"/>
              <w:lang w:val="en-US" w:eastAsia="zh-CN"/>
            </w:rPr>
            <w:t>二、基层治理改革攻坚，服务群众实效愈加显著</w:t>
          </w:r>
          <w:r>
            <w:rPr>
              <w:rFonts w:hint="eastAsia" w:ascii="仿宋_GB2312" w:hAnsi="仿宋_GB2312" w:eastAsia="仿宋_GB2312" w:cs="仿宋_GB2312"/>
              <w:color w:val="auto"/>
              <w:sz w:val="28"/>
              <w:szCs w:val="36"/>
              <w:highlight w:val="none"/>
            </w:rPr>
            <w:tab/>
          </w:r>
          <w:r>
            <w:rPr>
              <w:rFonts w:hint="eastAsia" w:ascii="仿宋_GB2312" w:hAnsi="仿宋_GB2312" w:eastAsia="仿宋_GB2312" w:cs="仿宋_GB2312"/>
              <w:color w:val="auto"/>
              <w:sz w:val="28"/>
              <w:szCs w:val="36"/>
              <w:highlight w:val="none"/>
            </w:rPr>
            <w:fldChar w:fldCharType="begin"/>
          </w:r>
          <w:r>
            <w:rPr>
              <w:rFonts w:hint="eastAsia" w:ascii="仿宋_GB2312" w:hAnsi="仿宋_GB2312" w:eastAsia="仿宋_GB2312" w:cs="仿宋_GB2312"/>
              <w:color w:val="auto"/>
              <w:sz w:val="28"/>
              <w:szCs w:val="36"/>
              <w:highlight w:val="none"/>
            </w:rPr>
            <w:instrText xml:space="preserve"> PAGEREF _Toc1927623223 \h </w:instrText>
          </w:r>
          <w:r>
            <w:rPr>
              <w:rFonts w:hint="eastAsia" w:ascii="仿宋_GB2312" w:hAnsi="仿宋_GB2312" w:eastAsia="仿宋_GB2312" w:cs="仿宋_GB2312"/>
              <w:color w:val="auto"/>
              <w:sz w:val="28"/>
              <w:szCs w:val="36"/>
              <w:highlight w:val="none"/>
            </w:rPr>
            <w:fldChar w:fldCharType="separate"/>
          </w:r>
          <w:r>
            <w:rPr>
              <w:rFonts w:hint="eastAsia" w:ascii="仿宋_GB2312" w:hAnsi="仿宋_GB2312" w:eastAsia="仿宋_GB2312" w:cs="仿宋_GB2312"/>
              <w:color w:val="auto"/>
              <w:sz w:val="28"/>
              <w:szCs w:val="36"/>
              <w:highlight w:val="none"/>
            </w:rPr>
            <w:t>5</w:t>
          </w:r>
          <w:r>
            <w:rPr>
              <w:rFonts w:hint="eastAsia" w:ascii="仿宋_GB2312" w:hAnsi="仿宋_GB2312" w:eastAsia="仿宋_GB2312" w:cs="仿宋_GB2312"/>
              <w:color w:val="auto"/>
              <w:sz w:val="28"/>
              <w:szCs w:val="36"/>
              <w:highlight w:val="none"/>
            </w:rPr>
            <w:fldChar w:fldCharType="end"/>
          </w:r>
          <w:r>
            <w:rPr>
              <w:rFonts w:hint="eastAsia" w:ascii="仿宋_GB2312" w:hAnsi="仿宋_GB2312" w:eastAsia="仿宋_GB2312" w:cs="仿宋_GB2312"/>
              <w:color w:val="auto"/>
              <w:sz w:val="28"/>
              <w:szCs w:val="40"/>
              <w:highlight w:val="none"/>
            </w:rPr>
            <w:fldChar w:fldCharType="end"/>
          </w:r>
        </w:p>
        <w:p w14:paraId="75938637">
          <w:pPr>
            <w:pStyle w:val="10"/>
            <w:keepNext w:val="0"/>
            <w:keepLines w:val="0"/>
            <w:pageBreakBefore w:val="0"/>
            <w:widowControl w:val="0"/>
            <w:tabs>
              <w:tab w:val="right" w:leader="dot" w:pos="8448"/>
            </w:tabs>
            <w:kinsoku/>
            <w:wordWrap/>
            <w:overflowPunct/>
            <w:topLinePunct w:val="0"/>
            <w:autoSpaceDE/>
            <w:autoSpaceDN/>
            <w:bidi w:val="0"/>
            <w:spacing w:line="460" w:lineRule="exact"/>
            <w:textAlignment w:val="auto"/>
            <w:rPr>
              <w:rFonts w:hint="eastAsia" w:ascii="仿宋_GB2312" w:hAnsi="仿宋_GB2312" w:eastAsia="仿宋_GB2312" w:cs="仿宋_GB2312"/>
              <w:color w:val="auto"/>
              <w:sz w:val="28"/>
              <w:szCs w:val="36"/>
              <w:highlight w:val="none"/>
            </w:rPr>
          </w:pPr>
          <w:r>
            <w:rPr>
              <w:rFonts w:hint="eastAsia" w:ascii="仿宋_GB2312" w:hAnsi="仿宋_GB2312" w:eastAsia="仿宋_GB2312" w:cs="仿宋_GB2312"/>
              <w:color w:val="auto"/>
              <w:sz w:val="28"/>
              <w:szCs w:val="40"/>
              <w:highlight w:val="none"/>
            </w:rPr>
            <w:fldChar w:fldCharType="begin"/>
          </w:r>
          <w:r>
            <w:rPr>
              <w:rFonts w:hint="eastAsia" w:ascii="仿宋_GB2312" w:hAnsi="仿宋_GB2312" w:eastAsia="仿宋_GB2312" w:cs="仿宋_GB2312"/>
              <w:color w:val="auto"/>
              <w:sz w:val="28"/>
              <w:szCs w:val="40"/>
              <w:highlight w:val="none"/>
            </w:rPr>
            <w:instrText xml:space="preserve"> HYPERLINK \l _Toc960329639 </w:instrText>
          </w:r>
          <w:r>
            <w:rPr>
              <w:rFonts w:hint="eastAsia" w:ascii="仿宋_GB2312" w:hAnsi="仿宋_GB2312" w:eastAsia="仿宋_GB2312" w:cs="仿宋_GB2312"/>
              <w:color w:val="auto"/>
              <w:sz w:val="28"/>
              <w:szCs w:val="40"/>
              <w:highlight w:val="none"/>
            </w:rPr>
            <w:fldChar w:fldCharType="separate"/>
          </w:r>
          <w:r>
            <w:rPr>
              <w:rFonts w:hint="eastAsia" w:ascii="仿宋_GB2312" w:hAnsi="仿宋_GB2312" w:eastAsia="仿宋_GB2312" w:cs="仿宋_GB2312"/>
              <w:bCs w:val="0"/>
              <w:color w:val="auto"/>
              <w:sz w:val="28"/>
              <w:szCs w:val="44"/>
              <w:highlight w:val="none"/>
              <w:lang w:val="en-US" w:eastAsia="zh-CN"/>
            </w:rPr>
            <w:t>三、多元协同加速成型，共建共治机制显著提升</w:t>
          </w:r>
          <w:r>
            <w:rPr>
              <w:rFonts w:hint="eastAsia" w:ascii="仿宋_GB2312" w:hAnsi="仿宋_GB2312" w:eastAsia="仿宋_GB2312" w:cs="仿宋_GB2312"/>
              <w:color w:val="auto"/>
              <w:sz w:val="28"/>
              <w:szCs w:val="36"/>
              <w:highlight w:val="none"/>
            </w:rPr>
            <w:tab/>
          </w:r>
          <w:r>
            <w:rPr>
              <w:rFonts w:hint="eastAsia" w:ascii="仿宋_GB2312" w:hAnsi="仿宋_GB2312" w:eastAsia="仿宋_GB2312" w:cs="仿宋_GB2312"/>
              <w:color w:val="auto"/>
              <w:sz w:val="28"/>
              <w:szCs w:val="36"/>
              <w:highlight w:val="none"/>
            </w:rPr>
            <w:fldChar w:fldCharType="begin"/>
          </w:r>
          <w:r>
            <w:rPr>
              <w:rFonts w:hint="eastAsia" w:ascii="仿宋_GB2312" w:hAnsi="仿宋_GB2312" w:eastAsia="仿宋_GB2312" w:cs="仿宋_GB2312"/>
              <w:color w:val="auto"/>
              <w:sz w:val="28"/>
              <w:szCs w:val="36"/>
              <w:highlight w:val="none"/>
            </w:rPr>
            <w:instrText xml:space="preserve"> PAGEREF _Toc960329639 \h </w:instrText>
          </w:r>
          <w:r>
            <w:rPr>
              <w:rFonts w:hint="eastAsia" w:ascii="仿宋_GB2312" w:hAnsi="仿宋_GB2312" w:eastAsia="仿宋_GB2312" w:cs="仿宋_GB2312"/>
              <w:color w:val="auto"/>
              <w:sz w:val="28"/>
              <w:szCs w:val="36"/>
              <w:highlight w:val="none"/>
            </w:rPr>
            <w:fldChar w:fldCharType="separate"/>
          </w:r>
          <w:r>
            <w:rPr>
              <w:rFonts w:hint="eastAsia" w:ascii="仿宋_GB2312" w:hAnsi="仿宋_GB2312" w:eastAsia="仿宋_GB2312" w:cs="仿宋_GB2312"/>
              <w:color w:val="auto"/>
              <w:sz w:val="28"/>
              <w:szCs w:val="36"/>
              <w:highlight w:val="none"/>
            </w:rPr>
            <w:t>6</w:t>
          </w:r>
          <w:r>
            <w:rPr>
              <w:rFonts w:hint="eastAsia" w:ascii="仿宋_GB2312" w:hAnsi="仿宋_GB2312" w:eastAsia="仿宋_GB2312" w:cs="仿宋_GB2312"/>
              <w:color w:val="auto"/>
              <w:sz w:val="28"/>
              <w:szCs w:val="36"/>
              <w:highlight w:val="none"/>
            </w:rPr>
            <w:fldChar w:fldCharType="end"/>
          </w:r>
          <w:r>
            <w:rPr>
              <w:rFonts w:hint="eastAsia" w:ascii="仿宋_GB2312" w:hAnsi="仿宋_GB2312" w:eastAsia="仿宋_GB2312" w:cs="仿宋_GB2312"/>
              <w:color w:val="auto"/>
              <w:sz w:val="28"/>
              <w:szCs w:val="40"/>
              <w:highlight w:val="none"/>
            </w:rPr>
            <w:fldChar w:fldCharType="end"/>
          </w:r>
        </w:p>
        <w:p w14:paraId="1B669D3D">
          <w:pPr>
            <w:pStyle w:val="10"/>
            <w:keepNext w:val="0"/>
            <w:keepLines w:val="0"/>
            <w:pageBreakBefore w:val="0"/>
            <w:widowControl w:val="0"/>
            <w:tabs>
              <w:tab w:val="right" w:leader="dot" w:pos="8448"/>
            </w:tabs>
            <w:kinsoku/>
            <w:wordWrap/>
            <w:overflowPunct/>
            <w:topLinePunct w:val="0"/>
            <w:autoSpaceDE/>
            <w:autoSpaceDN/>
            <w:bidi w:val="0"/>
            <w:spacing w:line="460" w:lineRule="exact"/>
            <w:textAlignment w:val="auto"/>
            <w:rPr>
              <w:rFonts w:hint="eastAsia" w:ascii="仿宋_GB2312" w:hAnsi="仿宋_GB2312" w:eastAsia="仿宋_GB2312" w:cs="仿宋_GB2312"/>
              <w:color w:val="auto"/>
              <w:sz w:val="28"/>
              <w:szCs w:val="36"/>
              <w:highlight w:val="none"/>
            </w:rPr>
          </w:pPr>
          <w:r>
            <w:rPr>
              <w:rFonts w:hint="eastAsia" w:ascii="仿宋_GB2312" w:hAnsi="仿宋_GB2312" w:eastAsia="仿宋_GB2312" w:cs="仿宋_GB2312"/>
              <w:color w:val="auto"/>
              <w:sz w:val="28"/>
              <w:szCs w:val="40"/>
              <w:highlight w:val="none"/>
            </w:rPr>
            <w:fldChar w:fldCharType="begin"/>
          </w:r>
          <w:r>
            <w:rPr>
              <w:rFonts w:hint="eastAsia" w:ascii="仿宋_GB2312" w:hAnsi="仿宋_GB2312" w:eastAsia="仿宋_GB2312" w:cs="仿宋_GB2312"/>
              <w:color w:val="auto"/>
              <w:sz w:val="28"/>
              <w:szCs w:val="40"/>
              <w:highlight w:val="none"/>
            </w:rPr>
            <w:instrText xml:space="preserve"> HYPERLINK \l _Toc2100582143 </w:instrText>
          </w:r>
          <w:r>
            <w:rPr>
              <w:rFonts w:hint="eastAsia" w:ascii="仿宋_GB2312" w:hAnsi="仿宋_GB2312" w:eastAsia="仿宋_GB2312" w:cs="仿宋_GB2312"/>
              <w:color w:val="auto"/>
              <w:sz w:val="28"/>
              <w:szCs w:val="40"/>
              <w:highlight w:val="none"/>
            </w:rPr>
            <w:fldChar w:fldCharType="separate"/>
          </w:r>
          <w:r>
            <w:rPr>
              <w:rFonts w:hint="eastAsia" w:ascii="仿宋_GB2312" w:hAnsi="仿宋_GB2312" w:eastAsia="仿宋_GB2312" w:cs="仿宋_GB2312"/>
              <w:bCs w:val="0"/>
              <w:color w:val="auto"/>
              <w:sz w:val="28"/>
              <w:szCs w:val="44"/>
              <w:highlight w:val="none"/>
              <w:lang w:val="en-US" w:eastAsia="zh-CN"/>
            </w:rPr>
            <w:t>四、民生保障提标扩面，公共服务优质均衡发展</w:t>
          </w:r>
          <w:r>
            <w:rPr>
              <w:rFonts w:hint="eastAsia" w:ascii="仿宋_GB2312" w:hAnsi="仿宋_GB2312" w:eastAsia="仿宋_GB2312" w:cs="仿宋_GB2312"/>
              <w:color w:val="auto"/>
              <w:sz w:val="28"/>
              <w:szCs w:val="36"/>
              <w:highlight w:val="none"/>
            </w:rPr>
            <w:tab/>
          </w:r>
          <w:r>
            <w:rPr>
              <w:rFonts w:hint="eastAsia" w:ascii="仿宋_GB2312" w:hAnsi="仿宋_GB2312" w:eastAsia="仿宋_GB2312" w:cs="仿宋_GB2312"/>
              <w:color w:val="auto"/>
              <w:sz w:val="28"/>
              <w:szCs w:val="36"/>
              <w:highlight w:val="none"/>
            </w:rPr>
            <w:fldChar w:fldCharType="begin"/>
          </w:r>
          <w:r>
            <w:rPr>
              <w:rFonts w:hint="eastAsia" w:ascii="仿宋_GB2312" w:hAnsi="仿宋_GB2312" w:eastAsia="仿宋_GB2312" w:cs="仿宋_GB2312"/>
              <w:color w:val="auto"/>
              <w:sz w:val="28"/>
              <w:szCs w:val="36"/>
              <w:highlight w:val="none"/>
            </w:rPr>
            <w:instrText xml:space="preserve"> PAGEREF _Toc2100582143 \h </w:instrText>
          </w:r>
          <w:r>
            <w:rPr>
              <w:rFonts w:hint="eastAsia" w:ascii="仿宋_GB2312" w:hAnsi="仿宋_GB2312" w:eastAsia="仿宋_GB2312" w:cs="仿宋_GB2312"/>
              <w:color w:val="auto"/>
              <w:sz w:val="28"/>
              <w:szCs w:val="36"/>
              <w:highlight w:val="none"/>
            </w:rPr>
            <w:fldChar w:fldCharType="separate"/>
          </w:r>
          <w:r>
            <w:rPr>
              <w:rFonts w:hint="eastAsia" w:ascii="仿宋_GB2312" w:hAnsi="仿宋_GB2312" w:eastAsia="仿宋_GB2312" w:cs="仿宋_GB2312"/>
              <w:color w:val="auto"/>
              <w:sz w:val="28"/>
              <w:szCs w:val="36"/>
              <w:highlight w:val="none"/>
            </w:rPr>
            <w:t>7</w:t>
          </w:r>
          <w:r>
            <w:rPr>
              <w:rFonts w:hint="eastAsia" w:ascii="仿宋_GB2312" w:hAnsi="仿宋_GB2312" w:eastAsia="仿宋_GB2312" w:cs="仿宋_GB2312"/>
              <w:color w:val="auto"/>
              <w:sz w:val="28"/>
              <w:szCs w:val="36"/>
              <w:highlight w:val="none"/>
            </w:rPr>
            <w:fldChar w:fldCharType="end"/>
          </w:r>
          <w:r>
            <w:rPr>
              <w:rFonts w:hint="eastAsia" w:ascii="仿宋_GB2312" w:hAnsi="仿宋_GB2312" w:eastAsia="仿宋_GB2312" w:cs="仿宋_GB2312"/>
              <w:color w:val="auto"/>
              <w:sz w:val="28"/>
              <w:szCs w:val="40"/>
              <w:highlight w:val="none"/>
            </w:rPr>
            <w:fldChar w:fldCharType="end"/>
          </w:r>
        </w:p>
        <w:p w14:paraId="44350320">
          <w:pPr>
            <w:pStyle w:val="10"/>
            <w:keepNext w:val="0"/>
            <w:keepLines w:val="0"/>
            <w:pageBreakBefore w:val="0"/>
            <w:widowControl w:val="0"/>
            <w:tabs>
              <w:tab w:val="right" w:leader="dot" w:pos="8448"/>
            </w:tabs>
            <w:kinsoku/>
            <w:wordWrap/>
            <w:overflowPunct/>
            <w:topLinePunct w:val="0"/>
            <w:autoSpaceDE/>
            <w:autoSpaceDN/>
            <w:bidi w:val="0"/>
            <w:spacing w:line="460" w:lineRule="exact"/>
            <w:textAlignment w:val="auto"/>
            <w:rPr>
              <w:rFonts w:hint="eastAsia" w:ascii="仿宋_GB2312" w:hAnsi="仿宋_GB2312" w:eastAsia="仿宋_GB2312" w:cs="仿宋_GB2312"/>
              <w:color w:val="auto"/>
              <w:sz w:val="28"/>
              <w:szCs w:val="36"/>
              <w:highlight w:val="none"/>
            </w:rPr>
          </w:pPr>
          <w:r>
            <w:rPr>
              <w:rFonts w:hint="eastAsia" w:ascii="仿宋_GB2312" w:hAnsi="仿宋_GB2312" w:eastAsia="仿宋_GB2312" w:cs="仿宋_GB2312"/>
              <w:color w:val="auto"/>
              <w:sz w:val="28"/>
              <w:szCs w:val="40"/>
              <w:highlight w:val="none"/>
            </w:rPr>
            <w:fldChar w:fldCharType="begin"/>
          </w:r>
          <w:r>
            <w:rPr>
              <w:rFonts w:hint="eastAsia" w:ascii="仿宋_GB2312" w:hAnsi="仿宋_GB2312" w:eastAsia="仿宋_GB2312" w:cs="仿宋_GB2312"/>
              <w:color w:val="auto"/>
              <w:sz w:val="28"/>
              <w:szCs w:val="40"/>
              <w:highlight w:val="none"/>
            </w:rPr>
            <w:instrText xml:space="preserve"> HYPERLINK \l _Toc661235920 </w:instrText>
          </w:r>
          <w:r>
            <w:rPr>
              <w:rFonts w:hint="eastAsia" w:ascii="仿宋_GB2312" w:hAnsi="仿宋_GB2312" w:eastAsia="仿宋_GB2312" w:cs="仿宋_GB2312"/>
              <w:color w:val="auto"/>
              <w:sz w:val="28"/>
              <w:szCs w:val="40"/>
              <w:highlight w:val="none"/>
            </w:rPr>
            <w:fldChar w:fldCharType="separate"/>
          </w:r>
          <w:r>
            <w:rPr>
              <w:rFonts w:hint="eastAsia" w:ascii="仿宋_GB2312" w:hAnsi="仿宋_GB2312" w:eastAsia="仿宋_GB2312" w:cs="仿宋_GB2312"/>
              <w:bCs w:val="0"/>
              <w:color w:val="auto"/>
              <w:sz w:val="28"/>
              <w:szCs w:val="44"/>
              <w:highlight w:val="none"/>
              <w:lang w:val="en-US" w:eastAsia="zh-CN"/>
            </w:rPr>
            <w:t>五、安全治理能力升级，城市运行秩序持续稳定</w:t>
          </w:r>
          <w:r>
            <w:rPr>
              <w:rFonts w:hint="eastAsia" w:ascii="仿宋_GB2312" w:hAnsi="仿宋_GB2312" w:eastAsia="仿宋_GB2312" w:cs="仿宋_GB2312"/>
              <w:color w:val="auto"/>
              <w:sz w:val="28"/>
              <w:szCs w:val="36"/>
              <w:highlight w:val="none"/>
            </w:rPr>
            <w:tab/>
          </w:r>
          <w:r>
            <w:rPr>
              <w:rFonts w:hint="eastAsia" w:ascii="仿宋_GB2312" w:hAnsi="仿宋_GB2312" w:eastAsia="仿宋_GB2312" w:cs="仿宋_GB2312"/>
              <w:color w:val="auto"/>
              <w:sz w:val="28"/>
              <w:szCs w:val="36"/>
              <w:highlight w:val="none"/>
            </w:rPr>
            <w:fldChar w:fldCharType="begin"/>
          </w:r>
          <w:r>
            <w:rPr>
              <w:rFonts w:hint="eastAsia" w:ascii="仿宋_GB2312" w:hAnsi="仿宋_GB2312" w:eastAsia="仿宋_GB2312" w:cs="仿宋_GB2312"/>
              <w:color w:val="auto"/>
              <w:sz w:val="28"/>
              <w:szCs w:val="36"/>
              <w:highlight w:val="none"/>
            </w:rPr>
            <w:instrText xml:space="preserve"> PAGEREF _Toc661235920 \h </w:instrText>
          </w:r>
          <w:r>
            <w:rPr>
              <w:rFonts w:hint="eastAsia" w:ascii="仿宋_GB2312" w:hAnsi="仿宋_GB2312" w:eastAsia="仿宋_GB2312" w:cs="仿宋_GB2312"/>
              <w:color w:val="auto"/>
              <w:sz w:val="28"/>
              <w:szCs w:val="36"/>
              <w:highlight w:val="none"/>
            </w:rPr>
            <w:fldChar w:fldCharType="separate"/>
          </w:r>
          <w:r>
            <w:rPr>
              <w:rFonts w:hint="eastAsia" w:ascii="仿宋_GB2312" w:hAnsi="仿宋_GB2312" w:eastAsia="仿宋_GB2312" w:cs="仿宋_GB2312"/>
              <w:color w:val="auto"/>
              <w:sz w:val="28"/>
              <w:szCs w:val="36"/>
              <w:highlight w:val="none"/>
            </w:rPr>
            <w:t>8</w:t>
          </w:r>
          <w:r>
            <w:rPr>
              <w:rFonts w:hint="eastAsia" w:ascii="仿宋_GB2312" w:hAnsi="仿宋_GB2312" w:eastAsia="仿宋_GB2312" w:cs="仿宋_GB2312"/>
              <w:color w:val="auto"/>
              <w:sz w:val="28"/>
              <w:szCs w:val="36"/>
              <w:highlight w:val="none"/>
            </w:rPr>
            <w:fldChar w:fldCharType="end"/>
          </w:r>
          <w:r>
            <w:rPr>
              <w:rFonts w:hint="eastAsia" w:ascii="仿宋_GB2312" w:hAnsi="仿宋_GB2312" w:eastAsia="仿宋_GB2312" w:cs="仿宋_GB2312"/>
              <w:color w:val="auto"/>
              <w:sz w:val="28"/>
              <w:szCs w:val="40"/>
              <w:highlight w:val="none"/>
            </w:rPr>
            <w:fldChar w:fldCharType="end"/>
          </w:r>
        </w:p>
        <w:p w14:paraId="42E962EC">
          <w:pPr>
            <w:pStyle w:val="9"/>
            <w:keepNext w:val="0"/>
            <w:keepLines w:val="0"/>
            <w:pageBreakBefore w:val="0"/>
            <w:widowControl w:val="0"/>
            <w:tabs>
              <w:tab w:val="right" w:leader="dot" w:pos="8448"/>
            </w:tabs>
            <w:kinsoku/>
            <w:wordWrap/>
            <w:overflowPunct/>
            <w:topLinePunct w:val="0"/>
            <w:autoSpaceDE/>
            <w:autoSpaceDN/>
            <w:bidi w:val="0"/>
            <w:spacing w:line="460" w:lineRule="exact"/>
            <w:textAlignment w:val="auto"/>
            <w:rPr>
              <w:rFonts w:hint="eastAsia" w:ascii="黑体" w:hAnsi="黑体" w:eastAsia="黑体" w:cs="黑体"/>
              <w:color w:val="auto"/>
              <w:sz w:val="28"/>
              <w:szCs w:val="40"/>
              <w:highlight w:val="none"/>
            </w:rPr>
          </w:pPr>
          <w:r>
            <w:rPr>
              <w:rFonts w:hint="eastAsia" w:ascii="黑体" w:hAnsi="黑体" w:eastAsia="黑体" w:cs="黑体"/>
              <w:color w:val="auto"/>
              <w:sz w:val="28"/>
              <w:szCs w:val="40"/>
              <w:highlight w:val="none"/>
            </w:rPr>
            <w:fldChar w:fldCharType="begin"/>
          </w:r>
          <w:r>
            <w:rPr>
              <w:rFonts w:hint="eastAsia" w:ascii="黑体" w:hAnsi="黑体" w:eastAsia="黑体" w:cs="黑体"/>
              <w:color w:val="auto"/>
              <w:sz w:val="28"/>
              <w:szCs w:val="40"/>
              <w:highlight w:val="none"/>
            </w:rPr>
            <w:instrText xml:space="preserve"> HYPERLINK \l _Toc742438730 </w:instrText>
          </w:r>
          <w:r>
            <w:rPr>
              <w:rFonts w:hint="eastAsia" w:ascii="黑体" w:hAnsi="黑体" w:eastAsia="黑体" w:cs="黑体"/>
              <w:color w:val="auto"/>
              <w:sz w:val="28"/>
              <w:szCs w:val="40"/>
              <w:highlight w:val="none"/>
            </w:rPr>
            <w:fldChar w:fldCharType="separate"/>
          </w:r>
          <w:r>
            <w:rPr>
              <w:rFonts w:hint="eastAsia" w:ascii="黑体" w:hAnsi="黑体" w:eastAsia="黑体" w:cs="黑体"/>
              <w:color w:val="auto"/>
              <w:sz w:val="28"/>
              <w:szCs w:val="40"/>
              <w:highlight w:val="none"/>
              <w:lang w:val="en-US" w:eastAsia="zh-CN"/>
            </w:rPr>
            <w:t>第二部分 “十五五”时期社会建设面临的形势</w:t>
          </w:r>
          <w:r>
            <w:rPr>
              <w:rFonts w:hint="eastAsia" w:ascii="仿宋_GB2312" w:hAnsi="仿宋_GB2312" w:eastAsia="仿宋_GB2312" w:cs="仿宋_GB2312"/>
              <w:color w:val="auto"/>
              <w:sz w:val="28"/>
              <w:szCs w:val="40"/>
              <w:highlight w:val="none"/>
            </w:rPr>
            <w:tab/>
          </w:r>
          <w:r>
            <w:rPr>
              <w:rFonts w:hint="eastAsia" w:ascii="仿宋_GB2312" w:hAnsi="仿宋_GB2312" w:eastAsia="仿宋_GB2312" w:cs="仿宋_GB2312"/>
              <w:color w:val="auto"/>
              <w:sz w:val="28"/>
              <w:szCs w:val="40"/>
              <w:highlight w:val="none"/>
            </w:rPr>
            <w:fldChar w:fldCharType="begin"/>
          </w:r>
          <w:r>
            <w:rPr>
              <w:rFonts w:hint="eastAsia" w:ascii="仿宋_GB2312" w:hAnsi="仿宋_GB2312" w:eastAsia="仿宋_GB2312" w:cs="仿宋_GB2312"/>
              <w:color w:val="auto"/>
              <w:sz w:val="28"/>
              <w:szCs w:val="40"/>
              <w:highlight w:val="none"/>
            </w:rPr>
            <w:instrText xml:space="preserve"> PAGEREF _Toc742438730 \h </w:instrText>
          </w:r>
          <w:r>
            <w:rPr>
              <w:rFonts w:hint="eastAsia" w:ascii="仿宋_GB2312" w:hAnsi="仿宋_GB2312" w:eastAsia="仿宋_GB2312" w:cs="仿宋_GB2312"/>
              <w:color w:val="auto"/>
              <w:sz w:val="28"/>
              <w:szCs w:val="40"/>
              <w:highlight w:val="none"/>
            </w:rPr>
            <w:fldChar w:fldCharType="separate"/>
          </w:r>
          <w:r>
            <w:rPr>
              <w:rFonts w:hint="eastAsia" w:ascii="仿宋_GB2312" w:hAnsi="仿宋_GB2312" w:eastAsia="仿宋_GB2312" w:cs="仿宋_GB2312"/>
              <w:color w:val="auto"/>
              <w:sz w:val="28"/>
              <w:szCs w:val="40"/>
              <w:highlight w:val="none"/>
            </w:rPr>
            <w:t>8</w:t>
          </w:r>
          <w:r>
            <w:rPr>
              <w:rFonts w:hint="eastAsia" w:ascii="仿宋_GB2312" w:hAnsi="仿宋_GB2312" w:eastAsia="仿宋_GB2312" w:cs="仿宋_GB2312"/>
              <w:color w:val="auto"/>
              <w:sz w:val="28"/>
              <w:szCs w:val="40"/>
              <w:highlight w:val="none"/>
            </w:rPr>
            <w:fldChar w:fldCharType="end"/>
          </w:r>
          <w:r>
            <w:rPr>
              <w:rFonts w:hint="eastAsia" w:ascii="黑体" w:hAnsi="黑体" w:eastAsia="黑体" w:cs="黑体"/>
              <w:color w:val="auto"/>
              <w:sz w:val="28"/>
              <w:szCs w:val="40"/>
              <w:highlight w:val="none"/>
            </w:rPr>
            <w:fldChar w:fldCharType="end"/>
          </w:r>
        </w:p>
        <w:p w14:paraId="35A1B73B">
          <w:pPr>
            <w:pStyle w:val="10"/>
            <w:keepNext w:val="0"/>
            <w:keepLines w:val="0"/>
            <w:pageBreakBefore w:val="0"/>
            <w:widowControl w:val="0"/>
            <w:tabs>
              <w:tab w:val="right" w:leader="dot" w:pos="8448"/>
            </w:tabs>
            <w:kinsoku/>
            <w:wordWrap/>
            <w:overflowPunct/>
            <w:topLinePunct w:val="0"/>
            <w:autoSpaceDE/>
            <w:autoSpaceDN/>
            <w:bidi w:val="0"/>
            <w:spacing w:line="460" w:lineRule="exact"/>
            <w:textAlignment w:val="auto"/>
            <w:rPr>
              <w:rFonts w:hint="eastAsia" w:ascii="仿宋_GB2312" w:hAnsi="仿宋_GB2312" w:eastAsia="仿宋_GB2312" w:cs="仿宋_GB2312"/>
              <w:color w:val="auto"/>
              <w:sz w:val="28"/>
              <w:szCs w:val="40"/>
              <w:highlight w:val="none"/>
            </w:rPr>
          </w:pPr>
          <w:r>
            <w:rPr>
              <w:rFonts w:hint="eastAsia" w:ascii="仿宋_GB2312" w:hAnsi="仿宋_GB2312" w:eastAsia="仿宋_GB2312" w:cs="仿宋_GB2312"/>
              <w:color w:val="auto"/>
              <w:sz w:val="28"/>
              <w:szCs w:val="40"/>
              <w:highlight w:val="none"/>
            </w:rPr>
            <w:fldChar w:fldCharType="begin"/>
          </w:r>
          <w:r>
            <w:rPr>
              <w:rFonts w:hint="eastAsia" w:ascii="仿宋_GB2312" w:hAnsi="仿宋_GB2312" w:eastAsia="仿宋_GB2312" w:cs="仿宋_GB2312"/>
              <w:color w:val="auto"/>
              <w:sz w:val="28"/>
              <w:szCs w:val="40"/>
              <w:highlight w:val="none"/>
            </w:rPr>
            <w:instrText xml:space="preserve"> HYPERLINK \l _Toc1570075841 </w:instrText>
          </w:r>
          <w:r>
            <w:rPr>
              <w:rFonts w:hint="eastAsia" w:ascii="仿宋_GB2312" w:hAnsi="仿宋_GB2312" w:eastAsia="仿宋_GB2312" w:cs="仿宋_GB2312"/>
              <w:color w:val="auto"/>
              <w:sz w:val="28"/>
              <w:szCs w:val="40"/>
              <w:highlight w:val="none"/>
            </w:rPr>
            <w:fldChar w:fldCharType="separate"/>
          </w:r>
          <w:r>
            <w:rPr>
              <w:rFonts w:hint="eastAsia" w:ascii="仿宋_GB2312" w:hAnsi="仿宋_GB2312" w:eastAsia="仿宋_GB2312" w:cs="仿宋_GB2312"/>
              <w:color w:val="auto"/>
              <w:sz w:val="28"/>
              <w:szCs w:val="40"/>
              <w:highlight w:val="none"/>
              <w:lang w:val="en-US" w:eastAsia="zh-CN"/>
            </w:rPr>
            <w:t>一、把握新时代社会建设的新要求</w:t>
          </w:r>
          <w:r>
            <w:rPr>
              <w:rFonts w:hint="eastAsia" w:ascii="仿宋_GB2312" w:hAnsi="仿宋_GB2312" w:eastAsia="仿宋_GB2312" w:cs="仿宋_GB2312"/>
              <w:color w:val="auto"/>
              <w:sz w:val="28"/>
              <w:szCs w:val="40"/>
              <w:highlight w:val="none"/>
            </w:rPr>
            <w:tab/>
          </w:r>
          <w:r>
            <w:rPr>
              <w:rFonts w:hint="eastAsia" w:ascii="仿宋_GB2312" w:hAnsi="仿宋_GB2312" w:eastAsia="仿宋_GB2312" w:cs="仿宋_GB2312"/>
              <w:color w:val="auto"/>
              <w:sz w:val="28"/>
              <w:szCs w:val="40"/>
              <w:highlight w:val="none"/>
            </w:rPr>
            <w:fldChar w:fldCharType="begin"/>
          </w:r>
          <w:r>
            <w:rPr>
              <w:rFonts w:hint="eastAsia" w:ascii="仿宋_GB2312" w:hAnsi="仿宋_GB2312" w:eastAsia="仿宋_GB2312" w:cs="仿宋_GB2312"/>
              <w:color w:val="auto"/>
              <w:sz w:val="28"/>
              <w:szCs w:val="40"/>
              <w:highlight w:val="none"/>
            </w:rPr>
            <w:instrText xml:space="preserve"> PAGEREF _Toc1570075841 \h </w:instrText>
          </w:r>
          <w:r>
            <w:rPr>
              <w:rFonts w:hint="eastAsia" w:ascii="仿宋_GB2312" w:hAnsi="仿宋_GB2312" w:eastAsia="仿宋_GB2312" w:cs="仿宋_GB2312"/>
              <w:color w:val="auto"/>
              <w:sz w:val="28"/>
              <w:szCs w:val="40"/>
              <w:highlight w:val="none"/>
            </w:rPr>
            <w:fldChar w:fldCharType="separate"/>
          </w:r>
          <w:r>
            <w:rPr>
              <w:rFonts w:hint="eastAsia" w:ascii="仿宋_GB2312" w:hAnsi="仿宋_GB2312" w:eastAsia="仿宋_GB2312" w:cs="仿宋_GB2312"/>
              <w:color w:val="auto"/>
              <w:sz w:val="28"/>
              <w:szCs w:val="40"/>
              <w:highlight w:val="none"/>
            </w:rPr>
            <w:t>8</w:t>
          </w:r>
          <w:r>
            <w:rPr>
              <w:rFonts w:hint="eastAsia" w:ascii="仿宋_GB2312" w:hAnsi="仿宋_GB2312" w:eastAsia="仿宋_GB2312" w:cs="仿宋_GB2312"/>
              <w:color w:val="auto"/>
              <w:sz w:val="28"/>
              <w:szCs w:val="40"/>
              <w:highlight w:val="none"/>
            </w:rPr>
            <w:fldChar w:fldCharType="end"/>
          </w:r>
          <w:r>
            <w:rPr>
              <w:rFonts w:hint="eastAsia" w:ascii="仿宋_GB2312" w:hAnsi="仿宋_GB2312" w:eastAsia="仿宋_GB2312" w:cs="仿宋_GB2312"/>
              <w:color w:val="auto"/>
              <w:sz w:val="28"/>
              <w:szCs w:val="40"/>
              <w:highlight w:val="none"/>
            </w:rPr>
            <w:fldChar w:fldCharType="end"/>
          </w:r>
        </w:p>
        <w:p w14:paraId="62AE47C0">
          <w:pPr>
            <w:pStyle w:val="10"/>
            <w:keepNext w:val="0"/>
            <w:keepLines w:val="0"/>
            <w:pageBreakBefore w:val="0"/>
            <w:widowControl w:val="0"/>
            <w:tabs>
              <w:tab w:val="right" w:leader="dot" w:pos="8448"/>
            </w:tabs>
            <w:kinsoku/>
            <w:wordWrap/>
            <w:overflowPunct/>
            <w:topLinePunct w:val="0"/>
            <w:autoSpaceDE/>
            <w:autoSpaceDN/>
            <w:bidi w:val="0"/>
            <w:spacing w:line="460" w:lineRule="exact"/>
            <w:textAlignment w:val="auto"/>
            <w:rPr>
              <w:rFonts w:hint="eastAsia" w:ascii="仿宋_GB2312" w:hAnsi="仿宋_GB2312" w:eastAsia="仿宋_GB2312" w:cs="仿宋_GB2312"/>
              <w:color w:val="auto"/>
              <w:sz w:val="28"/>
              <w:szCs w:val="40"/>
              <w:highlight w:val="none"/>
            </w:rPr>
          </w:pPr>
          <w:r>
            <w:rPr>
              <w:rFonts w:hint="eastAsia" w:ascii="仿宋_GB2312" w:hAnsi="仿宋_GB2312" w:eastAsia="仿宋_GB2312" w:cs="仿宋_GB2312"/>
              <w:color w:val="auto"/>
              <w:sz w:val="28"/>
              <w:szCs w:val="40"/>
              <w:highlight w:val="none"/>
            </w:rPr>
            <w:fldChar w:fldCharType="begin"/>
          </w:r>
          <w:r>
            <w:rPr>
              <w:rFonts w:hint="eastAsia" w:ascii="仿宋_GB2312" w:hAnsi="仿宋_GB2312" w:eastAsia="仿宋_GB2312" w:cs="仿宋_GB2312"/>
              <w:color w:val="auto"/>
              <w:sz w:val="28"/>
              <w:szCs w:val="40"/>
              <w:highlight w:val="none"/>
            </w:rPr>
            <w:instrText xml:space="preserve"> HYPERLINK \l _Toc1297837711 </w:instrText>
          </w:r>
          <w:r>
            <w:rPr>
              <w:rFonts w:hint="eastAsia" w:ascii="仿宋_GB2312" w:hAnsi="仿宋_GB2312" w:eastAsia="仿宋_GB2312" w:cs="仿宋_GB2312"/>
              <w:color w:val="auto"/>
              <w:sz w:val="28"/>
              <w:szCs w:val="40"/>
              <w:highlight w:val="none"/>
            </w:rPr>
            <w:fldChar w:fldCharType="separate"/>
          </w:r>
          <w:r>
            <w:rPr>
              <w:rFonts w:hint="eastAsia" w:ascii="仿宋_GB2312" w:hAnsi="仿宋_GB2312" w:eastAsia="仿宋_GB2312" w:cs="仿宋_GB2312"/>
              <w:color w:val="auto"/>
              <w:sz w:val="28"/>
              <w:szCs w:val="40"/>
              <w:highlight w:val="none"/>
              <w:lang w:val="en-US" w:eastAsia="zh-CN"/>
            </w:rPr>
            <w:t>二、应对社会建设领域的新挑战</w:t>
          </w:r>
          <w:r>
            <w:rPr>
              <w:rFonts w:hint="eastAsia" w:ascii="仿宋_GB2312" w:hAnsi="仿宋_GB2312" w:eastAsia="仿宋_GB2312" w:cs="仿宋_GB2312"/>
              <w:color w:val="auto"/>
              <w:sz w:val="28"/>
              <w:szCs w:val="40"/>
              <w:highlight w:val="none"/>
            </w:rPr>
            <w:tab/>
          </w:r>
          <w:r>
            <w:rPr>
              <w:rFonts w:hint="eastAsia" w:ascii="仿宋_GB2312" w:hAnsi="仿宋_GB2312" w:eastAsia="仿宋_GB2312" w:cs="仿宋_GB2312"/>
              <w:color w:val="auto"/>
              <w:sz w:val="28"/>
              <w:szCs w:val="40"/>
              <w:highlight w:val="none"/>
            </w:rPr>
            <w:fldChar w:fldCharType="begin"/>
          </w:r>
          <w:r>
            <w:rPr>
              <w:rFonts w:hint="eastAsia" w:ascii="仿宋_GB2312" w:hAnsi="仿宋_GB2312" w:eastAsia="仿宋_GB2312" w:cs="仿宋_GB2312"/>
              <w:color w:val="auto"/>
              <w:sz w:val="28"/>
              <w:szCs w:val="40"/>
              <w:highlight w:val="none"/>
            </w:rPr>
            <w:instrText xml:space="preserve"> PAGEREF _Toc1297837711 \h </w:instrText>
          </w:r>
          <w:r>
            <w:rPr>
              <w:rFonts w:hint="eastAsia" w:ascii="仿宋_GB2312" w:hAnsi="仿宋_GB2312" w:eastAsia="仿宋_GB2312" w:cs="仿宋_GB2312"/>
              <w:color w:val="auto"/>
              <w:sz w:val="28"/>
              <w:szCs w:val="40"/>
              <w:highlight w:val="none"/>
            </w:rPr>
            <w:fldChar w:fldCharType="separate"/>
          </w:r>
          <w:r>
            <w:rPr>
              <w:rFonts w:hint="eastAsia" w:ascii="仿宋_GB2312" w:hAnsi="仿宋_GB2312" w:eastAsia="仿宋_GB2312" w:cs="仿宋_GB2312"/>
              <w:color w:val="auto"/>
              <w:sz w:val="28"/>
              <w:szCs w:val="40"/>
              <w:highlight w:val="none"/>
            </w:rPr>
            <w:t>9</w:t>
          </w:r>
          <w:r>
            <w:rPr>
              <w:rFonts w:hint="eastAsia" w:ascii="仿宋_GB2312" w:hAnsi="仿宋_GB2312" w:eastAsia="仿宋_GB2312" w:cs="仿宋_GB2312"/>
              <w:color w:val="auto"/>
              <w:sz w:val="28"/>
              <w:szCs w:val="40"/>
              <w:highlight w:val="none"/>
            </w:rPr>
            <w:fldChar w:fldCharType="end"/>
          </w:r>
          <w:r>
            <w:rPr>
              <w:rFonts w:hint="eastAsia" w:ascii="仿宋_GB2312" w:hAnsi="仿宋_GB2312" w:eastAsia="仿宋_GB2312" w:cs="仿宋_GB2312"/>
              <w:color w:val="auto"/>
              <w:sz w:val="28"/>
              <w:szCs w:val="40"/>
              <w:highlight w:val="none"/>
            </w:rPr>
            <w:fldChar w:fldCharType="end"/>
          </w:r>
        </w:p>
        <w:p w14:paraId="3821B492">
          <w:pPr>
            <w:pStyle w:val="9"/>
            <w:keepNext w:val="0"/>
            <w:keepLines w:val="0"/>
            <w:pageBreakBefore w:val="0"/>
            <w:widowControl w:val="0"/>
            <w:tabs>
              <w:tab w:val="right" w:leader="dot" w:pos="8448"/>
            </w:tabs>
            <w:kinsoku/>
            <w:wordWrap/>
            <w:overflowPunct/>
            <w:topLinePunct w:val="0"/>
            <w:autoSpaceDE/>
            <w:autoSpaceDN/>
            <w:bidi w:val="0"/>
            <w:spacing w:line="460" w:lineRule="exact"/>
            <w:textAlignment w:val="auto"/>
            <w:rPr>
              <w:rFonts w:hint="eastAsia" w:ascii="黑体" w:hAnsi="黑体" w:eastAsia="黑体" w:cs="黑体"/>
              <w:color w:val="auto"/>
              <w:sz w:val="28"/>
              <w:szCs w:val="40"/>
              <w:highlight w:val="none"/>
            </w:rPr>
          </w:pPr>
          <w:r>
            <w:rPr>
              <w:rFonts w:hint="eastAsia" w:ascii="黑体" w:hAnsi="黑体" w:eastAsia="黑体" w:cs="黑体"/>
              <w:color w:val="auto"/>
              <w:sz w:val="28"/>
              <w:szCs w:val="40"/>
              <w:highlight w:val="none"/>
            </w:rPr>
            <w:fldChar w:fldCharType="begin"/>
          </w:r>
          <w:r>
            <w:rPr>
              <w:rFonts w:hint="eastAsia" w:ascii="黑体" w:hAnsi="黑体" w:eastAsia="黑体" w:cs="黑体"/>
              <w:color w:val="auto"/>
              <w:sz w:val="28"/>
              <w:szCs w:val="40"/>
              <w:highlight w:val="none"/>
            </w:rPr>
            <w:instrText xml:space="preserve"> HYPERLINK \l _Toc935071209 </w:instrText>
          </w:r>
          <w:r>
            <w:rPr>
              <w:rFonts w:hint="eastAsia" w:ascii="黑体" w:hAnsi="黑体" w:eastAsia="黑体" w:cs="黑体"/>
              <w:color w:val="auto"/>
              <w:sz w:val="28"/>
              <w:szCs w:val="40"/>
              <w:highlight w:val="none"/>
            </w:rPr>
            <w:fldChar w:fldCharType="separate"/>
          </w:r>
          <w:r>
            <w:rPr>
              <w:rFonts w:hint="eastAsia" w:ascii="黑体" w:hAnsi="黑体" w:eastAsia="黑体" w:cs="黑体"/>
              <w:color w:val="auto"/>
              <w:sz w:val="28"/>
              <w:szCs w:val="40"/>
              <w:highlight w:val="none"/>
              <w:lang w:val="en-US" w:eastAsia="zh-CN"/>
            </w:rPr>
            <w:t>第三部分 总体要求</w:t>
          </w:r>
          <w:r>
            <w:rPr>
              <w:rFonts w:hint="eastAsia" w:ascii="仿宋_GB2312" w:hAnsi="仿宋_GB2312" w:eastAsia="仿宋_GB2312" w:cs="仿宋_GB2312"/>
              <w:color w:val="auto"/>
              <w:sz w:val="28"/>
              <w:szCs w:val="40"/>
              <w:highlight w:val="none"/>
            </w:rPr>
            <w:tab/>
          </w:r>
          <w:r>
            <w:rPr>
              <w:rFonts w:hint="eastAsia" w:ascii="仿宋_GB2312" w:hAnsi="仿宋_GB2312" w:eastAsia="仿宋_GB2312" w:cs="仿宋_GB2312"/>
              <w:color w:val="auto"/>
              <w:sz w:val="28"/>
              <w:szCs w:val="40"/>
              <w:highlight w:val="none"/>
            </w:rPr>
            <w:fldChar w:fldCharType="begin"/>
          </w:r>
          <w:r>
            <w:rPr>
              <w:rFonts w:hint="eastAsia" w:ascii="仿宋_GB2312" w:hAnsi="仿宋_GB2312" w:eastAsia="仿宋_GB2312" w:cs="仿宋_GB2312"/>
              <w:color w:val="auto"/>
              <w:sz w:val="28"/>
              <w:szCs w:val="40"/>
              <w:highlight w:val="none"/>
            </w:rPr>
            <w:instrText xml:space="preserve"> PAGEREF _Toc935071209 \h </w:instrText>
          </w:r>
          <w:r>
            <w:rPr>
              <w:rFonts w:hint="eastAsia" w:ascii="仿宋_GB2312" w:hAnsi="仿宋_GB2312" w:eastAsia="仿宋_GB2312" w:cs="仿宋_GB2312"/>
              <w:color w:val="auto"/>
              <w:sz w:val="28"/>
              <w:szCs w:val="40"/>
              <w:highlight w:val="none"/>
            </w:rPr>
            <w:fldChar w:fldCharType="separate"/>
          </w:r>
          <w:r>
            <w:rPr>
              <w:rFonts w:hint="eastAsia" w:ascii="仿宋_GB2312" w:hAnsi="仿宋_GB2312" w:eastAsia="仿宋_GB2312" w:cs="仿宋_GB2312"/>
              <w:color w:val="auto"/>
              <w:sz w:val="28"/>
              <w:szCs w:val="40"/>
              <w:highlight w:val="none"/>
            </w:rPr>
            <w:t>10</w:t>
          </w:r>
          <w:r>
            <w:rPr>
              <w:rFonts w:hint="eastAsia" w:ascii="仿宋_GB2312" w:hAnsi="仿宋_GB2312" w:eastAsia="仿宋_GB2312" w:cs="仿宋_GB2312"/>
              <w:color w:val="auto"/>
              <w:sz w:val="28"/>
              <w:szCs w:val="40"/>
              <w:highlight w:val="none"/>
            </w:rPr>
            <w:fldChar w:fldCharType="end"/>
          </w:r>
          <w:r>
            <w:rPr>
              <w:rFonts w:hint="eastAsia" w:ascii="黑体" w:hAnsi="黑体" w:eastAsia="黑体" w:cs="黑体"/>
              <w:color w:val="auto"/>
              <w:sz w:val="28"/>
              <w:szCs w:val="40"/>
              <w:highlight w:val="none"/>
            </w:rPr>
            <w:fldChar w:fldCharType="end"/>
          </w:r>
        </w:p>
        <w:p w14:paraId="23C8EB0C">
          <w:pPr>
            <w:pStyle w:val="10"/>
            <w:keepNext w:val="0"/>
            <w:keepLines w:val="0"/>
            <w:pageBreakBefore w:val="0"/>
            <w:widowControl w:val="0"/>
            <w:tabs>
              <w:tab w:val="right" w:leader="dot" w:pos="8448"/>
            </w:tabs>
            <w:kinsoku/>
            <w:wordWrap/>
            <w:overflowPunct/>
            <w:topLinePunct w:val="0"/>
            <w:autoSpaceDE/>
            <w:autoSpaceDN/>
            <w:bidi w:val="0"/>
            <w:spacing w:line="460" w:lineRule="exact"/>
            <w:textAlignment w:val="auto"/>
            <w:rPr>
              <w:rFonts w:hint="eastAsia" w:ascii="仿宋_GB2312" w:hAnsi="仿宋_GB2312" w:eastAsia="仿宋_GB2312" w:cs="仿宋_GB2312"/>
              <w:color w:val="auto"/>
              <w:sz w:val="28"/>
              <w:szCs w:val="40"/>
              <w:highlight w:val="none"/>
            </w:rPr>
          </w:pPr>
          <w:r>
            <w:rPr>
              <w:rFonts w:hint="eastAsia" w:ascii="仿宋_GB2312" w:hAnsi="仿宋_GB2312" w:eastAsia="仿宋_GB2312" w:cs="仿宋_GB2312"/>
              <w:color w:val="auto"/>
              <w:sz w:val="28"/>
              <w:szCs w:val="40"/>
              <w:highlight w:val="none"/>
            </w:rPr>
            <w:fldChar w:fldCharType="begin"/>
          </w:r>
          <w:r>
            <w:rPr>
              <w:rFonts w:hint="eastAsia" w:ascii="仿宋_GB2312" w:hAnsi="仿宋_GB2312" w:eastAsia="仿宋_GB2312" w:cs="仿宋_GB2312"/>
              <w:color w:val="auto"/>
              <w:sz w:val="28"/>
              <w:szCs w:val="40"/>
              <w:highlight w:val="none"/>
            </w:rPr>
            <w:instrText xml:space="preserve"> HYPERLINK \l _Toc300284055 </w:instrText>
          </w:r>
          <w:r>
            <w:rPr>
              <w:rFonts w:hint="eastAsia" w:ascii="仿宋_GB2312" w:hAnsi="仿宋_GB2312" w:eastAsia="仿宋_GB2312" w:cs="仿宋_GB2312"/>
              <w:color w:val="auto"/>
              <w:sz w:val="28"/>
              <w:szCs w:val="40"/>
              <w:highlight w:val="none"/>
            </w:rPr>
            <w:fldChar w:fldCharType="separate"/>
          </w:r>
          <w:r>
            <w:rPr>
              <w:rFonts w:hint="eastAsia" w:ascii="仿宋_GB2312" w:hAnsi="仿宋_GB2312" w:eastAsia="仿宋_GB2312" w:cs="仿宋_GB2312"/>
              <w:color w:val="auto"/>
              <w:sz w:val="28"/>
              <w:szCs w:val="40"/>
              <w:highlight w:val="none"/>
              <w:lang w:val="en-US" w:eastAsia="zh-CN"/>
            </w:rPr>
            <w:t>一、指导思想</w:t>
          </w:r>
          <w:r>
            <w:rPr>
              <w:rFonts w:hint="eastAsia" w:ascii="仿宋_GB2312" w:hAnsi="仿宋_GB2312" w:eastAsia="仿宋_GB2312" w:cs="仿宋_GB2312"/>
              <w:color w:val="auto"/>
              <w:sz w:val="28"/>
              <w:szCs w:val="40"/>
              <w:highlight w:val="none"/>
            </w:rPr>
            <w:tab/>
          </w:r>
          <w:r>
            <w:rPr>
              <w:rFonts w:hint="eastAsia" w:ascii="仿宋_GB2312" w:hAnsi="仿宋_GB2312" w:eastAsia="仿宋_GB2312" w:cs="仿宋_GB2312"/>
              <w:color w:val="auto"/>
              <w:sz w:val="28"/>
              <w:szCs w:val="40"/>
              <w:highlight w:val="none"/>
            </w:rPr>
            <w:fldChar w:fldCharType="begin"/>
          </w:r>
          <w:r>
            <w:rPr>
              <w:rFonts w:hint="eastAsia" w:ascii="仿宋_GB2312" w:hAnsi="仿宋_GB2312" w:eastAsia="仿宋_GB2312" w:cs="仿宋_GB2312"/>
              <w:color w:val="auto"/>
              <w:sz w:val="28"/>
              <w:szCs w:val="40"/>
              <w:highlight w:val="none"/>
            </w:rPr>
            <w:instrText xml:space="preserve"> PAGEREF _Toc300284055 \h </w:instrText>
          </w:r>
          <w:r>
            <w:rPr>
              <w:rFonts w:hint="eastAsia" w:ascii="仿宋_GB2312" w:hAnsi="仿宋_GB2312" w:eastAsia="仿宋_GB2312" w:cs="仿宋_GB2312"/>
              <w:color w:val="auto"/>
              <w:sz w:val="28"/>
              <w:szCs w:val="40"/>
              <w:highlight w:val="none"/>
            </w:rPr>
            <w:fldChar w:fldCharType="separate"/>
          </w:r>
          <w:r>
            <w:rPr>
              <w:rFonts w:hint="eastAsia" w:ascii="仿宋_GB2312" w:hAnsi="仿宋_GB2312" w:eastAsia="仿宋_GB2312" w:cs="仿宋_GB2312"/>
              <w:color w:val="auto"/>
              <w:sz w:val="28"/>
              <w:szCs w:val="40"/>
              <w:highlight w:val="none"/>
            </w:rPr>
            <w:t>11</w:t>
          </w:r>
          <w:r>
            <w:rPr>
              <w:rFonts w:hint="eastAsia" w:ascii="仿宋_GB2312" w:hAnsi="仿宋_GB2312" w:eastAsia="仿宋_GB2312" w:cs="仿宋_GB2312"/>
              <w:color w:val="auto"/>
              <w:sz w:val="28"/>
              <w:szCs w:val="40"/>
              <w:highlight w:val="none"/>
            </w:rPr>
            <w:fldChar w:fldCharType="end"/>
          </w:r>
          <w:r>
            <w:rPr>
              <w:rFonts w:hint="eastAsia" w:ascii="仿宋_GB2312" w:hAnsi="仿宋_GB2312" w:eastAsia="仿宋_GB2312" w:cs="仿宋_GB2312"/>
              <w:color w:val="auto"/>
              <w:sz w:val="28"/>
              <w:szCs w:val="40"/>
              <w:highlight w:val="none"/>
            </w:rPr>
            <w:fldChar w:fldCharType="end"/>
          </w:r>
        </w:p>
        <w:p w14:paraId="5AE38E45">
          <w:pPr>
            <w:pStyle w:val="10"/>
            <w:keepNext w:val="0"/>
            <w:keepLines w:val="0"/>
            <w:pageBreakBefore w:val="0"/>
            <w:widowControl w:val="0"/>
            <w:tabs>
              <w:tab w:val="right" w:leader="dot" w:pos="8448"/>
            </w:tabs>
            <w:kinsoku/>
            <w:wordWrap/>
            <w:overflowPunct/>
            <w:topLinePunct w:val="0"/>
            <w:autoSpaceDE/>
            <w:autoSpaceDN/>
            <w:bidi w:val="0"/>
            <w:spacing w:line="460" w:lineRule="exact"/>
            <w:textAlignment w:val="auto"/>
            <w:rPr>
              <w:rFonts w:hint="eastAsia" w:ascii="仿宋_GB2312" w:hAnsi="仿宋_GB2312" w:eastAsia="仿宋_GB2312" w:cs="仿宋_GB2312"/>
              <w:color w:val="auto"/>
              <w:sz w:val="28"/>
              <w:szCs w:val="40"/>
              <w:highlight w:val="none"/>
            </w:rPr>
          </w:pPr>
          <w:r>
            <w:rPr>
              <w:rFonts w:hint="eastAsia" w:ascii="仿宋_GB2312" w:hAnsi="仿宋_GB2312" w:eastAsia="仿宋_GB2312" w:cs="仿宋_GB2312"/>
              <w:color w:val="auto"/>
              <w:sz w:val="28"/>
              <w:szCs w:val="40"/>
              <w:highlight w:val="none"/>
            </w:rPr>
            <w:fldChar w:fldCharType="begin"/>
          </w:r>
          <w:r>
            <w:rPr>
              <w:rFonts w:hint="eastAsia" w:ascii="仿宋_GB2312" w:hAnsi="仿宋_GB2312" w:eastAsia="仿宋_GB2312" w:cs="仿宋_GB2312"/>
              <w:color w:val="auto"/>
              <w:sz w:val="28"/>
              <w:szCs w:val="40"/>
              <w:highlight w:val="none"/>
            </w:rPr>
            <w:instrText xml:space="preserve"> HYPERLINK \l _Toc1581762761 </w:instrText>
          </w:r>
          <w:r>
            <w:rPr>
              <w:rFonts w:hint="eastAsia" w:ascii="仿宋_GB2312" w:hAnsi="仿宋_GB2312" w:eastAsia="仿宋_GB2312" w:cs="仿宋_GB2312"/>
              <w:color w:val="auto"/>
              <w:sz w:val="28"/>
              <w:szCs w:val="40"/>
              <w:highlight w:val="none"/>
            </w:rPr>
            <w:fldChar w:fldCharType="separate"/>
          </w:r>
          <w:r>
            <w:rPr>
              <w:rFonts w:hint="eastAsia" w:ascii="仿宋_GB2312" w:hAnsi="仿宋_GB2312" w:eastAsia="仿宋_GB2312" w:cs="仿宋_GB2312"/>
              <w:color w:val="auto"/>
              <w:sz w:val="28"/>
              <w:szCs w:val="40"/>
              <w:highlight w:val="none"/>
              <w:lang w:val="en-US" w:eastAsia="zh-CN"/>
            </w:rPr>
            <w:t>二、基本原则</w:t>
          </w:r>
          <w:r>
            <w:rPr>
              <w:rFonts w:hint="eastAsia" w:ascii="仿宋_GB2312" w:hAnsi="仿宋_GB2312" w:eastAsia="仿宋_GB2312" w:cs="仿宋_GB2312"/>
              <w:color w:val="auto"/>
              <w:sz w:val="28"/>
              <w:szCs w:val="40"/>
              <w:highlight w:val="none"/>
            </w:rPr>
            <w:tab/>
          </w:r>
          <w:r>
            <w:rPr>
              <w:rFonts w:hint="eastAsia" w:ascii="仿宋_GB2312" w:hAnsi="仿宋_GB2312" w:eastAsia="仿宋_GB2312" w:cs="仿宋_GB2312"/>
              <w:color w:val="auto"/>
              <w:sz w:val="28"/>
              <w:szCs w:val="40"/>
              <w:highlight w:val="none"/>
            </w:rPr>
            <w:fldChar w:fldCharType="begin"/>
          </w:r>
          <w:r>
            <w:rPr>
              <w:rFonts w:hint="eastAsia" w:ascii="仿宋_GB2312" w:hAnsi="仿宋_GB2312" w:eastAsia="仿宋_GB2312" w:cs="仿宋_GB2312"/>
              <w:color w:val="auto"/>
              <w:sz w:val="28"/>
              <w:szCs w:val="40"/>
              <w:highlight w:val="none"/>
            </w:rPr>
            <w:instrText xml:space="preserve"> PAGEREF _Toc1581762761 \h </w:instrText>
          </w:r>
          <w:r>
            <w:rPr>
              <w:rFonts w:hint="eastAsia" w:ascii="仿宋_GB2312" w:hAnsi="仿宋_GB2312" w:eastAsia="仿宋_GB2312" w:cs="仿宋_GB2312"/>
              <w:color w:val="auto"/>
              <w:sz w:val="28"/>
              <w:szCs w:val="40"/>
              <w:highlight w:val="none"/>
            </w:rPr>
            <w:fldChar w:fldCharType="separate"/>
          </w:r>
          <w:r>
            <w:rPr>
              <w:rFonts w:hint="eastAsia" w:ascii="仿宋_GB2312" w:hAnsi="仿宋_GB2312" w:eastAsia="仿宋_GB2312" w:cs="仿宋_GB2312"/>
              <w:color w:val="auto"/>
              <w:sz w:val="28"/>
              <w:szCs w:val="40"/>
              <w:highlight w:val="none"/>
            </w:rPr>
            <w:t>11</w:t>
          </w:r>
          <w:r>
            <w:rPr>
              <w:rFonts w:hint="eastAsia" w:ascii="仿宋_GB2312" w:hAnsi="仿宋_GB2312" w:eastAsia="仿宋_GB2312" w:cs="仿宋_GB2312"/>
              <w:color w:val="auto"/>
              <w:sz w:val="28"/>
              <w:szCs w:val="40"/>
              <w:highlight w:val="none"/>
            </w:rPr>
            <w:fldChar w:fldCharType="end"/>
          </w:r>
          <w:r>
            <w:rPr>
              <w:rFonts w:hint="eastAsia" w:ascii="仿宋_GB2312" w:hAnsi="仿宋_GB2312" w:eastAsia="仿宋_GB2312" w:cs="仿宋_GB2312"/>
              <w:color w:val="auto"/>
              <w:sz w:val="28"/>
              <w:szCs w:val="40"/>
              <w:highlight w:val="none"/>
            </w:rPr>
            <w:fldChar w:fldCharType="end"/>
          </w:r>
        </w:p>
        <w:p w14:paraId="13F6DDE3">
          <w:pPr>
            <w:pStyle w:val="10"/>
            <w:keepNext w:val="0"/>
            <w:keepLines w:val="0"/>
            <w:pageBreakBefore w:val="0"/>
            <w:widowControl w:val="0"/>
            <w:tabs>
              <w:tab w:val="right" w:leader="dot" w:pos="8448"/>
            </w:tabs>
            <w:kinsoku/>
            <w:wordWrap/>
            <w:overflowPunct/>
            <w:topLinePunct w:val="0"/>
            <w:autoSpaceDE/>
            <w:autoSpaceDN/>
            <w:bidi w:val="0"/>
            <w:spacing w:line="460" w:lineRule="exact"/>
            <w:textAlignment w:val="auto"/>
            <w:rPr>
              <w:rFonts w:hint="eastAsia" w:ascii="仿宋_GB2312" w:hAnsi="仿宋_GB2312" w:eastAsia="仿宋_GB2312" w:cs="仿宋_GB2312"/>
              <w:color w:val="auto"/>
              <w:sz w:val="28"/>
              <w:szCs w:val="40"/>
              <w:highlight w:val="none"/>
            </w:rPr>
          </w:pPr>
          <w:r>
            <w:rPr>
              <w:rFonts w:hint="eastAsia" w:ascii="仿宋_GB2312" w:hAnsi="仿宋_GB2312" w:eastAsia="仿宋_GB2312" w:cs="仿宋_GB2312"/>
              <w:color w:val="auto"/>
              <w:sz w:val="28"/>
              <w:szCs w:val="40"/>
              <w:highlight w:val="none"/>
            </w:rPr>
            <w:fldChar w:fldCharType="begin"/>
          </w:r>
          <w:r>
            <w:rPr>
              <w:rFonts w:hint="eastAsia" w:ascii="仿宋_GB2312" w:hAnsi="仿宋_GB2312" w:eastAsia="仿宋_GB2312" w:cs="仿宋_GB2312"/>
              <w:color w:val="auto"/>
              <w:sz w:val="28"/>
              <w:szCs w:val="40"/>
              <w:highlight w:val="none"/>
            </w:rPr>
            <w:instrText xml:space="preserve"> HYPERLINK \l _Toc1831893640 </w:instrText>
          </w:r>
          <w:r>
            <w:rPr>
              <w:rFonts w:hint="eastAsia" w:ascii="仿宋_GB2312" w:hAnsi="仿宋_GB2312" w:eastAsia="仿宋_GB2312" w:cs="仿宋_GB2312"/>
              <w:color w:val="auto"/>
              <w:sz w:val="28"/>
              <w:szCs w:val="40"/>
              <w:highlight w:val="none"/>
            </w:rPr>
            <w:fldChar w:fldCharType="separate"/>
          </w:r>
          <w:r>
            <w:rPr>
              <w:rFonts w:hint="eastAsia" w:ascii="仿宋_GB2312" w:hAnsi="仿宋_GB2312" w:eastAsia="仿宋_GB2312" w:cs="仿宋_GB2312"/>
              <w:color w:val="auto"/>
              <w:sz w:val="28"/>
              <w:szCs w:val="40"/>
              <w:highlight w:val="none"/>
              <w:lang w:val="en-US" w:eastAsia="zh-CN"/>
            </w:rPr>
            <w:t>三、总体目标</w:t>
          </w:r>
          <w:r>
            <w:rPr>
              <w:rFonts w:hint="eastAsia" w:ascii="仿宋_GB2312" w:hAnsi="仿宋_GB2312" w:eastAsia="仿宋_GB2312" w:cs="仿宋_GB2312"/>
              <w:color w:val="auto"/>
              <w:sz w:val="28"/>
              <w:szCs w:val="40"/>
              <w:highlight w:val="none"/>
            </w:rPr>
            <w:tab/>
          </w:r>
          <w:r>
            <w:rPr>
              <w:rFonts w:hint="eastAsia" w:ascii="仿宋_GB2312" w:hAnsi="仿宋_GB2312" w:eastAsia="仿宋_GB2312" w:cs="仿宋_GB2312"/>
              <w:color w:val="auto"/>
              <w:sz w:val="28"/>
              <w:szCs w:val="40"/>
              <w:highlight w:val="none"/>
            </w:rPr>
            <w:fldChar w:fldCharType="begin"/>
          </w:r>
          <w:r>
            <w:rPr>
              <w:rFonts w:hint="eastAsia" w:ascii="仿宋_GB2312" w:hAnsi="仿宋_GB2312" w:eastAsia="仿宋_GB2312" w:cs="仿宋_GB2312"/>
              <w:color w:val="auto"/>
              <w:sz w:val="28"/>
              <w:szCs w:val="40"/>
              <w:highlight w:val="none"/>
            </w:rPr>
            <w:instrText xml:space="preserve"> PAGEREF _Toc1831893640 \h </w:instrText>
          </w:r>
          <w:r>
            <w:rPr>
              <w:rFonts w:hint="eastAsia" w:ascii="仿宋_GB2312" w:hAnsi="仿宋_GB2312" w:eastAsia="仿宋_GB2312" w:cs="仿宋_GB2312"/>
              <w:color w:val="auto"/>
              <w:sz w:val="28"/>
              <w:szCs w:val="40"/>
              <w:highlight w:val="none"/>
            </w:rPr>
            <w:fldChar w:fldCharType="separate"/>
          </w:r>
          <w:r>
            <w:rPr>
              <w:rFonts w:hint="eastAsia" w:ascii="仿宋_GB2312" w:hAnsi="仿宋_GB2312" w:eastAsia="仿宋_GB2312" w:cs="仿宋_GB2312"/>
              <w:color w:val="auto"/>
              <w:sz w:val="28"/>
              <w:szCs w:val="40"/>
              <w:highlight w:val="none"/>
            </w:rPr>
            <w:t>12</w:t>
          </w:r>
          <w:r>
            <w:rPr>
              <w:rFonts w:hint="eastAsia" w:ascii="仿宋_GB2312" w:hAnsi="仿宋_GB2312" w:eastAsia="仿宋_GB2312" w:cs="仿宋_GB2312"/>
              <w:color w:val="auto"/>
              <w:sz w:val="28"/>
              <w:szCs w:val="40"/>
              <w:highlight w:val="none"/>
            </w:rPr>
            <w:fldChar w:fldCharType="end"/>
          </w:r>
          <w:r>
            <w:rPr>
              <w:rFonts w:hint="eastAsia" w:ascii="仿宋_GB2312" w:hAnsi="仿宋_GB2312" w:eastAsia="仿宋_GB2312" w:cs="仿宋_GB2312"/>
              <w:color w:val="auto"/>
              <w:sz w:val="28"/>
              <w:szCs w:val="40"/>
              <w:highlight w:val="none"/>
            </w:rPr>
            <w:fldChar w:fldCharType="end"/>
          </w:r>
        </w:p>
        <w:p w14:paraId="3FEC12E2">
          <w:pPr>
            <w:pStyle w:val="9"/>
            <w:keepNext w:val="0"/>
            <w:keepLines w:val="0"/>
            <w:pageBreakBefore w:val="0"/>
            <w:widowControl w:val="0"/>
            <w:tabs>
              <w:tab w:val="right" w:leader="dot" w:pos="8448"/>
            </w:tabs>
            <w:kinsoku/>
            <w:wordWrap/>
            <w:overflowPunct/>
            <w:topLinePunct w:val="0"/>
            <w:autoSpaceDE/>
            <w:autoSpaceDN/>
            <w:bidi w:val="0"/>
            <w:spacing w:line="460" w:lineRule="exact"/>
            <w:textAlignment w:val="auto"/>
            <w:rPr>
              <w:rFonts w:hint="eastAsia" w:ascii="黑体" w:hAnsi="黑体" w:eastAsia="黑体" w:cs="黑体"/>
              <w:color w:val="auto"/>
              <w:sz w:val="28"/>
              <w:szCs w:val="40"/>
              <w:highlight w:val="none"/>
            </w:rPr>
          </w:pPr>
          <w:r>
            <w:rPr>
              <w:rFonts w:hint="eastAsia" w:ascii="黑体" w:hAnsi="黑体" w:eastAsia="黑体" w:cs="黑体"/>
              <w:color w:val="auto"/>
              <w:sz w:val="28"/>
              <w:szCs w:val="40"/>
              <w:highlight w:val="none"/>
            </w:rPr>
            <w:fldChar w:fldCharType="begin"/>
          </w:r>
          <w:r>
            <w:rPr>
              <w:rFonts w:hint="eastAsia" w:ascii="黑体" w:hAnsi="黑体" w:eastAsia="黑体" w:cs="黑体"/>
              <w:color w:val="auto"/>
              <w:sz w:val="28"/>
              <w:szCs w:val="40"/>
              <w:highlight w:val="none"/>
            </w:rPr>
            <w:instrText xml:space="preserve"> HYPERLINK \l _Toc1242164959 </w:instrText>
          </w:r>
          <w:r>
            <w:rPr>
              <w:rFonts w:hint="eastAsia" w:ascii="黑体" w:hAnsi="黑体" w:eastAsia="黑体" w:cs="黑体"/>
              <w:color w:val="auto"/>
              <w:sz w:val="28"/>
              <w:szCs w:val="40"/>
              <w:highlight w:val="none"/>
            </w:rPr>
            <w:fldChar w:fldCharType="separate"/>
          </w:r>
          <w:r>
            <w:rPr>
              <w:rFonts w:hint="eastAsia" w:ascii="黑体" w:hAnsi="黑体" w:eastAsia="黑体" w:cs="黑体"/>
              <w:color w:val="auto"/>
              <w:sz w:val="28"/>
              <w:szCs w:val="40"/>
              <w:highlight w:val="none"/>
              <w:lang w:val="en-US" w:eastAsia="zh-CN"/>
            </w:rPr>
            <w:t>第四部分 重点任务</w:t>
          </w:r>
          <w:r>
            <w:rPr>
              <w:rFonts w:hint="eastAsia" w:ascii="仿宋_GB2312" w:hAnsi="仿宋_GB2312" w:eastAsia="仿宋_GB2312" w:cs="仿宋_GB2312"/>
              <w:color w:val="auto"/>
              <w:sz w:val="28"/>
              <w:szCs w:val="40"/>
              <w:highlight w:val="none"/>
            </w:rPr>
            <w:tab/>
          </w:r>
          <w:r>
            <w:rPr>
              <w:rFonts w:hint="eastAsia" w:ascii="仿宋_GB2312" w:hAnsi="仿宋_GB2312" w:eastAsia="仿宋_GB2312" w:cs="仿宋_GB2312"/>
              <w:color w:val="auto"/>
              <w:sz w:val="28"/>
              <w:szCs w:val="40"/>
              <w:highlight w:val="none"/>
            </w:rPr>
            <w:fldChar w:fldCharType="begin"/>
          </w:r>
          <w:r>
            <w:rPr>
              <w:rFonts w:hint="eastAsia" w:ascii="仿宋_GB2312" w:hAnsi="仿宋_GB2312" w:eastAsia="仿宋_GB2312" w:cs="仿宋_GB2312"/>
              <w:color w:val="auto"/>
              <w:sz w:val="28"/>
              <w:szCs w:val="40"/>
              <w:highlight w:val="none"/>
            </w:rPr>
            <w:instrText xml:space="preserve"> PAGEREF _Toc1242164959 \h </w:instrText>
          </w:r>
          <w:r>
            <w:rPr>
              <w:rFonts w:hint="eastAsia" w:ascii="仿宋_GB2312" w:hAnsi="仿宋_GB2312" w:eastAsia="仿宋_GB2312" w:cs="仿宋_GB2312"/>
              <w:color w:val="auto"/>
              <w:sz w:val="28"/>
              <w:szCs w:val="40"/>
              <w:highlight w:val="none"/>
            </w:rPr>
            <w:fldChar w:fldCharType="separate"/>
          </w:r>
          <w:r>
            <w:rPr>
              <w:rFonts w:hint="eastAsia" w:ascii="仿宋_GB2312" w:hAnsi="仿宋_GB2312" w:eastAsia="仿宋_GB2312" w:cs="仿宋_GB2312"/>
              <w:color w:val="auto"/>
              <w:sz w:val="28"/>
              <w:szCs w:val="40"/>
              <w:highlight w:val="none"/>
            </w:rPr>
            <w:t>15</w:t>
          </w:r>
          <w:r>
            <w:rPr>
              <w:rFonts w:hint="eastAsia" w:ascii="仿宋_GB2312" w:hAnsi="仿宋_GB2312" w:eastAsia="仿宋_GB2312" w:cs="仿宋_GB2312"/>
              <w:color w:val="auto"/>
              <w:sz w:val="28"/>
              <w:szCs w:val="40"/>
              <w:highlight w:val="none"/>
            </w:rPr>
            <w:fldChar w:fldCharType="end"/>
          </w:r>
          <w:r>
            <w:rPr>
              <w:rFonts w:hint="eastAsia" w:ascii="仿宋_GB2312" w:hAnsi="仿宋_GB2312" w:eastAsia="仿宋_GB2312" w:cs="仿宋_GB2312"/>
              <w:color w:val="auto"/>
              <w:sz w:val="28"/>
              <w:szCs w:val="40"/>
              <w:highlight w:val="none"/>
            </w:rPr>
            <w:fldChar w:fldCharType="end"/>
          </w:r>
        </w:p>
        <w:p w14:paraId="2DC6F3B2">
          <w:pPr>
            <w:pStyle w:val="10"/>
            <w:keepNext w:val="0"/>
            <w:keepLines w:val="0"/>
            <w:pageBreakBefore w:val="0"/>
            <w:widowControl w:val="0"/>
            <w:tabs>
              <w:tab w:val="right" w:leader="dot" w:pos="8448"/>
            </w:tabs>
            <w:kinsoku/>
            <w:wordWrap/>
            <w:overflowPunct/>
            <w:topLinePunct w:val="0"/>
            <w:autoSpaceDE/>
            <w:autoSpaceDN/>
            <w:bidi w:val="0"/>
            <w:spacing w:line="460" w:lineRule="exact"/>
            <w:textAlignment w:val="auto"/>
            <w:rPr>
              <w:rFonts w:hint="eastAsia" w:ascii="仿宋_GB2312" w:hAnsi="仿宋_GB2312" w:eastAsia="仿宋_GB2312" w:cs="仿宋_GB2312"/>
              <w:color w:val="auto"/>
              <w:sz w:val="28"/>
              <w:szCs w:val="40"/>
              <w:highlight w:val="none"/>
            </w:rPr>
          </w:pPr>
          <w:r>
            <w:rPr>
              <w:rFonts w:hint="eastAsia" w:ascii="仿宋_GB2312" w:hAnsi="仿宋_GB2312" w:eastAsia="仿宋_GB2312" w:cs="仿宋_GB2312"/>
              <w:color w:val="auto"/>
              <w:sz w:val="28"/>
              <w:szCs w:val="40"/>
              <w:highlight w:val="none"/>
            </w:rPr>
            <w:fldChar w:fldCharType="begin"/>
          </w:r>
          <w:r>
            <w:rPr>
              <w:rFonts w:hint="eastAsia" w:ascii="仿宋_GB2312" w:hAnsi="仿宋_GB2312" w:eastAsia="仿宋_GB2312" w:cs="仿宋_GB2312"/>
              <w:color w:val="auto"/>
              <w:sz w:val="28"/>
              <w:szCs w:val="40"/>
              <w:highlight w:val="none"/>
            </w:rPr>
            <w:instrText xml:space="preserve"> HYPERLINK \l _Toc1555076018 </w:instrText>
          </w:r>
          <w:r>
            <w:rPr>
              <w:rFonts w:hint="eastAsia" w:ascii="仿宋_GB2312" w:hAnsi="仿宋_GB2312" w:eastAsia="仿宋_GB2312" w:cs="仿宋_GB2312"/>
              <w:color w:val="auto"/>
              <w:sz w:val="28"/>
              <w:szCs w:val="40"/>
              <w:highlight w:val="none"/>
            </w:rPr>
            <w:fldChar w:fldCharType="separate"/>
          </w:r>
          <w:r>
            <w:rPr>
              <w:rFonts w:hint="eastAsia" w:ascii="仿宋_GB2312" w:hAnsi="仿宋_GB2312" w:eastAsia="仿宋_GB2312" w:cs="仿宋_GB2312"/>
              <w:color w:val="auto"/>
              <w:sz w:val="28"/>
              <w:szCs w:val="40"/>
              <w:highlight w:val="none"/>
              <w:lang w:val="en-US" w:eastAsia="zh-CN"/>
            </w:rPr>
            <w:t>一、健全党全面领导社会工作新格局</w:t>
          </w:r>
          <w:r>
            <w:rPr>
              <w:rFonts w:hint="eastAsia" w:ascii="仿宋_GB2312" w:hAnsi="仿宋_GB2312" w:eastAsia="仿宋_GB2312" w:cs="仿宋_GB2312"/>
              <w:color w:val="auto"/>
              <w:sz w:val="28"/>
              <w:szCs w:val="40"/>
              <w:highlight w:val="none"/>
            </w:rPr>
            <w:tab/>
          </w:r>
          <w:r>
            <w:rPr>
              <w:rFonts w:hint="eastAsia" w:ascii="仿宋_GB2312" w:hAnsi="仿宋_GB2312" w:eastAsia="仿宋_GB2312" w:cs="仿宋_GB2312"/>
              <w:color w:val="auto"/>
              <w:sz w:val="28"/>
              <w:szCs w:val="40"/>
              <w:highlight w:val="none"/>
            </w:rPr>
            <w:fldChar w:fldCharType="begin"/>
          </w:r>
          <w:r>
            <w:rPr>
              <w:rFonts w:hint="eastAsia" w:ascii="仿宋_GB2312" w:hAnsi="仿宋_GB2312" w:eastAsia="仿宋_GB2312" w:cs="仿宋_GB2312"/>
              <w:color w:val="auto"/>
              <w:sz w:val="28"/>
              <w:szCs w:val="40"/>
              <w:highlight w:val="none"/>
            </w:rPr>
            <w:instrText xml:space="preserve"> PAGEREF _Toc1555076018 \h </w:instrText>
          </w:r>
          <w:r>
            <w:rPr>
              <w:rFonts w:hint="eastAsia" w:ascii="仿宋_GB2312" w:hAnsi="仿宋_GB2312" w:eastAsia="仿宋_GB2312" w:cs="仿宋_GB2312"/>
              <w:color w:val="auto"/>
              <w:sz w:val="28"/>
              <w:szCs w:val="40"/>
              <w:highlight w:val="none"/>
            </w:rPr>
            <w:fldChar w:fldCharType="separate"/>
          </w:r>
          <w:r>
            <w:rPr>
              <w:rFonts w:hint="eastAsia" w:ascii="仿宋_GB2312" w:hAnsi="仿宋_GB2312" w:eastAsia="仿宋_GB2312" w:cs="仿宋_GB2312"/>
              <w:color w:val="auto"/>
              <w:sz w:val="28"/>
              <w:szCs w:val="40"/>
              <w:highlight w:val="none"/>
            </w:rPr>
            <w:t>15</w:t>
          </w:r>
          <w:r>
            <w:rPr>
              <w:rFonts w:hint="eastAsia" w:ascii="仿宋_GB2312" w:hAnsi="仿宋_GB2312" w:eastAsia="仿宋_GB2312" w:cs="仿宋_GB2312"/>
              <w:color w:val="auto"/>
              <w:sz w:val="28"/>
              <w:szCs w:val="40"/>
              <w:highlight w:val="none"/>
            </w:rPr>
            <w:fldChar w:fldCharType="end"/>
          </w:r>
          <w:r>
            <w:rPr>
              <w:rFonts w:hint="eastAsia" w:ascii="仿宋_GB2312" w:hAnsi="仿宋_GB2312" w:eastAsia="仿宋_GB2312" w:cs="仿宋_GB2312"/>
              <w:color w:val="auto"/>
              <w:sz w:val="28"/>
              <w:szCs w:val="40"/>
              <w:highlight w:val="none"/>
            </w:rPr>
            <w:fldChar w:fldCharType="end"/>
          </w:r>
        </w:p>
        <w:p w14:paraId="217D1EE2">
          <w:pPr>
            <w:pStyle w:val="10"/>
            <w:keepNext w:val="0"/>
            <w:keepLines w:val="0"/>
            <w:pageBreakBefore w:val="0"/>
            <w:widowControl w:val="0"/>
            <w:tabs>
              <w:tab w:val="right" w:leader="dot" w:pos="8448"/>
            </w:tabs>
            <w:kinsoku/>
            <w:wordWrap/>
            <w:overflowPunct/>
            <w:topLinePunct w:val="0"/>
            <w:autoSpaceDE/>
            <w:autoSpaceDN/>
            <w:bidi w:val="0"/>
            <w:spacing w:line="460" w:lineRule="exact"/>
            <w:textAlignment w:val="auto"/>
            <w:rPr>
              <w:rFonts w:hint="eastAsia" w:ascii="仿宋_GB2312" w:hAnsi="仿宋_GB2312" w:eastAsia="仿宋_GB2312" w:cs="仿宋_GB2312"/>
              <w:color w:val="auto"/>
              <w:sz w:val="28"/>
              <w:szCs w:val="40"/>
              <w:highlight w:val="none"/>
            </w:rPr>
          </w:pPr>
          <w:r>
            <w:rPr>
              <w:rFonts w:hint="eastAsia" w:ascii="仿宋_GB2312" w:hAnsi="仿宋_GB2312" w:eastAsia="仿宋_GB2312" w:cs="仿宋_GB2312"/>
              <w:color w:val="auto"/>
              <w:sz w:val="28"/>
              <w:szCs w:val="40"/>
              <w:highlight w:val="none"/>
            </w:rPr>
            <w:fldChar w:fldCharType="begin"/>
          </w:r>
          <w:r>
            <w:rPr>
              <w:rFonts w:hint="eastAsia" w:ascii="仿宋_GB2312" w:hAnsi="仿宋_GB2312" w:eastAsia="仿宋_GB2312" w:cs="仿宋_GB2312"/>
              <w:color w:val="auto"/>
              <w:sz w:val="28"/>
              <w:szCs w:val="40"/>
              <w:highlight w:val="none"/>
            </w:rPr>
            <w:instrText xml:space="preserve"> HYPERLINK \l _Toc1653617484 </w:instrText>
          </w:r>
          <w:r>
            <w:rPr>
              <w:rFonts w:hint="eastAsia" w:ascii="仿宋_GB2312" w:hAnsi="仿宋_GB2312" w:eastAsia="仿宋_GB2312" w:cs="仿宋_GB2312"/>
              <w:color w:val="auto"/>
              <w:sz w:val="28"/>
              <w:szCs w:val="40"/>
              <w:highlight w:val="none"/>
            </w:rPr>
            <w:fldChar w:fldCharType="separate"/>
          </w:r>
          <w:r>
            <w:rPr>
              <w:rFonts w:hint="eastAsia" w:ascii="仿宋_GB2312" w:hAnsi="仿宋_GB2312" w:eastAsia="仿宋_GB2312" w:cs="仿宋_GB2312"/>
              <w:color w:val="auto"/>
              <w:sz w:val="28"/>
              <w:szCs w:val="40"/>
              <w:highlight w:val="none"/>
              <w:lang w:val="en-US" w:eastAsia="zh-CN"/>
            </w:rPr>
            <w:t>二、打造新兴领域高质量发展新高地</w:t>
          </w:r>
          <w:r>
            <w:rPr>
              <w:rFonts w:hint="eastAsia" w:ascii="仿宋_GB2312" w:hAnsi="仿宋_GB2312" w:eastAsia="仿宋_GB2312" w:cs="仿宋_GB2312"/>
              <w:color w:val="auto"/>
              <w:sz w:val="28"/>
              <w:szCs w:val="40"/>
              <w:highlight w:val="none"/>
            </w:rPr>
            <w:tab/>
          </w:r>
          <w:r>
            <w:rPr>
              <w:rFonts w:hint="eastAsia" w:ascii="仿宋_GB2312" w:hAnsi="仿宋_GB2312" w:eastAsia="仿宋_GB2312" w:cs="仿宋_GB2312"/>
              <w:color w:val="auto"/>
              <w:sz w:val="28"/>
              <w:szCs w:val="40"/>
              <w:highlight w:val="none"/>
            </w:rPr>
            <w:fldChar w:fldCharType="begin"/>
          </w:r>
          <w:r>
            <w:rPr>
              <w:rFonts w:hint="eastAsia" w:ascii="仿宋_GB2312" w:hAnsi="仿宋_GB2312" w:eastAsia="仿宋_GB2312" w:cs="仿宋_GB2312"/>
              <w:color w:val="auto"/>
              <w:sz w:val="28"/>
              <w:szCs w:val="40"/>
              <w:highlight w:val="none"/>
            </w:rPr>
            <w:instrText xml:space="preserve"> PAGEREF _Toc1653617484 \h </w:instrText>
          </w:r>
          <w:r>
            <w:rPr>
              <w:rFonts w:hint="eastAsia" w:ascii="仿宋_GB2312" w:hAnsi="仿宋_GB2312" w:eastAsia="仿宋_GB2312" w:cs="仿宋_GB2312"/>
              <w:color w:val="auto"/>
              <w:sz w:val="28"/>
              <w:szCs w:val="40"/>
              <w:highlight w:val="none"/>
            </w:rPr>
            <w:fldChar w:fldCharType="separate"/>
          </w:r>
          <w:r>
            <w:rPr>
              <w:rFonts w:hint="eastAsia" w:ascii="仿宋_GB2312" w:hAnsi="仿宋_GB2312" w:eastAsia="仿宋_GB2312" w:cs="仿宋_GB2312"/>
              <w:color w:val="auto"/>
              <w:sz w:val="28"/>
              <w:szCs w:val="40"/>
              <w:highlight w:val="none"/>
            </w:rPr>
            <w:t>17</w:t>
          </w:r>
          <w:r>
            <w:rPr>
              <w:rFonts w:hint="eastAsia" w:ascii="仿宋_GB2312" w:hAnsi="仿宋_GB2312" w:eastAsia="仿宋_GB2312" w:cs="仿宋_GB2312"/>
              <w:color w:val="auto"/>
              <w:sz w:val="28"/>
              <w:szCs w:val="40"/>
              <w:highlight w:val="none"/>
            </w:rPr>
            <w:fldChar w:fldCharType="end"/>
          </w:r>
          <w:r>
            <w:rPr>
              <w:rFonts w:hint="eastAsia" w:ascii="仿宋_GB2312" w:hAnsi="仿宋_GB2312" w:eastAsia="仿宋_GB2312" w:cs="仿宋_GB2312"/>
              <w:color w:val="auto"/>
              <w:sz w:val="28"/>
              <w:szCs w:val="40"/>
              <w:highlight w:val="none"/>
            </w:rPr>
            <w:fldChar w:fldCharType="end"/>
          </w:r>
        </w:p>
        <w:p w14:paraId="30510FD6">
          <w:pPr>
            <w:pStyle w:val="10"/>
            <w:keepNext w:val="0"/>
            <w:keepLines w:val="0"/>
            <w:pageBreakBefore w:val="0"/>
            <w:widowControl w:val="0"/>
            <w:tabs>
              <w:tab w:val="right" w:leader="dot" w:pos="8448"/>
            </w:tabs>
            <w:kinsoku/>
            <w:wordWrap/>
            <w:overflowPunct/>
            <w:topLinePunct w:val="0"/>
            <w:autoSpaceDE/>
            <w:autoSpaceDN/>
            <w:bidi w:val="0"/>
            <w:spacing w:line="460" w:lineRule="exact"/>
            <w:textAlignment w:val="auto"/>
            <w:rPr>
              <w:rFonts w:hint="eastAsia" w:ascii="仿宋_GB2312" w:hAnsi="仿宋_GB2312" w:eastAsia="仿宋_GB2312" w:cs="仿宋_GB2312"/>
              <w:color w:val="auto"/>
              <w:sz w:val="28"/>
              <w:szCs w:val="40"/>
              <w:highlight w:val="none"/>
            </w:rPr>
          </w:pPr>
          <w:r>
            <w:rPr>
              <w:rFonts w:hint="eastAsia" w:ascii="仿宋_GB2312" w:hAnsi="仿宋_GB2312" w:eastAsia="仿宋_GB2312" w:cs="仿宋_GB2312"/>
              <w:color w:val="auto"/>
              <w:sz w:val="28"/>
              <w:szCs w:val="40"/>
              <w:highlight w:val="none"/>
            </w:rPr>
            <w:fldChar w:fldCharType="begin"/>
          </w:r>
          <w:r>
            <w:rPr>
              <w:rFonts w:hint="eastAsia" w:ascii="仿宋_GB2312" w:hAnsi="仿宋_GB2312" w:eastAsia="仿宋_GB2312" w:cs="仿宋_GB2312"/>
              <w:color w:val="auto"/>
              <w:sz w:val="28"/>
              <w:szCs w:val="40"/>
              <w:highlight w:val="none"/>
            </w:rPr>
            <w:instrText xml:space="preserve"> HYPERLINK \l _Toc365341767 </w:instrText>
          </w:r>
          <w:r>
            <w:rPr>
              <w:rFonts w:hint="eastAsia" w:ascii="仿宋_GB2312" w:hAnsi="仿宋_GB2312" w:eastAsia="仿宋_GB2312" w:cs="仿宋_GB2312"/>
              <w:color w:val="auto"/>
              <w:sz w:val="28"/>
              <w:szCs w:val="40"/>
              <w:highlight w:val="none"/>
            </w:rPr>
            <w:fldChar w:fldCharType="separate"/>
          </w:r>
          <w:r>
            <w:rPr>
              <w:rFonts w:hint="eastAsia" w:ascii="仿宋_GB2312" w:hAnsi="仿宋_GB2312" w:eastAsia="仿宋_GB2312" w:cs="仿宋_GB2312"/>
              <w:color w:val="auto"/>
              <w:sz w:val="28"/>
              <w:szCs w:val="40"/>
              <w:highlight w:val="none"/>
              <w:lang w:val="en-US" w:eastAsia="zh-CN"/>
            </w:rPr>
            <w:t>三、构筑基层治理与政权建设新优势</w:t>
          </w:r>
          <w:r>
            <w:rPr>
              <w:rFonts w:hint="eastAsia" w:ascii="仿宋_GB2312" w:hAnsi="仿宋_GB2312" w:eastAsia="仿宋_GB2312" w:cs="仿宋_GB2312"/>
              <w:color w:val="auto"/>
              <w:sz w:val="28"/>
              <w:szCs w:val="40"/>
              <w:highlight w:val="none"/>
            </w:rPr>
            <w:tab/>
          </w:r>
          <w:r>
            <w:rPr>
              <w:rFonts w:hint="eastAsia" w:ascii="仿宋_GB2312" w:hAnsi="仿宋_GB2312" w:eastAsia="仿宋_GB2312" w:cs="仿宋_GB2312"/>
              <w:color w:val="auto"/>
              <w:sz w:val="28"/>
              <w:szCs w:val="40"/>
              <w:highlight w:val="none"/>
            </w:rPr>
            <w:fldChar w:fldCharType="begin"/>
          </w:r>
          <w:r>
            <w:rPr>
              <w:rFonts w:hint="eastAsia" w:ascii="仿宋_GB2312" w:hAnsi="仿宋_GB2312" w:eastAsia="仿宋_GB2312" w:cs="仿宋_GB2312"/>
              <w:color w:val="auto"/>
              <w:sz w:val="28"/>
              <w:szCs w:val="40"/>
              <w:highlight w:val="none"/>
            </w:rPr>
            <w:instrText xml:space="preserve"> PAGEREF _Toc365341767 \h </w:instrText>
          </w:r>
          <w:r>
            <w:rPr>
              <w:rFonts w:hint="eastAsia" w:ascii="仿宋_GB2312" w:hAnsi="仿宋_GB2312" w:eastAsia="仿宋_GB2312" w:cs="仿宋_GB2312"/>
              <w:color w:val="auto"/>
              <w:sz w:val="28"/>
              <w:szCs w:val="40"/>
              <w:highlight w:val="none"/>
            </w:rPr>
            <w:fldChar w:fldCharType="separate"/>
          </w:r>
          <w:r>
            <w:rPr>
              <w:rFonts w:hint="eastAsia" w:ascii="仿宋_GB2312" w:hAnsi="仿宋_GB2312" w:eastAsia="仿宋_GB2312" w:cs="仿宋_GB2312"/>
              <w:color w:val="auto"/>
              <w:sz w:val="28"/>
              <w:szCs w:val="40"/>
              <w:highlight w:val="none"/>
            </w:rPr>
            <w:t>19</w:t>
          </w:r>
          <w:r>
            <w:rPr>
              <w:rFonts w:hint="eastAsia" w:ascii="仿宋_GB2312" w:hAnsi="仿宋_GB2312" w:eastAsia="仿宋_GB2312" w:cs="仿宋_GB2312"/>
              <w:color w:val="auto"/>
              <w:sz w:val="28"/>
              <w:szCs w:val="40"/>
              <w:highlight w:val="none"/>
            </w:rPr>
            <w:fldChar w:fldCharType="end"/>
          </w:r>
          <w:r>
            <w:rPr>
              <w:rFonts w:hint="eastAsia" w:ascii="仿宋_GB2312" w:hAnsi="仿宋_GB2312" w:eastAsia="仿宋_GB2312" w:cs="仿宋_GB2312"/>
              <w:color w:val="auto"/>
              <w:sz w:val="28"/>
              <w:szCs w:val="40"/>
              <w:highlight w:val="none"/>
            </w:rPr>
            <w:fldChar w:fldCharType="end"/>
          </w:r>
        </w:p>
        <w:p w14:paraId="0EF97A75">
          <w:pPr>
            <w:pStyle w:val="10"/>
            <w:keepNext w:val="0"/>
            <w:keepLines w:val="0"/>
            <w:pageBreakBefore w:val="0"/>
            <w:widowControl w:val="0"/>
            <w:tabs>
              <w:tab w:val="right" w:leader="dot" w:pos="8448"/>
            </w:tabs>
            <w:kinsoku/>
            <w:wordWrap/>
            <w:overflowPunct/>
            <w:topLinePunct w:val="0"/>
            <w:autoSpaceDE/>
            <w:autoSpaceDN/>
            <w:bidi w:val="0"/>
            <w:spacing w:line="460" w:lineRule="exact"/>
            <w:textAlignment w:val="auto"/>
            <w:rPr>
              <w:rFonts w:hint="eastAsia" w:ascii="仿宋_GB2312" w:hAnsi="仿宋_GB2312" w:eastAsia="仿宋_GB2312" w:cs="仿宋_GB2312"/>
              <w:color w:val="auto"/>
              <w:sz w:val="28"/>
              <w:szCs w:val="40"/>
              <w:highlight w:val="none"/>
            </w:rPr>
          </w:pPr>
          <w:r>
            <w:rPr>
              <w:rFonts w:hint="eastAsia" w:ascii="仿宋_GB2312" w:hAnsi="仿宋_GB2312" w:eastAsia="仿宋_GB2312" w:cs="仿宋_GB2312"/>
              <w:color w:val="auto"/>
              <w:sz w:val="28"/>
              <w:szCs w:val="40"/>
              <w:highlight w:val="none"/>
            </w:rPr>
            <w:fldChar w:fldCharType="begin"/>
          </w:r>
          <w:r>
            <w:rPr>
              <w:rFonts w:hint="eastAsia" w:ascii="仿宋_GB2312" w:hAnsi="仿宋_GB2312" w:eastAsia="仿宋_GB2312" w:cs="仿宋_GB2312"/>
              <w:color w:val="auto"/>
              <w:sz w:val="28"/>
              <w:szCs w:val="40"/>
              <w:highlight w:val="none"/>
            </w:rPr>
            <w:instrText xml:space="preserve"> HYPERLINK \l _Toc2113886446 </w:instrText>
          </w:r>
          <w:r>
            <w:rPr>
              <w:rFonts w:hint="eastAsia" w:ascii="仿宋_GB2312" w:hAnsi="仿宋_GB2312" w:eastAsia="仿宋_GB2312" w:cs="仿宋_GB2312"/>
              <w:color w:val="auto"/>
              <w:sz w:val="28"/>
              <w:szCs w:val="40"/>
              <w:highlight w:val="none"/>
            </w:rPr>
            <w:fldChar w:fldCharType="separate"/>
          </w:r>
          <w:r>
            <w:rPr>
              <w:rFonts w:hint="eastAsia" w:ascii="仿宋_GB2312" w:hAnsi="仿宋_GB2312" w:eastAsia="仿宋_GB2312" w:cs="仿宋_GB2312"/>
              <w:color w:val="auto"/>
              <w:sz w:val="28"/>
              <w:szCs w:val="40"/>
              <w:highlight w:val="none"/>
              <w:lang w:val="en-US" w:eastAsia="zh-CN"/>
            </w:rPr>
            <w:t>四、创新服务群众工作实效新路径</w:t>
          </w:r>
          <w:r>
            <w:rPr>
              <w:rFonts w:hint="eastAsia" w:ascii="仿宋_GB2312" w:hAnsi="仿宋_GB2312" w:eastAsia="仿宋_GB2312" w:cs="仿宋_GB2312"/>
              <w:color w:val="auto"/>
              <w:sz w:val="28"/>
              <w:szCs w:val="40"/>
              <w:highlight w:val="none"/>
            </w:rPr>
            <w:tab/>
          </w:r>
          <w:r>
            <w:rPr>
              <w:rFonts w:hint="eastAsia" w:ascii="仿宋_GB2312" w:hAnsi="仿宋_GB2312" w:eastAsia="仿宋_GB2312" w:cs="仿宋_GB2312"/>
              <w:color w:val="auto"/>
              <w:sz w:val="28"/>
              <w:szCs w:val="40"/>
              <w:highlight w:val="none"/>
            </w:rPr>
            <w:fldChar w:fldCharType="begin"/>
          </w:r>
          <w:r>
            <w:rPr>
              <w:rFonts w:hint="eastAsia" w:ascii="仿宋_GB2312" w:hAnsi="仿宋_GB2312" w:eastAsia="仿宋_GB2312" w:cs="仿宋_GB2312"/>
              <w:color w:val="auto"/>
              <w:sz w:val="28"/>
              <w:szCs w:val="40"/>
              <w:highlight w:val="none"/>
            </w:rPr>
            <w:instrText xml:space="preserve"> PAGEREF _Toc2113886446 \h </w:instrText>
          </w:r>
          <w:r>
            <w:rPr>
              <w:rFonts w:hint="eastAsia" w:ascii="仿宋_GB2312" w:hAnsi="仿宋_GB2312" w:eastAsia="仿宋_GB2312" w:cs="仿宋_GB2312"/>
              <w:color w:val="auto"/>
              <w:sz w:val="28"/>
              <w:szCs w:val="40"/>
              <w:highlight w:val="none"/>
            </w:rPr>
            <w:fldChar w:fldCharType="separate"/>
          </w:r>
          <w:r>
            <w:rPr>
              <w:rFonts w:hint="eastAsia" w:ascii="仿宋_GB2312" w:hAnsi="仿宋_GB2312" w:eastAsia="仿宋_GB2312" w:cs="仿宋_GB2312"/>
              <w:color w:val="auto"/>
              <w:sz w:val="28"/>
              <w:szCs w:val="40"/>
              <w:highlight w:val="none"/>
            </w:rPr>
            <w:t>23</w:t>
          </w:r>
          <w:r>
            <w:rPr>
              <w:rFonts w:hint="eastAsia" w:ascii="仿宋_GB2312" w:hAnsi="仿宋_GB2312" w:eastAsia="仿宋_GB2312" w:cs="仿宋_GB2312"/>
              <w:color w:val="auto"/>
              <w:sz w:val="28"/>
              <w:szCs w:val="40"/>
              <w:highlight w:val="none"/>
            </w:rPr>
            <w:fldChar w:fldCharType="end"/>
          </w:r>
          <w:r>
            <w:rPr>
              <w:rFonts w:hint="eastAsia" w:ascii="仿宋_GB2312" w:hAnsi="仿宋_GB2312" w:eastAsia="仿宋_GB2312" w:cs="仿宋_GB2312"/>
              <w:color w:val="auto"/>
              <w:sz w:val="28"/>
              <w:szCs w:val="40"/>
              <w:highlight w:val="none"/>
            </w:rPr>
            <w:fldChar w:fldCharType="end"/>
          </w:r>
        </w:p>
        <w:p w14:paraId="2F6BD69F">
          <w:pPr>
            <w:pStyle w:val="10"/>
            <w:keepNext w:val="0"/>
            <w:keepLines w:val="0"/>
            <w:pageBreakBefore w:val="0"/>
            <w:widowControl w:val="0"/>
            <w:tabs>
              <w:tab w:val="right" w:leader="dot" w:pos="8448"/>
            </w:tabs>
            <w:kinsoku/>
            <w:wordWrap/>
            <w:overflowPunct/>
            <w:topLinePunct w:val="0"/>
            <w:autoSpaceDE/>
            <w:autoSpaceDN/>
            <w:bidi w:val="0"/>
            <w:spacing w:line="460" w:lineRule="exact"/>
            <w:textAlignment w:val="auto"/>
            <w:rPr>
              <w:rFonts w:hint="eastAsia" w:ascii="仿宋_GB2312" w:hAnsi="仿宋_GB2312" w:eastAsia="仿宋_GB2312" w:cs="仿宋_GB2312"/>
              <w:color w:val="auto"/>
              <w:sz w:val="28"/>
              <w:szCs w:val="40"/>
              <w:highlight w:val="none"/>
            </w:rPr>
          </w:pPr>
          <w:r>
            <w:rPr>
              <w:rFonts w:hint="eastAsia" w:ascii="仿宋_GB2312" w:hAnsi="仿宋_GB2312" w:eastAsia="仿宋_GB2312" w:cs="仿宋_GB2312"/>
              <w:color w:val="auto"/>
              <w:sz w:val="28"/>
              <w:szCs w:val="40"/>
              <w:highlight w:val="none"/>
            </w:rPr>
            <w:fldChar w:fldCharType="begin"/>
          </w:r>
          <w:r>
            <w:rPr>
              <w:rFonts w:hint="eastAsia" w:ascii="仿宋_GB2312" w:hAnsi="仿宋_GB2312" w:eastAsia="仿宋_GB2312" w:cs="仿宋_GB2312"/>
              <w:color w:val="auto"/>
              <w:sz w:val="28"/>
              <w:szCs w:val="40"/>
              <w:highlight w:val="none"/>
            </w:rPr>
            <w:instrText xml:space="preserve"> HYPERLINK \l _Toc358705723 </w:instrText>
          </w:r>
          <w:r>
            <w:rPr>
              <w:rFonts w:hint="eastAsia" w:ascii="仿宋_GB2312" w:hAnsi="仿宋_GB2312" w:eastAsia="仿宋_GB2312" w:cs="仿宋_GB2312"/>
              <w:color w:val="auto"/>
              <w:sz w:val="28"/>
              <w:szCs w:val="40"/>
              <w:highlight w:val="none"/>
            </w:rPr>
            <w:fldChar w:fldCharType="separate"/>
          </w:r>
          <w:r>
            <w:rPr>
              <w:rFonts w:hint="eastAsia" w:ascii="仿宋_GB2312" w:hAnsi="仿宋_GB2312" w:eastAsia="仿宋_GB2312" w:cs="仿宋_GB2312"/>
              <w:color w:val="auto"/>
              <w:sz w:val="28"/>
              <w:szCs w:val="40"/>
              <w:highlight w:val="none"/>
              <w:lang w:val="en-US" w:eastAsia="zh-CN"/>
            </w:rPr>
            <w:t>五、优化公共服务增进民生新福祉</w:t>
          </w:r>
          <w:r>
            <w:rPr>
              <w:rFonts w:hint="eastAsia" w:ascii="仿宋_GB2312" w:hAnsi="仿宋_GB2312" w:eastAsia="仿宋_GB2312" w:cs="仿宋_GB2312"/>
              <w:color w:val="auto"/>
              <w:sz w:val="28"/>
              <w:szCs w:val="40"/>
              <w:highlight w:val="none"/>
            </w:rPr>
            <w:tab/>
          </w:r>
          <w:r>
            <w:rPr>
              <w:rFonts w:hint="eastAsia" w:ascii="仿宋_GB2312" w:hAnsi="仿宋_GB2312" w:eastAsia="仿宋_GB2312" w:cs="仿宋_GB2312"/>
              <w:color w:val="auto"/>
              <w:sz w:val="28"/>
              <w:szCs w:val="40"/>
              <w:highlight w:val="none"/>
            </w:rPr>
            <w:fldChar w:fldCharType="begin"/>
          </w:r>
          <w:r>
            <w:rPr>
              <w:rFonts w:hint="eastAsia" w:ascii="仿宋_GB2312" w:hAnsi="仿宋_GB2312" w:eastAsia="仿宋_GB2312" w:cs="仿宋_GB2312"/>
              <w:color w:val="auto"/>
              <w:sz w:val="28"/>
              <w:szCs w:val="40"/>
              <w:highlight w:val="none"/>
            </w:rPr>
            <w:instrText xml:space="preserve"> PAGEREF _Toc358705723 \h </w:instrText>
          </w:r>
          <w:r>
            <w:rPr>
              <w:rFonts w:hint="eastAsia" w:ascii="仿宋_GB2312" w:hAnsi="仿宋_GB2312" w:eastAsia="仿宋_GB2312" w:cs="仿宋_GB2312"/>
              <w:color w:val="auto"/>
              <w:sz w:val="28"/>
              <w:szCs w:val="40"/>
              <w:highlight w:val="none"/>
            </w:rPr>
            <w:fldChar w:fldCharType="separate"/>
          </w:r>
          <w:r>
            <w:rPr>
              <w:rFonts w:hint="eastAsia" w:ascii="仿宋_GB2312" w:hAnsi="仿宋_GB2312" w:eastAsia="仿宋_GB2312" w:cs="仿宋_GB2312"/>
              <w:color w:val="auto"/>
              <w:sz w:val="28"/>
              <w:szCs w:val="40"/>
              <w:highlight w:val="none"/>
            </w:rPr>
            <w:t>26</w:t>
          </w:r>
          <w:r>
            <w:rPr>
              <w:rFonts w:hint="eastAsia" w:ascii="仿宋_GB2312" w:hAnsi="仿宋_GB2312" w:eastAsia="仿宋_GB2312" w:cs="仿宋_GB2312"/>
              <w:color w:val="auto"/>
              <w:sz w:val="28"/>
              <w:szCs w:val="40"/>
              <w:highlight w:val="none"/>
            </w:rPr>
            <w:fldChar w:fldCharType="end"/>
          </w:r>
          <w:r>
            <w:rPr>
              <w:rFonts w:hint="eastAsia" w:ascii="仿宋_GB2312" w:hAnsi="仿宋_GB2312" w:eastAsia="仿宋_GB2312" w:cs="仿宋_GB2312"/>
              <w:color w:val="auto"/>
              <w:sz w:val="28"/>
              <w:szCs w:val="40"/>
              <w:highlight w:val="none"/>
            </w:rPr>
            <w:fldChar w:fldCharType="end"/>
          </w:r>
        </w:p>
        <w:p w14:paraId="3589C918">
          <w:pPr>
            <w:pStyle w:val="10"/>
            <w:keepNext w:val="0"/>
            <w:keepLines w:val="0"/>
            <w:pageBreakBefore w:val="0"/>
            <w:widowControl w:val="0"/>
            <w:tabs>
              <w:tab w:val="right" w:leader="dot" w:pos="8448"/>
            </w:tabs>
            <w:kinsoku/>
            <w:wordWrap/>
            <w:overflowPunct/>
            <w:topLinePunct w:val="0"/>
            <w:autoSpaceDE/>
            <w:autoSpaceDN/>
            <w:bidi w:val="0"/>
            <w:spacing w:line="460" w:lineRule="exact"/>
            <w:textAlignment w:val="auto"/>
            <w:rPr>
              <w:rFonts w:hint="eastAsia" w:ascii="仿宋_GB2312" w:hAnsi="仿宋_GB2312" w:eastAsia="仿宋_GB2312" w:cs="仿宋_GB2312"/>
              <w:color w:val="auto"/>
              <w:sz w:val="28"/>
              <w:szCs w:val="40"/>
              <w:highlight w:val="none"/>
            </w:rPr>
          </w:pPr>
          <w:r>
            <w:rPr>
              <w:rFonts w:hint="eastAsia" w:ascii="仿宋_GB2312" w:hAnsi="仿宋_GB2312" w:eastAsia="仿宋_GB2312" w:cs="仿宋_GB2312"/>
              <w:color w:val="auto"/>
              <w:sz w:val="28"/>
              <w:szCs w:val="40"/>
              <w:highlight w:val="none"/>
            </w:rPr>
            <w:fldChar w:fldCharType="begin"/>
          </w:r>
          <w:r>
            <w:rPr>
              <w:rFonts w:hint="eastAsia" w:ascii="仿宋_GB2312" w:hAnsi="仿宋_GB2312" w:eastAsia="仿宋_GB2312" w:cs="仿宋_GB2312"/>
              <w:color w:val="auto"/>
              <w:sz w:val="28"/>
              <w:szCs w:val="40"/>
              <w:highlight w:val="none"/>
            </w:rPr>
            <w:instrText xml:space="preserve"> HYPERLINK \l _Toc1814920956 </w:instrText>
          </w:r>
          <w:r>
            <w:rPr>
              <w:rFonts w:hint="eastAsia" w:ascii="仿宋_GB2312" w:hAnsi="仿宋_GB2312" w:eastAsia="仿宋_GB2312" w:cs="仿宋_GB2312"/>
              <w:color w:val="auto"/>
              <w:sz w:val="28"/>
              <w:szCs w:val="40"/>
              <w:highlight w:val="none"/>
            </w:rPr>
            <w:fldChar w:fldCharType="separate"/>
          </w:r>
          <w:r>
            <w:rPr>
              <w:rFonts w:hint="eastAsia" w:ascii="仿宋_GB2312" w:hAnsi="仿宋_GB2312" w:eastAsia="仿宋_GB2312" w:cs="仿宋_GB2312"/>
              <w:color w:val="auto"/>
              <w:sz w:val="28"/>
              <w:szCs w:val="40"/>
              <w:highlight w:val="none"/>
              <w:lang w:val="en-US" w:eastAsia="zh-CN"/>
            </w:rPr>
            <w:t>六、筑牢城市有序运行安全新屏障</w:t>
          </w:r>
          <w:r>
            <w:rPr>
              <w:rFonts w:hint="eastAsia" w:ascii="仿宋_GB2312" w:hAnsi="仿宋_GB2312" w:eastAsia="仿宋_GB2312" w:cs="仿宋_GB2312"/>
              <w:color w:val="auto"/>
              <w:sz w:val="28"/>
              <w:szCs w:val="40"/>
              <w:highlight w:val="none"/>
            </w:rPr>
            <w:tab/>
          </w:r>
          <w:r>
            <w:rPr>
              <w:rFonts w:hint="eastAsia" w:ascii="仿宋_GB2312" w:hAnsi="仿宋_GB2312" w:eastAsia="仿宋_GB2312" w:cs="仿宋_GB2312"/>
              <w:color w:val="auto"/>
              <w:sz w:val="28"/>
              <w:szCs w:val="40"/>
              <w:highlight w:val="none"/>
            </w:rPr>
            <w:fldChar w:fldCharType="begin"/>
          </w:r>
          <w:r>
            <w:rPr>
              <w:rFonts w:hint="eastAsia" w:ascii="仿宋_GB2312" w:hAnsi="仿宋_GB2312" w:eastAsia="仿宋_GB2312" w:cs="仿宋_GB2312"/>
              <w:color w:val="auto"/>
              <w:sz w:val="28"/>
              <w:szCs w:val="40"/>
              <w:highlight w:val="none"/>
            </w:rPr>
            <w:instrText xml:space="preserve"> PAGEREF _Toc1814920956 \h </w:instrText>
          </w:r>
          <w:r>
            <w:rPr>
              <w:rFonts w:hint="eastAsia" w:ascii="仿宋_GB2312" w:hAnsi="仿宋_GB2312" w:eastAsia="仿宋_GB2312" w:cs="仿宋_GB2312"/>
              <w:color w:val="auto"/>
              <w:sz w:val="28"/>
              <w:szCs w:val="40"/>
              <w:highlight w:val="none"/>
            </w:rPr>
            <w:fldChar w:fldCharType="separate"/>
          </w:r>
          <w:r>
            <w:rPr>
              <w:rFonts w:hint="eastAsia" w:ascii="仿宋_GB2312" w:hAnsi="仿宋_GB2312" w:eastAsia="仿宋_GB2312" w:cs="仿宋_GB2312"/>
              <w:color w:val="auto"/>
              <w:sz w:val="28"/>
              <w:szCs w:val="40"/>
              <w:highlight w:val="none"/>
            </w:rPr>
            <w:t>30</w:t>
          </w:r>
          <w:r>
            <w:rPr>
              <w:rFonts w:hint="eastAsia" w:ascii="仿宋_GB2312" w:hAnsi="仿宋_GB2312" w:eastAsia="仿宋_GB2312" w:cs="仿宋_GB2312"/>
              <w:color w:val="auto"/>
              <w:sz w:val="28"/>
              <w:szCs w:val="40"/>
              <w:highlight w:val="none"/>
            </w:rPr>
            <w:fldChar w:fldCharType="end"/>
          </w:r>
          <w:r>
            <w:rPr>
              <w:rFonts w:hint="eastAsia" w:ascii="仿宋_GB2312" w:hAnsi="仿宋_GB2312" w:eastAsia="仿宋_GB2312" w:cs="仿宋_GB2312"/>
              <w:color w:val="auto"/>
              <w:sz w:val="28"/>
              <w:szCs w:val="40"/>
              <w:highlight w:val="none"/>
            </w:rPr>
            <w:fldChar w:fldCharType="end"/>
          </w:r>
        </w:p>
        <w:p w14:paraId="12B81EEF">
          <w:pPr>
            <w:pStyle w:val="9"/>
            <w:keepNext w:val="0"/>
            <w:keepLines w:val="0"/>
            <w:pageBreakBefore w:val="0"/>
            <w:widowControl w:val="0"/>
            <w:tabs>
              <w:tab w:val="right" w:leader="dot" w:pos="8448"/>
            </w:tabs>
            <w:kinsoku/>
            <w:wordWrap/>
            <w:overflowPunct/>
            <w:topLinePunct w:val="0"/>
            <w:autoSpaceDE/>
            <w:autoSpaceDN/>
            <w:bidi w:val="0"/>
            <w:spacing w:line="460" w:lineRule="exact"/>
            <w:textAlignment w:val="auto"/>
            <w:rPr>
              <w:rFonts w:hint="eastAsia" w:ascii="黑体" w:hAnsi="黑体" w:eastAsia="黑体" w:cs="黑体"/>
              <w:color w:val="auto"/>
              <w:sz w:val="28"/>
              <w:szCs w:val="36"/>
              <w:highlight w:val="none"/>
            </w:rPr>
          </w:pPr>
          <w:r>
            <w:rPr>
              <w:rFonts w:hint="eastAsia" w:ascii="黑体" w:hAnsi="黑体" w:eastAsia="黑体" w:cs="黑体"/>
              <w:color w:val="auto"/>
              <w:sz w:val="28"/>
              <w:szCs w:val="40"/>
              <w:highlight w:val="none"/>
            </w:rPr>
            <w:fldChar w:fldCharType="begin"/>
          </w:r>
          <w:r>
            <w:rPr>
              <w:rFonts w:hint="eastAsia" w:ascii="黑体" w:hAnsi="黑体" w:eastAsia="黑体" w:cs="黑体"/>
              <w:color w:val="auto"/>
              <w:sz w:val="28"/>
              <w:szCs w:val="40"/>
              <w:highlight w:val="none"/>
            </w:rPr>
            <w:instrText xml:space="preserve"> HYPERLINK \l _Toc1495379068 </w:instrText>
          </w:r>
          <w:r>
            <w:rPr>
              <w:rFonts w:hint="eastAsia" w:ascii="黑体" w:hAnsi="黑体" w:eastAsia="黑体" w:cs="黑体"/>
              <w:color w:val="auto"/>
              <w:sz w:val="28"/>
              <w:szCs w:val="40"/>
              <w:highlight w:val="none"/>
            </w:rPr>
            <w:fldChar w:fldCharType="separate"/>
          </w:r>
          <w:r>
            <w:rPr>
              <w:rFonts w:hint="eastAsia" w:ascii="黑体" w:hAnsi="黑体" w:eastAsia="黑体" w:cs="黑体"/>
              <w:bCs w:val="0"/>
              <w:color w:val="auto"/>
              <w:sz w:val="28"/>
              <w:szCs w:val="56"/>
              <w:highlight w:val="none"/>
              <w:lang w:val="en-US" w:eastAsia="zh-CN"/>
            </w:rPr>
            <w:t>第五部分 保障措施</w:t>
          </w:r>
          <w:r>
            <w:rPr>
              <w:rFonts w:hint="eastAsia" w:ascii="仿宋_GB2312" w:hAnsi="仿宋_GB2312" w:eastAsia="仿宋_GB2312" w:cs="仿宋_GB2312"/>
              <w:color w:val="auto"/>
              <w:sz w:val="28"/>
              <w:szCs w:val="40"/>
              <w:highlight w:val="none"/>
            </w:rPr>
            <w:tab/>
          </w:r>
          <w:r>
            <w:rPr>
              <w:rFonts w:hint="eastAsia" w:ascii="仿宋_GB2312" w:hAnsi="仿宋_GB2312" w:eastAsia="仿宋_GB2312" w:cs="仿宋_GB2312"/>
              <w:color w:val="auto"/>
              <w:sz w:val="28"/>
              <w:szCs w:val="40"/>
              <w:highlight w:val="none"/>
            </w:rPr>
            <w:fldChar w:fldCharType="begin"/>
          </w:r>
          <w:r>
            <w:rPr>
              <w:rFonts w:hint="eastAsia" w:ascii="仿宋_GB2312" w:hAnsi="仿宋_GB2312" w:eastAsia="仿宋_GB2312" w:cs="仿宋_GB2312"/>
              <w:color w:val="auto"/>
              <w:sz w:val="28"/>
              <w:szCs w:val="40"/>
              <w:highlight w:val="none"/>
            </w:rPr>
            <w:instrText xml:space="preserve"> PAGEREF _Toc1495379068 \h </w:instrText>
          </w:r>
          <w:r>
            <w:rPr>
              <w:rFonts w:hint="eastAsia" w:ascii="仿宋_GB2312" w:hAnsi="仿宋_GB2312" w:eastAsia="仿宋_GB2312" w:cs="仿宋_GB2312"/>
              <w:color w:val="auto"/>
              <w:sz w:val="28"/>
              <w:szCs w:val="40"/>
              <w:highlight w:val="none"/>
            </w:rPr>
            <w:fldChar w:fldCharType="separate"/>
          </w:r>
          <w:r>
            <w:rPr>
              <w:rFonts w:hint="eastAsia" w:ascii="仿宋_GB2312" w:hAnsi="仿宋_GB2312" w:eastAsia="仿宋_GB2312" w:cs="仿宋_GB2312"/>
              <w:color w:val="auto"/>
              <w:sz w:val="28"/>
              <w:szCs w:val="40"/>
              <w:highlight w:val="none"/>
            </w:rPr>
            <w:t>32</w:t>
          </w:r>
          <w:r>
            <w:rPr>
              <w:rFonts w:hint="eastAsia" w:ascii="仿宋_GB2312" w:hAnsi="仿宋_GB2312" w:eastAsia="仿宋_GB2312" w:cs="仿宋_GB2312"/>
              <w:color w:val="auto"/>
              <w:sz w:val="28"/>
              <w:szCs w:val="40"/>
              <w:highlight w:val="none"/>
            </w:rPr>
            <w:fldChar w:fldCharType="end"/>
          </w:r>
          <w:r>
            <w:rPr>
              <w:rFonts w:hint="eastAsia" w:ascii="仿宋_GB2312" w:hAnsi="仿宋_GB2312" w:eastAsia="仿宋_GB2312" w:cs="仿宋_GB2312"/>
              <w:color w:val="auto"/>
              <w:sz w:val="28"/>
              <w:szCs w:val="40"/>
              <w:highlight w:val="none"/>
            </w:rPr>
            <w:fldChar w:fldCharType="end"/>
          </w:r>
        </w:p>
        <w:p w14:paraId="3FA40459">
          <w:pPr>
            <w:pStyle w:val="10"/>
            <w:keepNext w:val="0"/>
            <w:keepLines w:val="0"/>
            <w:pageBreakBefore w:val="0"/>
            <w:widowControl w:val="0"/>
            <w:tabs>
              <w:tab w:val="right" w:leader="dot" w:pos="8448"/>
            </w:tabs>
            <w:kinsoku/>
            <w:wordWrap/>
            <w:overflowPunct/>
            <w:topLinePunct w:val="0"/>
            <w:autoSpaceDE/>
            <w:autoSpaceDN/>
            <w:bidi w:val="0"/>
            <w:spacing w:line="460" w:lineRule="exact"/>
            <w:textAlignment w:val="auto"/>
            <w:rPr>
              <w:rFonts w:hint="eastAsia" w:ascii="仿宋_GB2312" w:hAnsi="仿宋_GB2312" w:eastAsia="仿宋_GB2312" w:cs="仿宋_GB2312"/>
              <w:color w:val="auto"/>
              <w:sz w:val="28"/>
              <w:szCs w:val="36"/>
              <w:highlight w:val="none"/>
            </w:rPr>
          </w:pPr>
          <w:r>
            <w:rPr>
              <w:rFonts w:hint="eastAsia" w:ascii="仿宋_GB2312" w:hAnsi="仿宋_GB2312" w:eastAsia="仿宋_GB2312" w:cs="仿宋_GB2312"/>
              <w:color w:val="auto"/>
              <w:sz w:val="28"/>
              <w:szCs w:val="40"/>
              <w:highlight w:val="none"/>
            </w:rPr>
            <w:fldChar w:fldCharType="begin"/>
          </w:r>
          <w:r>
            <w:rPr>
              <w:rFonts w:hint="eastAsia" w:ascii="仿宋_GB2312" w:hAnsi="仿宋_GB2312" w:eastAsia="仿宋_GB2312" w:cs="仿宋_GB2312"/>
              <w:color w:val="auto"/>
              <w:sz w:val="28"/>
              <w:szCs w:val="40"/>
              <w:highlight w:val="none"/>
            </w:rPr>
            <w:instrText xml:space="preserve"> HYPERLINK \l _Toc725455594 </w:instrText>
          </w:r>
          <w:r>
            <w:rPr>
              <w:rFonts w:hint="eastAsia" w:ascii="仿宋_GB2312" w:hAnsi="仿宋_GB2312" w:eastAsia="仿宋_GB2312" w:cs="仿宋_GB2312"/>
              <w:color w:val="auto"/>
              <w:sz w:val="28"/>
              <w:szCs w:val="40"/>
              <w:highlight w:val="none"/>
            </w:rPr>
            <w:fldChar w:fldCharType="separate"/>
          </w:r>
          <w:r>
            <w:rPr>
              <w:rFonts w:hint="eastAsia" w:ascii="仿宋_GB2312" w:hAnsi="仿宋_GB2312" w:eastAsia="仿宋_GB2312" w:cs="仿宋_GB2312"/>
              <w:bCs w:val="0"/>
              <w:color w:val="auto"/>
              <w:sz w:val="28"/>
              <w:szCs w:val="44"/>
              <w:highlight w:val="none"/>
              <w:lang w:val="en-US" w:eastAsia="zh-CN"/>
            </w:rPr>
            <w:t>一、强化组织协调，凝聚工作合力</w:t>
          </w:r>
          <w:r>
            <w:rPr>
              <w:rFonts w:hint="eastAsia" w:ascii="仿宋_GB2312" w:hAnsi="仿宋_GB2312" w:eastAsia="仿宋_GB2312" w:cs="仿宋_GB2312"/>
              <w:color w:val="auto"/>
              <w:sz w:val="28"/>
              <w:szCs w:val="36"/>
              <w:highlight w:val="none"/>
            </w:rPr>
            <w:tab/>
          </w:r>
          <w:r>
            <w:rPr>
              <w:rFonts w:hint="eastAsia" w:ascii="仿宋_GB2312" w:hAnsi="仿宋_GB2312" w:eastAsia="仿宋_GB2312" w:cs="仿宋_GB2312"/>
              <w:color w:val="auto"/>
              <w:sz w:val="28"/>
              <w:szCs w:val="36"/>
              <w:highlight w:val="none"/>
            </w:rPr>
            <w:fldChar w:fldCharType="begin"/>
          </w:r>
          <w:r>
            <w:rPr>
              <w:rFonts w:hint="eastAsia" w:ascii="仿宋_GB2312" w:hAnsi="仿宋_GB2312" w:eastAsia="仿宋_GB2312" w:cs="仿宋_GB2312"/>
              <w:color w:val="auto"/>
              <w:sz w:val="28"/>
              <w:szCs w:val="36"/>
              <w:highlight w:val="none"/>
            </w:rPr>
            <w:instrText xml:space="preserve"> PAGEREF _Toc725455594 \h </w:instrText>
          </w:r>
          <w:r>
            <w:rPr>
              <w:rFonts w:hint="eastAsia" w:ascii="仿宋_GB2312" w:hAnsi="仿宋_GB2312" w:eastAsia="仿宋_GB2312" w:cs="仿宋_GB2312"/>
              <w:color w:val="auto"/>
              <w:sz w:val="28"/>
              <w:szCs w:val="36"/>
              <w:highlight w:val="none"/>
            </w:rPr>
            <w:fldChar w:fldCharType="separate"/>
          </w:r>
          <w:r>
            <w:rPr>
              <w:rFonts w:hint="eastAsia" w:ascii="仿宋_GB2312" w:hAnsi="仿宋_GB2312" w:eastAsia="仿宋_GB2312" w:cs="仿宋_GB2312"/>
              <w:color w:val="auto"/>
              <w:sz w:val="28"/>
              <w:szCs w:val="36"/>
              <w:highlight w:val="none"/>
            </w:rPr>
            <w:t>32</w:t>
          </w:r>
          <w:r>
            <w:rPr>
              <w:rFonts w:hint="eastAsia" w:ascii="仿宋_GB2312" w:hAnsi="仿宋_GB2312" w:eastAsia="仿宋_GB2312" w:cs="仿宋_GB2312"/>
              <w:color w:val="auto"/>
              <w:sz w:val="28"/>
              <w:szCs w:val="36"/>
              <w:highlight w:val="none"/>
            </w:rPr>
            <w:fldChar w:fldCharType="end"/>
          </w:r>
          <w:r>
            <w:rPr>
              <w:rFonts w:hint="eastAsia" w:ascii="仿宋_GB2312" w:hAnsi="仿宋_GB2312" w:eastAsia="仿宋_GB2312" w:cs="仿宋_GB2312"/>
              <w:color w:val="auto"/>
              <w:sz w:val="28"/>
              <w:szCs w:val="40"/>
              <w:highlight w:val="none"/>
            </w:rPr>
            <w:fldChar w:fldCharType="end"/>
          </w:r>
        </w:p>
        <w:p w14:paraId="5E546DD9">
          <w:pPr>
            <w:pStyle w:val="10"/>
            <w:keepNext w:val="0"/>
            <w:keepLines w:val="0"/>
            <w:pageBreakBefore w:val="0"/>
            <w:widowControl w:val="0"/>
            <w:tabs>
              <w:tab w:val="right" w:leader="dot" w:pos="8448"/>
            </w:tabs>
            <w:kinsoku/>
            <w:wordWrap/>
            <w:overflowPunct/>
            <w:topLinePunct w:val="0"/>
            <w:autoSpaceDE/>
            <w:autoSpaceDN/>
            <w:bidi w:val="0"/>
            <w:spacing w:line="460" w:lineRule="exact"/>
            <w:textAlignment w:val="auto"/>
            <w:rPr>
              <w:rFonts w:hint="eastAsia" w:ascii="仿宋_GB2312" w:hAnsi="仿宋_GB2312" w:eastAsia="仿宋_GB2312" w:cs="仿宋_GB2312"/>
              <w:color w:val="auto"/>
              <w:sz w:val="28"/>
              <w:szCs w:val="36"/>
              <w:highlight w:val="none"/>
            </w:rPr>
          </w:pPr>
          <w:r>
            <w:rPr>
              <w:rFonts w:hint="eastAsia" w:ascii="仿宋_GB2312" w:hAnsi="仿宋_GB2312" w:eastAsia="仿宋_GB2312" w:cs="仿宋_GB2312"/>
              <w:color w:val="auto"/>
              <w:sz w:val="28"/>
              <w:szCs w:val="40"/>
              <w:highlight w:val="none"/>
            </w:rPr>
            <w:fldChar w:fldCharType="begin"/>
          </w:r>
          <w:r>
            <w:rPr>
              <w:rFonts w:hint="eastAsia" w:ascii="仿宋_GB2312" w:hAnsi="仿宋_GB2312" w:eastAsia="仿宋_GB2312" w:cs="仿宋_GB2312"/>
              <w:color w:val="auto"/>
              <w:sz w:val="28"/>
              <w:szCs w:val="40"/>
              <w:highlight w:val="none"/>
            </w:rPr>
            <w:instrText xml:space="preserve"> HYPERLINK \l _Toc734146573 </w:instrText>
          </w:r>
          <w:r>
            <w:rPr>
              <w:rFonts w:hint="eastAsia" w:ascii="仿宋_GB2312" w:hAnsi="仿宋_GB2312" w:eastAsia="仿宋_GB2312" w:cs="仿宋_GB2312"/>
              <w:color w:val="auto"/>
              <w:sz w:val="28"/>
              <w:szCs w:val="40"/>
              <w:highlight w:val="none"/>
            </w:rPr>
            <w:fldChar w:fldCharType="separate"/>
          </w:r>
          <w:r>
            <w:rPr>
              <w:rFonts w:hint="eastAsia" w:ascii="仿宋_GB2312" w:hAnsi="仿宋_GB2312" w:eastAsia="仿宋_GB2312" w:cs="仿宋_GB2312"/>
              <w:bCs w:val="0"/>
              <w:color w:val="auto"/>
              <w:sz w:val="28"/>
              <w:szCs w:val="44"/>
              <w:highlight w:val="none"/>
              <w:lang w:val="en-US" w:eastAsia="zh-CN"/>
            </w:rPr>
            <w:t>二、夯实要素保障，筑牢发展根基</w:t>
          </w:r>
          <w:r>
            <w:rPr>
              <w:rFonts w:hint="eastAsia" w:ascii="仿宋_GB2312" w:hAnsi="仿宋_GB2312" w:eastAsia="仿宋_GB2312" w:cs="仿宋_GB2312"/>
              <w:color w:val="auto"/>
              <w:sz w:val="28"/>
              <w:szCs w:val="36"/>
              <w:highlight w:val="none"/>
            </w:rPr>
            <w:tab/>
          </w:r>
          <w:r>
            <w:rPr>
              <w:rFonts w:hint="eastAsia" w:ascii="仿宋_GB2312" w:hAnsi="仿宋_GB2312" w:eastAsia="仿宋_GB2312" w:cs="仿宋_GB2312"/>
              <w:color w:val="auto"/>
              <w:sz w:val="28"/>
              <w:szCs w:val="36"/>
              <w:highlight w:val="none"/>
            </w:rPr>
            <w:fldChar w:fldCharType="begin"/>
          </w:r>
          <w:r>
            <w:rPr>
              <w:rFonts w:hint="eastAsia" w:ascii="仿宋_GB2312" w:hAnsi="仿宋_GB2312" w:eastAsia="仿宋_GB2312" w:cs="仿宋_GB2312"/>
              <w:color w:val="auto"/>
              <w:sz w:val="28"/>
              <w:szCs w:val="36"/>
              <w:highlight w:val="none"/>
            </w:rPr>
            <w:instrText xml:space="preserve"> PAGEREF _Toc734146573 \h </w:instrText>
          </w:r>
          <w:r>
            <w:rPr>
              <w:rFonts w:hint="eastAsia" w:ascii="仿宋_GB2312" w:hAnsi="仿宋_GB2312" w:eastAsia="仿宋_GB2312" w:cs="仿宋_GB2312"/>
              <w:color w:val="auto"/>
              <w:sz w:val="28"/>
              <w:szCs w:val="36"/>
              <w:highlight w:val="none"/>
            </w:rPr>
            <w:fldChar w:fldCharType="separate"/>
          </w:r>
          <w:r>
            <w:rPr>
              <w:rFonts w:hint="eastAsia" w:ascii="仿宋_GB2312" w:hAnsi="仿宋_GB2312" w:eastAsia="仿宋_GB2312" w:cs="仿宋_GB2312"/>
              <w:color w:val="auto"/>
              <w:sz w:val="28"/>
              <w:szCs w:val="36"/>
              <w:highlight w:val="none"/>
            </w:rPr>
            <w:t>32</w:t>
          </w:r>
          <w:r>
            <w:rPr>
              <w:rFonts w:hint="eastAsia" w:ascii="仿宋_GB2312" w:hAnsi="仿宋_GB2312" w:eastAsia="仿宋_GB2312" w:cs="仿宋_GB2312"/>
              <w:color w:val="auto"/>
              <w:sz w:val="28"/>
              <w:szCs w:val="36"/>
              <w:highlight w:val="none"/>
            </w:rPr>
            <w:fldChar w:fldCharType="end"/>
          </w:r>
          <w:r>
            <w:rPr>
              <w:rFonts w:hint="eastAsia" w:ascii="仿宋_GB2312" w:hAnsi="仿宋_GB2312" w:eastAsia="仿宋_GB2312" w:cs="仿宋_GB2312"/>
              <w:color w:val="auto"/>
              <w:sz w:val="28"/>
              <w:szCs w:val="40"/>
              <w:highlight w:val="none"/>
            </w:rPr>
            <w:fldChar w:fldCharType="end"/>
          </w:r>
        </w:p>
        <w:p w14:paraId="73751EFC">
          <w:pPr>
            <w:pStyle w:val="10"/>
            <w:keepNext w:val="0"/>
            <w:keepLines w:val="0"/>
            <w:pageBreakBefore w:val="0"/>
            <w:widowControl w:val="0"/>
            <w:tabs>
              <w:tab w:val="right" w:leader="dot" w:pos="8448"/>
            </w:tabs>
            <w:kinsoku/>
            <w:wordWrap/>
            <w:overflowPunct/>
            <w:topLinePunct w:val="0"/>
            <w:autoSpaceDE/>
            <w:autoSpaceDN/>
            <w:bidi w:val="0"/>
            <w:spacing w:line="460" w:lineRule="exact"/>
            <w:textAlignment w:val="auto"/>
            <w:rPr>
              <w:rFonts w:hint="eastAsia" w:ascii="仿宋_GB2312" w:hAnsi="仿宋_GB2312" w:eastAsia="仿宋_GB2312" w:cs="仿宋_GB2312"/>
              <w:color w:val="auto"/>
              <w:sz w:val="28"/>
              <w:szCs w:val="36"/>
              <w:highlight w:val="none"/>
            </w:rPr>
          </w:pPr>
          <w:r>
            <w:rPr>
              <w:rFonts w:hint="eastAsia" w:ascii="仿宋_GB2312" w:hAnsi="仿宋_GB2312" w:eastAsia="仿宋_GB2312" w:cs="仿宋_GB2312"/>
              <w:color w:val="auto"/>
              <w:sz w:val="28"/>
              <w:szCs w:val="40"/>
              <w:highlight w:val="none"/>
            </w:rPr>
            <w:fldChar w:fldCharType="begin"/>
          </w:r>
          <w:r>
            <w:rPr>
              <w:rFonts w:hint="eastAsia" w:ascii="仿宋_GB2312" w:hAnsi="仿宋_GB2312" w:eastAsia="仿宋_GB2312" w:cs="仿宋_GB2312"/>
              <w:color w:val="auto"/>
              <w:sz w:val="28"/>
              <w:szCs w:val="40"/>
              <w:highlight w:val="none"/>
            </w:rPr>
            <w:instrText xml:space="preserve"> HYPERLINK \l _Toc1327728408 </w:instrText>
          </w:r>
          <w:r>
            <w:rPr>
              <w:rFonts w:hint="eastAsia" w:ascii="仿宋_GB2312" w:hAnsi="仿宋_GB2312" w:eastAsia="仿宋_GB2312" w:cs="仿宋_GB2312"/>
              <w:color w:val="auto"/>
              <w:sz w:val="28"/>
              <w:szCs w:val="40"/>
              <w:highlight w:val="none"/>
            </w:rPr>
            <w:fldChar w:fldCharType="separate"/>
          </w:r>
          <w:r>
            <w:rPr>
              <w:rFonts w:hint="eastAsia" w:ascii="仿宋_GB2312" w:hAnsi="仿宋_GB2312" w:eastAsia="仿宋_GB2312" w:cs="仿宋_GB2312"/>
              <w:bCs w:val="0"/>
              <w:color w:val="auto"/>
              <w:sz w:val="28"/>
              <w:szCs w:val="44"/>
              <w:highlight w:val="none"/>
              <w:lang w:val="en-US" w:eastAsia="zh-CN"/>
            </w:rPr>
            <w:t>三、注重舆论引导，营造良好氛围</w:t>
          </w:r>
          <w:r>
            <w:rPr>
              <w:rFonts w:hint="eastAsia" w:ascii="仿宋_GB2312" w:hAnsi="仿宋_GB2312" w:eastAsia="仿宋_GB2312" w:cs="仿宋_GB2312"/>
              <w:color w:val="auto"/>
              <w:sz w:val="28"/>
              <w:szCs w:val="36"/>
              <w:highlight w:val="none"/>
            </w:rPr>
            <w:tab/>
          </w:r>
          <w:r>
            <w:rPr>
              <w:rFonts w:hint="eastAsia" w:ascii="仿宋_GB2312" w:hAnsi="仿宋_GB2312" w:eastAsia="仿宋_GB2312" w:cs="仿宋_GB2312"/>
              <w:color w:val="auto"/>
              <w:sz w:val="28"/>
              <w:szCs w:val="36"/>
              <w:highlight w:val="none"/>
            </w:rPr>
            <w:fldChar w:fldCharType="begin"/>
          </w:r>
          <w:r>
            <w:rPr>
              <w:rFonts w:hint="eastAsia" w:ascii="仿宋_GB2312" w:hAnsi="仿宋_GB2312" w:eastAsia="仿宋_GB2312" w:cs="仿宋_GB2312"/>
              <w:color w:val="auto"/>
              <w:sz w:val="28"/>
              <w:szCs w:val="36"/>
              <w:highlight w:val="none"/>
            </w:rPr>
            <w:instrText xml:space="preserve"> PAGEREF _Toc1327728408 \h </w:instrText>
          </w:r>
          <w:r>
            <w:rPr>
              <w:rFonts w:hint="eastAsia" w:ascii="仿宋_GB2312" w:hAnsi="仿宋_GB2312" w:eastAsia="仿宋_GB2312" w:cs="仿宋_GB2312"/>
              <w:color w:val="auto"/>
              <w:sz w:val="28"/>
              <w:szCs w:val="36"/>
              <w:highlight w:val="none"/>
            </w:rPr>
            <w:fldChar w:fldCharType="separate"/>
          </w:r>
          <w:r>
            <w:rPr>
              <w:rFonts w:hint="eastAsia" w:ascii="仿宋_GB2312" w:hAnsi="仿宋_GB2312" w:eastAsia="仿宋_GB2312" w:cs="仿宋_GB2312"/>
              <w:color w:val="auto"/>
              <w:sz w:val="28"/>
              <w:szCs w:val="36"/>
              <w:highlight w:val="none"/>
            </w:rPr>
            <w:t>32</w:t>
          </w:r>
          <w:r>
            <w:rPr>
              <w:rFonts w:hint="eastAsia" w:ascii="仿宋_GB2312" w:hAnsi="仿宋_GB2312" w:eastAsia="仿宋_GB2312" w:cs="仿宋_GB2312"/>
              <w:color w:val="auto"/>
              <w:sz w:val="28"/>
              <w:szCs w:val="36"/>
              <w:highlight w:val="none"/>
            </w:rPr>
            <w:fldChar w:fldCharType="end"/>
          </w:r>
          <w:r>
            <w:rPr>
              <w:rFonts w:hint="eastAsia" w:ascii="仿宋_GB2312" w:hAnsi="仿宋_GB2312" w:eastAsia="仿宋_GB2312" w:cs="仿宋_GB2312"/>
              <w:color w:val="auto"/>
              <w:sz w:val="28"/>
              <w:szCs w:val="40"/>
              <w:highlight w:val="none"/>
            </w:rPr>
            <w:fldChar w:fldCharType="end"/>
          </w:r>
        </w:p>
        <w:p w14:paraId="77364EF3">
          <w:pPr>
            <w:pStyle w:val="10"/>
            <w:keepNext w:val="0"/>
            <w:keepLines w:val="0"/>
            <w:pageBreakBefore w:val="0"/>
            <w:widowControl w:val="0"/>
            <w:tabs>
              <w:tab w:val="right" w:leader="dot" w:pos="8448"/>
            </w:tabs>
            <w:kinsoku/>
            <w:wordWrap/>
            <w:overflowPunct/>
            <w:topLinePunct w:val="0"/>
            <w:autoSpaceDE/>
            <w:autoSpaceDN/>
            <w:bidi w:val="0"/>
            <w:spacing w:line="460" w:lineRule="exact"/>
            <w:textAlignment w:val="auto"/>
            <w:rPr>
              <w:rFonts w:hint="eastAsia" w:ascii="仿宋_GB2312" w:hAnsi="仿宋_GB2312" w:eastAsia="仿宋_GB2312" w:cs="仿宋_GB2312"/>
              <w:color w:val="auto"/>
              <w:sz w:val="28"/>
              <w:szCs w:val="36"/>
              <w:highlight w:val="none"/>
            </w:rPr>
          </w:pPr>
          <w:r>
            <w:rPr>
              <w:rFonts w:hint="eastAsia" w:ascii="仿宋_GB2312" w:hAnsi="仿宋_GB2312" w:eastAsia="仿宋_GB2312" w:cs="仿宋_GB2312"/>
              <w:color w:val="auto"/>
              <w:sz w:val="28"/>
              <w:szCs w:val="40"/>
              <w:highlight w:val="none"/>
            </w:rPr>
            <w:fldChar w:fldCharType="begin"/>
          </w:r>
          <w:r>
            <w:rPr>
              <w:rFonts w:hint="eastAsia" w:ascii="仿宋_GB2312" w:hAnsi="仿宋_GB2312" w:eastAsia="仿宋_GB2312" w:cs="仿宋_GB2312"/>
              <w:color w:val="auto"/>
              <w:sz w:val="28"/>
              <w:szCs w:val="40"/>
              <w:highlight w:val="none"/>
            </w:rPr>
            <w:instrText xml:space="preserve"> HYPERLINK \l _Toc2054431476 </w:instrText>
          </w:r>
          <w:r>
            <w:rPr>
              <w:rFonts w:hint="eastAsia" w:ascii="仿宋_GB2312" w:hAnsi="仿宋_GB2312" w:eastAsia="仿宋_GB2312" w:cs="仿宋_GB2312"/>
              <w:color w:val="auto"/>
              <w:sz w:val="28"/>
              <w:szCs w:val="40"/>
              <w:highlight w:val="none"/>
            </w:rPr>
            <w:fldChar w:fldCharType="separate"/>
          </w:r>
          <w:r>
            <w:rPr>
              <w:rFonts w:hint="eastAsia" w:ascii="仿宋_GB2312" w:hAnsi="仿宋_GB2312" w:eastAsia="仿宋_GB2312" w:cs="仿宋_GB2312"/>
              <w:bCs w:val="0"/>
              <w:color w:val="auto"/>
              <w:sz w:val="28"/>
              <w:szCs w:val="44"/>
              <w:highlight w:val="none"/>
              <w:lang w:val="en-US" w:eastAsia="zh-CN"/>
            </w:rPr>
            <w:t>四、完善监督评估，确保规划落地</w:t>
          </w:r>
          <w:r>
            <w:rPr>
              <w:rFonts w:hint="eastAsia" w:ascii="仿宋_GB2312" w:hAnsi="仿宋_GB2312" w:eastAsia="仿宋_GB2312" w:cs="仿宋_GB2312"/>
              <w:color w:val="auto"/>
              <w:sz w:val="28"/>
              <w:szCs w:val="36"/>
              <w:highlight w:val="none"/>
            </w:rPr>
            <w:tab/>
          </w:r>
          <w:r>
            <w:rPr>
              <w:rFonts w:hint="eastAsia" w:ascii="仿宋_GB2312" w:hAnsi="仿宋_GB2312" w:eastAsia="仿宋_GB2312" w:cs="仿宋_GB2312"/>
              <w:color w:val="auto"/>
              <w:sz w:val="28"/>
              <w:szCs w:val="36"/>
              <w:highlight w:val="none"/>
            </w:rPr>
            <w:fldChar w:fldCharType="begin"/>
          </w:r>
          <w:r>
            <w:rPr>
              <w:rFonts w:hint="eastAsia" w:ascii="仿宋_GB2312" w:hAnsi="仿宋_GB2312" w:eastAsia="仿宋_GB2312" w:cs="仿宋_GB2312"/>
              <w:color w:val="auto"/>
              <w:sz w:val="28"/>
              <w:szCs w:val="36"/>
              <w:highlight w:val="none"/>
            </w:rPr>
            <w:instrText xml:space="preserve"> PAGEREF _Toc2054431476 \h </w:instrText>
          </w:r>
          <w:r>
            <w:rPr>
              <w:rFonts w:hint="eastAsia" w:ascii="仿宋_GB2312" w:hAnsi="仿宋_GB2312" w:eastAsia="仿宋_GB2312" w:cs="仿宋_GB2312"/>
              <w:color w:val="auto"/>
              <w:sz w:val="28"/>
              <w:szCs w:val="36"/>
              <w:highlight w:val="none"/>
            </w:rPr>
            <w:fldChar w:fldCharType="separate"/>
          </w:r>
          <w:r>
            <w:rPr>
              <w:rFonts w:hint="eastAsia" w:ascii="仿宋_GB2312" w:hAnsi="仿宋_GB2312" w:eastAsia="仿宋_GB2312" w:cs="仿宋_GB2312"/>
              <w:color w:val="auto"/>
              <w:sz w:val="28"/>
              <w:szCs w:val="36"/>
              <w:highlight w:val="none"/>
            </w:rPr>
            <w:t>33</w:t>
          </w:r>
          <w:r>
            <w:rPr>
              <w:rFonts w:hint="eastAsia" w:ascii="仿宋_GB2312" w:hAnsi="仿宋_GB2312" w:eastAsia="仿宋_GB2312" w:cs="仿宋_GB2312"/>
              <w:color w:val="auto"/>
              <w:sz w:val="28"/>
              <w:szCs w:val="36"/>
              <w:highlight w:val="none"/>
            </w:rPr>
            <w:fldChar w:fldCharType="end"/>
          </w:r>
          <w:r>
            <w:rPr>
              <w:rFonts w:hint="eastAsia" w:ascii="仿宋_GB2312" w:hAnsi="仿宋_GB2312" w:eastAsia="仿宋_GB2312" w:cs="仿宋_GB2312"/>
              <w:color w:val="auto"/>
              <w:sz w:val="28"/>
              <w:szCs w:val="40"/>
              <w:highlight w:val="none"/>
            </w:rPr>
            <w:fldChar w:fldCharType="end"/>
          </w:r>
        </w:p>
        <w:p w14:paraId="12936A1A">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default"/>
              <w:color w:val="auto"/>
              <w:highlight w:val="none"/>
              <w:lang w:val="en-US" w:eastAsia="zh-CN"/>
            </w:rPr>
          </w:pPr>
          <w:r>
            <w:rPr>
              <w:rFonts w:hint="eastAsia" w:ascii="楷体_GB2312" w:hAnsi="楷体_GB2312" w:eastAsia="楷体_GB2312" w:cs="楷体_GB2312"/>
              <w:color w:val="auto"/>
              <w:sz w:val="28"/>
              <w:szCs w:val="40"/>
              <w:highlight w:val="none"/>
            </w:rPr>
            <w:fldChar w:fldCharType="end"/>
          </w:r>
        </w:p>
      </w:sdtContent>
    </w:sdt>
    <w:p w14:paraId="2696F4EB">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outlineLvl w:val="0"/>
        <w:rPr>
          <w:rFonts w:hint="eastAsia" w:ascii="方正小标宋简体" w:hAnsi="方正小标宋简体" w:eastAsia="方正小标宋简体" w:cs="方正小标宋简体"/>
          <w:b w:val="0"/>
          <w:bCs w:val="0"/>
          <w:color w:val="auto"/>
          <w:sz w:val="44"/>
          <w:szCs w:val="44"/>
          <w:highlight w:val="none"/>
          <w:lang w:val="en-US" w:eastAsia="zh-CN"/>
        </w:rPr>
      </w:pPr>
      <w:bookmarkStart w:id="36" w:name="_GoBack"/>
      <w:bookmarkStart w:id="0" w:name="_Toc2087048107"/>
      <w:r>
        <w:rPr>
          <w:rFonts w:hint="eastAsia" w:ascii="方正小标宋简体" w:hAnsi="方正小标宋简体" w:eastAsia="方正小标宋简体" w:cs="方正小标宋简体"/>
          <w:b w:val="0"/>
          <w:bCs w:val="0"/>
          <w:color w:val="auto"/>
          <w:sz w:val="44"/>
          <w:szCs w:val="44"/>
          <w:highlight w:val="none"/>
          <w:lang w:val="en-US" w:eastAsia="zh-CN"/>
        </w:rPr>
        <w:t>第一部分 过去五年建设成就</w:t>
      </w:r>
      <w:bookmarkEnd w:id="0"/>
    </w:p>
    <w:bookmarkEnd w:id="36"/>
    <w:p w14:paraId="69158693">
      <w:pPr>
        <w:pStyle w:val="2"/>
        <w:rPr>
          <w:rFonts w:hint="eastAsia"/>
          <w:color w:val="auto"/>
          <w:highlight w:val="none"/>
          <w:lang w:val="en-US" w:eastAsia="zh-CN"/>
        </w:rPr>
      </w:pPr>
    </w:p>
    <w:p w14:paraId="76AE5E0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“十</w:t>
      </w:r>
      <w:r>
        <w:rPr>
          <w:rFonts w:hint="eastAsia" w:ascii="仿宋_GB2312" w:hAnsi="仿宋_GB2312" w:eastAsia="仿宋_GB2312" w:cs="仿宋_GB2312"/>
          <w:color w:val="auto"/>
          <w:sz w:val="32"/>
          <w:szCs w:val="32"/>
          <w:highlight w:val="none"/>
          <w:lang w:val="en-US" w:eastAsia="zh-CN"/>
        </w:rPr>
        <w:t>四</w:t>
      </w:r>
      <w:r>
        <w:rPr>
          <w:rFonts w:hint="default" w:ascii="仿宋_GB2312" w:hAnsi="仿宋_GB2312" w:eastAsia="仿宋_GB2312" w:cs="仿宋_GB2312"/>
          <w:color w:val="auto"/>
          <w:sz w:val="32"/>
          <w:szCs w:val="32"/>
          <w:highlight w:val="none"/>
          <w:lang w:val="en-US" w:eastAsia="zh-CN"/>
        </w:rPr>
        <w:t>五”期间，石景山区坚持以习近平新时代中国特色社会主义思想为指导，深入贯彻党的二十大和二十届</w:t>
      </w:r>
      <w:r>
        <w:rPr>
          <w:rFonts w:hint="eastAsia" w:ascii="仿宋_GB2312" w:hAnsi="仿宋_GB2312" w:eastAsia="仿宋_GB2312" w:cs="仿宋_GB2312"/>
          <w:color w:val="auto"/>
          <w:sz w:val="32"/>
          <w:szCs w:val="32"/>
          <w:highlight w:val="none"/>
          <w:lang w:val="en-US" w:eastAsia="zh-CN"/>
        </w:rPr>
        <w:t>历次</w:t>
      </w:r>
      <w:r>
        <w:rPr>
          <w:rFonts w:hint="default" w:ascii="仿宋_GB2312" w:hAnsi="仿宋_GB2312" w:eastAsia="仿宋_GB2312" w:cs="仿宋_GB2312"/>
          <w:color w:val="auto"/>
          <w:sz w:val="32"/>
          <w:szCs w:val="32"/>
          <w:highlight w:val="none"/>
          <w:lang w:val="en-US" w:eastAsia="zh-CN"/>
        </w:rPr>
        <w:t>全会精神，全面贯彻习近平总书记对北京系列重要讲话精神，坚持以新时代首都发展为统领，坚持和加强党对社会工作的全面领导，</w:t>
      </w:r>
      <w:r>
        <w:rPr>
          <w:rFonts w:hint="eastAsia" w:ascii="仿宋_GB2312" w:hAnsi="仿宋_GB2312" w:eastAsia="仿宋_GB2312" w:cs="仿宋_GB2312"/>
          <w:color w:val="auto"/>
          <w:sz w:val="32"/>
          <w:szCs w:val="32"/>
          <w:highlight w:val="none"/>
          <w:lang w:val="en-US" w:eastAsia="zh-CN"/>
        </w:rPr>
        <w:t>高质量完成新冠疫情防控工作，高标准做好北京冬奥会冬残奥会、庆祝中国共产党成立100周年等重大活动服务保障，</w:t>
      </w:r>
      <w:r>
        <w:rPr>
          <w:rFonts w:hint="default" w:ascii="仿宋_GB2312" w:hAnsi="仿宋_GB2312" w:eastAsia="仿宋_GB2312" w:cs="仿宋_GB2312"/>
          <w:color w:val="auto"/>
          <w:sz w:val="32"/>
          <w:szCs w:val="32"/>
          <w:highlight w:val="none"/>
          <w:lang w:val="en-US" w:eastAsia="zh-CN"/>
        </w:rPr>
        <w:t>积极回应人民群众对美好生活的期待，立足“三区”定位，坚持党建引领</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深化改革创新</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努力探索符合首都超大城市中心城区特点规律的社会</w:t>
      </w:r>
      <w:r>
        <w:rPr>
          <w:rFonts w:hint="eastAsia" w:ascii="仿宋_GB2312" w:hAnsi="仿宋_GB2312" w:eastAsia="仿宋_GB2312" w:cs="仿宋_GB2312"/>
          <w:color w:val="auto"/>
          <w:sz w:val="32"/>
          <w:szCs w:val="32"/>
          <w:highlight w:val="none"/>
          <w:lang w:val="en-US" w:eastAsia="zh-CN"/>
        </w:rPr>
        <w:t>建设</w:t>
      </w:r>
      <w:r>
        <w:rPr>
          <w:rFonts w:hint="default" w:ascii="仿宋_GB2312" w:hAnsi="仿宋_GB2312" w:eastAsia="仿宋_GB2312" w:cs="仿宋_GB2312"/>
          <w:color w:val="auto"/>
          <w:sz w:val="32"/>
          <w:szCs w:val="32"/>
          <w:highlight w:val="none"/>
          <w:lang w:val="en-US" w:eastAsia="zh-CN"/>
        </w:rPr>
        <w:t>新</w:t>
      </w:r>
      <w:r>
        <w:rPr>
          <w:rFonts w:hint="eastAsia" w:ascii="仿宋_GB2312" w:hAnsi="仿宋_GB2312" w:eastAsia="仿宋_GB2312" w:cs="仿宋_GB2312"/>
          <w:color w:val="auto"/>
          <w:sz w:val="32"/>
          <w:szCs w:val="32"/>
          <w:highlight w:val="none"/>
          <w:lang w:val="en-US" w:eastAsia="zh-CN"/>
        </w:rPr>
        <w:t>路径，</w:t>
      </w:r>
      <w:r>
        <w:rPr>
          <w:rFonts w:hint="default" w:ascii="仿宋_GB2312" w:hAnsi="仿宋_GB2312" w:eastAsia="仿宋_GB2312" w:cs="仿宋_GB2312"/>
          <w:color w:val="auto"/>
          <w:sz w:val="32"/>
          <w:szCs w:val="32"/>
          <w:highlight w:val="none"/>
          <w:lang w:val="en-US" w:eastAsia="zh-CN"/>
        </w:rPr>
        <w:t>全力打造新时代首都城市复兴新地标，高水平建设好首都城市西大门</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各项事业都取得了新进展新成效，为“十五五”时期发展奠定了坚实基础。</w:t>
      </w:r>
    </w:p>
    <w:p w14:paraId="7E44526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1"/>
        <w:rPr>
          <w:rFonts w:hint="eastAsia" w:ascii="黑体" w:hAnsi="黑体" w:eastAsia="黑体" w:cs="黑体"/>
          <w:b w:val="0"/>
          <w:bCs w:val="0"/>
          <w:color w:val="auto"/>
          <w:sz w:val="32"/>
          <w:szCs w:val="32"/>
          <w:highlight w:val="none"/>
          <w:lang w:eastAsia="zh-CN"/>
        </w:rPr>
      </w:pPr>
      <w:bookmarkStart w:id="1" w:name="_Toc1767351730"/>
      <w:r>
        <w:rPr>
          <w:rFonts w:hint="eastAsia" w:ascii="黑体" w:hAnsi="黑体" w:eastAsia="黑体" w:cs="黑体"/>
          <w:b w:val="0"/>
          <w:bCs w:val="0"/>
          <w:color w:val="auto"/>
          <w:sz w:val="32"/>
          <w:szCs w:val="32"/>
          <w:highlight w:val="none"/>
          <w:lang w:val="en-US" w:eastAsia="zh-CN"/>
        </w:rPr>
        <w:t>一、</w:t>
      </w:r>
      <w:r>
        <w:rPr>
          <w:rFonts w:hint="eastAsia" w:ascii="黑体" w:hAnsi="黑体" w:eastAsia="黑体" w:cs="黑体"/>
          <w:b w:val="0"/>
          <w:bCs w:val="0"/>
          <w:color w:val="auto"/>
          <w:sz w:val="32"/>
          <w:szCs w:val="32"/>
          <w:highlight w:val="none"/>
        </w:rPr>
        <w:t>党建引领强基固本，社会</w:t>
      </w:r>
      <w:r>
        <w:rPr>
          <w:rFonts w:hint="eastAsia" w:ascii="黑体" w:hAnsi="黑体" w:eastAsia="黑体" w:cs="黑体"/>
          <w:b w:val="0"/>
          <w:bCs w:val="0"/>
          <w:color w:val="auto"/>
          <w:sz w:val="32"/>
          <w:szCs w:val="32"/>
          <w:highlight w:val="none"/>
          <w:lang w:val="en-US" w:eastAsia="zh-CN"/>
        </w:rPr>
        <w:t>工作</w:t>
      </w:r>
      <w:r>
        <w:rPr>
          <w:rFonts w:hint="eastAsia" w:ascii="黑体" w:hAnsi="黑体" w:eastAsia="黑体" w:cs="黑体"/>
          <w:b w:val="0"/>
          <w:bCs w:val="0"/>
          <w:color w:val="auto"/>
          <w:sz w:val="32"/>
          <w:szCs w:val="32"/>
          <w:highlight w:val="none"/>
        </w:rPr>
        <w:t>体系臻于完善</w:t>
      </w:r>
      <w:bookmarkEnd w:id="1"/>
    </w:p>
    <w:p w14:paraId="5303DFA4">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强化制度顶层设计。</w:t>
      </w:r>
      <w:r>
        <w:rPr>
          <w:rFonts w:hint="eastAsia" w:ascii="仿宋_GB2312" w:hAnsi="仿宋_GB2312" w:eastAsia="仿宋_GB2312" w:cs="仿宋_GB2312"/>
          <w:b w:val="0"/>
          <w:bCs w:val="0"/>
          <w:color w:val="auto"/>
          <w:sz w:val="32"/>
          <w:szCs w:val="32"/>
          <w:highlight w:val="none"/>
          <w:lang w:val="en-US" w:eastAsia="zh-CN"/>
        </w:rPr>
        <w:t>严格</w:t>
      </w:r>
      <w:r>
        <w:rPr>
          <w:rFonts w:hint="eastAsia" w:ascii="仿宋_GB2312" w:hAnsi="仿宋_GB2312" w:eastAsia="仿宋_GB2312" w:cs="仿宋_GB2312"/>
          <w:color w:val="auto"/>
          <w:sz w:val="32"/>
          <w:szCs w:val="32"/>
          <w:highlight w:val="none"/>
          <w:lang w:val="en-US" w:eastAsia="zh-CN"/>
        </w:rPr>
        <w:t>落实机构改革工作部署，设立区委社会工作部，组建区委社会工作领导小组，构建党建引领基层治理、社会组织管理等四项协调机制，推行“机制统筹、专班推进、部门落实”工作模式，推动形成区委社会工作部统筹、多部门协同联动的“大社会”工作格局。</w:t>
      </w:r>
      <w:r>
        <w:rPr>
          <w:rFonts w:hint="eastAsia" w:ascii="仿宋_GB2312" w:hAnsi="仿宋_GB2312" w:eastAsia="仿宋_GB2312" w:cs="仿宋_GB2312"/>
          <w:b/>
          <w:bCs/>
          <w:color w:val="auto"/>
          <w:sz w:val="32"/>
          <w:szCs w:val="32"/>
          <w:highlight w:val="none"/>
          <w:lang w:val="en-US" w:eastAsia="zh-CN"/>
        </w:rPr>
        <w:t>深化体制机制创新</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val="en-US" w:eastAsia="zh-CN"/>
        </w:rPr>
        <w:t>在全市率先建立街道工委书记工作例会制度，</w:t>
      </w:r>
      <w:r>
        <w:rPr>
          <w:rFonts w:hint="eastAsia" w:ascii="仿宋_GB2312" w:hAnsi="仿宋_GB2312" w:eastAsia="仿宋_GB2312" w:cs="仿宋_GB2312"/>
          <w:b w:val="0"/>
          <w:bCs w:val="0"/>
          <w:color w:val="auto"/>
          <w:sz w:val="32"/>
          <w:szCs w:val="32"/>
          <w:highlight w:val="none"/>
          <w:lang w:eastAsia="zh-CN"/>
        </w:rPr>
        <w:t>加强重点事项研究，</w:t>
      </w:r>
      <w:r>
        <w:rPr>
          <w:rFonts w:hint="eastAsia" w:ascii="仿宋_GB2312" w:hAnsi="仿宋_GB2312" w:eastAsia="仿宋_GB2312" w:cs="仿宋_GB2312"/>
          <w:b w:val="0"/>
          <w:bCs w:val="0"/>
          <w:color w:val="auto"/>
          <w:sz w:val="32"/>
          <w:szCs w:val="32"/>
          <w:highlight w:val="none"/>
          <w:lang w:val="en-US" w:eastAsia="zh-CN"/>
        </w:rPr>
        <w:t>统筹推进接诉即办、垃圾分类等重点事项；在全市率先出台新建居住小区服务管理工作指引，规范党建引领“吹哨报到”运行机制，破解街道属地责任重、统筹协调资源弱、职能部门协同难等跨领域难题。</w:t>
      </w:r>
      <w:r>
        <w:rPr>
          <w:rFonts w:hint="eastAsia" w:ascii="仿宋_GB2312" w:hAnsi="仿宋_GB2312" w:eastAsia="仿宋_GB2312" w:cs="仿宋_GB2312"/>
          <w:b/>
          <w:bCs/>
          <w:color w:val="auto"/>
          <w:sz w:val="32"/>
          <w:szCs w:val="32"/>
          <w:highlight w:val="none"/>
          <w:lang w:val="en-US" w:eastAsia="zh-CN"/>
        </w:rPr>
        <w:t>夯实基层治理基础。</w:t>
      </w:r>
      <w:r>
        <w:rPr>
          <w:rFonts w:hint="eastAsia" w:ascii="仿宋_GB2312" w:hAnsi="仿宋_GB2312" w:eastAsia="仿宋_GB2312" w:cs="仿宋_GB2312"/>
          <w:color w:val="auto"/>
          <w:sz w:val="32"/>
          <w:szCs w:val="32"/>
          <w:highlight w:val="none"/>
          <w:lang w:val="en-US" w:eastAsia="zh-CN"/>
        </w:rPr>
        <w:t>做实党建工作协调委员会，建立健全“社区第一书记”制度，加强党群服务中心阵地建设，打造特色党建品牌。深化街道“大部制”改革，完善社区事务准入机制，精简会议文件、规范督查考核，切实为基层减负增效。创新开展“品质社区”建设，全面提升社区运行、服务、文化、环境、安全水平，50%社区获评星级“品质社区”，相关经验入选全国城乡社区高质量发展典型案例、中国城乡社区治理报告。</w:t>
      </w:r>
      <w:r>
        <w:rPr>
          <w:rFonts w:hint="eastAsia" w:ascii="仿宋_GB2312" w:hAnsi="仿宋_GB2312" w:eastAsia="仿宋_GB2312" w:cs="仿宋_GB2312"/>
          <w:b/>
          <w:bCs/>
          <w:color w:val="auto"/>
          <w:sz w:val="32"/>
          <w:szCs w:val="32"/>
          <w:highlight w:val="none"/>
          <w:lang w:val="en-US" w:eastAsia="zh-CN"/>
        </w:rPr>
        <w:t>服务保障重大活动。</w:t>
      </w:r>
      <w:r>
        <w:rPr>
          <w:rFonts w:hint="eastAsia" w:ascii="仿宋_GB2312" w:hAnsi="仿宋_GB2312" w:eastAsia="仿宋_GB2312" w:cs="仿宋_GB2312"/>
          <w:color w:val="auto"/>
          <w:sz w:val="32"/>
          <w:szCs w:val="32"/>
          <w:highlight w:val="none"/>
          <w:lang w:val="en-US" w:eastAsia="zh-CN"/>
        </w:rPr>
        <w:t>圆满完成庆祝中国共产党成立100周年、北京冬奥会冬残奥会、新中国成立75周年、纪念中国人民抗日战争暨世界反法西斯战争胜利80周年等重大活动服务保障任务。</w:t>
      </w:r>
    </w:p>
    <w:p w14:paraId="092B801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1"/>
        <w:rPr>
          <w:rFonts w:hint="eastAsia" w:ascii="黑体" w:hAnsi="黑体" w:eastAsia="黑体" w:cs="黑体"/>
          <w:b w:val="0"/>
          <w:bCs w:val="0"/>
          <w:color w:val="auto"/>
          <w:sz w:val="32"/>
          <w:szCs w:val="32"/>
          <w:highlight w:val="none"/>
          <w:lang w:val="en-US" w:eastAsia="zh-CN"/>
        </w:rPr>
      </w:pPr>
      <w:bookmarkStart w:id="2" w:name="_Toc1927623223"/>
      <w:r>
        <w:rPr>
          <w:rFonts w:hint="eastAsia" w:ascii="黑体" w:hAnsi="黑体" w:eastAsia="黑体" w:cs="黑体"/>
          <w:b w:val="0"/>
          <w:bCs w:val="0"/>
          <w:color w:val="auto"/>
          <w:sz w:val="32"/>
          <w:szCs w:val="32"/>
          <w:highlight w:val="none"/>
          <w:lang w:val="en-US" w:eastAsia="zh-CN"/>
        </w:rPr>
        <w:t>二、基层治理改革攻坚，服务群众实效愈加显著</w:t>
      </w:r>
      <w:bookmarkEnd w:id="2"/>
    </w:p>
    <w:p w14:paraId="76AC9A1A">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夯实新兴领域党建根基。</w:t>
      </w:r>
      <w:r>
        <w:rPr>
          <w:rFonts w:hint="eastAsia" w:ascii="仿宋_GB2312" w:hAnsi="仿宋_GB2312" w:eastAsia="仿宋_GB2312" w:cs="仿宋_GB2312"/>
          <w:color w:val="auto"/>
          <w:sz w:val="32"/>
          <w:szCs w:val="32"/>
          <w:highlight w:val="none"/>
          <w:lang w:val="en-US" w:eastAsia="zh-CN"/>
        </w:rPr>
        <w:t>实施“两新”组织党建工作三年行动计划，深化新兴领域“两个覆盖”集中攻坚，推动重点商圈、亿元楼宇及专精特新企业党建提质增效。实施新就业群体“聚蜂行动”，建成全市首个新就业群体友好楼宇，打造“暖蜂驿站”阵地体系，建设“暖蜂公寓”，构建9类137个友好场景矩阵。规范行业协会商会管理，在全市率先完成23家区级行业协会商会与13个行业管理部门的对应关系，成立文学艺术界、网约配送、交通运输、体育等行业党委，扎实推进互联网等行业党建项目落地。</w:t>
      </w:r>
      <w:r>
        <w:rPr>
          <w:rFonts w:hint="eastAsia" w:ascii="仿宋_GB2312" w:hAnsi="仿宋_GB2312" w:eastAsia="仿宋_GB2312" w:cs="仿宋_GB2312"/>
          <w:b/>
          <w:bCs/>
          <w:color w:val="auto"/>
          <w:sz w:val="32"/>
          <w:szCs w:val="32"/>
          <w:highlight w:val="none"/>
          <w:lang w:val="en-US" w:eastAsia="zh-CN"/>
        </w:rPr>
        <w:t>系统推进“智网实格”建设。</w:t>
      </w:r>
      <w:r>
        <w:rPr>
          <w:rFonts w:hint="eastAsia" w:ascii="仿宋_GB2312" w:hAnsi="仿宋_GB2312" w:eastAsia="仿宋_GB2312" w:cs="仿宋_GB2312"/>
          <w:color w:val="auto"/>
          <w:sz w:val="32"/>
          <w:szCs w:val="32"/>
          <w:highlight w:val="none"/>
          <w:lang w:val="en-US" w:eastAsia="zh-CN"/>
        </w:rPr>
        <w:t>科学划分2052个治理网格，健全“区委—街道—社区—网格”四级治理架构，建强专职化网格员队伍。搭建“石网E通”“一码通”数字平台，构建一网统管、多元共治、精准服务体系，完善事件闭环处置机制，推动主动治理、未诉先办，基层治理效能持续提升。</w:t>
      </w:r>
      <w:r>
        <w:rPr>
          <w:rFonts w:hint="eastAsia" w:ascii="仿宋_GB2312" w:hAnsi="仿宋_GB2312" w:eastAsia="仿宋_GB2312" w:cs="仿宋_GB2312"/>
          <w:b/>
          <w:bCs/>
          <w:color w:val="auto"/>
          <w:sz w:val="32"/>
          <w:szCs w:val="32"/>
          <w:highlight w:val="none"/>
          <w:lang w:val="en-US" w:eastAsia="zh-CN"/>
        </w:rPr>
        <w:t>创新楼宇治理机制</w:t>
      </w:r>
      <w:r>
        <w:rPr>
          <w:rFonts w:hint="eastAsia" w:ascii="仿宋_GB2312" w:hAnsi="仿宋_GB2312" w:eastAsia="仿宋_GB2312" w:cs="仿宋_GB2312"/>
          <w:color w:val="auto"/>
          <w:sz w:val="32"/>
          <w:szCs w:val="32"/>
          <w:highlight w:val="none"/>
          <w:lang w:val="en-US" w:eastAsia="zh-CN"/>
        </w:rPr>
        <w:t>。创新“支部建在楼上”，推行楼宇治理“三驾马车”治理模式，选聘260名楼宇社工，</w:t>
      </w:r>
      <w:r>
        <w:rPr>
          <w:rFonts w:hint="default" w:ascii="仿宋_GB2312" w:hAnsi="仿宋_GB2312" w:eastAsia="仿宋_GB2312" w:cs="仿宋_GB2312"/>
          <w:color w:val="auto"/>
          <w:sz w:val="32"/>
          <w:szCs w:val="32"/>
          <w:highlight w:val="none"/>
          <w:lang w:val="en-US" w:eastAsia="zh-CN"/>
        </w:rPr>
        <w:t>每年拨付1300余万元专项资金</w:t>
      </w:r>
      <w:r>
        <w:rPr>
          <w:rFonts w:hint="eastAsia" w:ascii="仿宋_GB2312" w:hAnsi="仿宋_GB2312" w:eastAsia="仿宋_GB2312" w:cs="仿宋_GB2312"/>
          <w:color w:val="auto"/>
          <w:sz w:val="32"/>
          <w:szCs w:val="32"/>
          <w:highlight w:val="none"/>
          <w:lang w:val="en-US" w:eastAsia="zh-CN"/>
        </w:rPr>
        <w:t>，283座商务楼宇实现“三驾马车”全覆盖，楼宇治理水平不断提升，助力楼宇经济高质量发展。“三驾马车”新模式获评中国改革2023年度地方全面深化改革典型案例，入编《中国改革年鉴》和《北京党的建设研究报告（2024）》蓝皮书。</w:t>
      </w:r>
      <w:bookmarkStart w:id="3" w:name="OLE_LINK2"/>
      <w:r>
        <w:rPr>
          <w:rFonts w:hint="eastAsia" w:ascii="仿宋_GB2312" w:hAnsi="仿宋_GB2312" w:eastAsia="仿宋_GB2312" w:cs="仿宋_GB2312"/>
          <w:b/>
          <w:bCs/>
          <w:color w:val="auto"/>
          <w:sz w:val="32"/>
          <w:szCs w:val="32"/>
          <w:highlight w:val="none"/>
          <w:lang w:val="en-US" w:eastAsia="zh-CN"/>
        </w:rPr>
        <w:t>深化“吹哨报到”“接诉即办”改革。</w:t>
      </w:r>
      <w:bookmarkEnd w:id="3"/>
      <w:r>
        <w:rPr>
          <w:rFonts w:hint="eastAsia" w:ascii="仿宋_GB2312" w:hAnsi="仿宋_GB2312" w:eastAsia="仿宋_GB2312" w:cs="仿宋_GB2312"/>
          <w:b w:val="0"/>
          <w:bCs w:val="0"/>
          <w:color w:val="auto"/>
          <w:sz w:val="32"/>
          <w:szCs w:val="32"/>
          <w:highlight w:val="none"/>
          <w:lang w:val="en-US" w:eastAsia="zh-CN"/>
        </w:rPr>
        <w:t>构建三级“热线+网格”联动平台，健全“每月一题”“五大专班”等工作机制，诉求解决率、满意率稳步提升。</w:t>
      </w:r>
      <w:r>
        <w:rPr>
          <w:rFonts w:hint="eastAsia" w:ascii="仿宋_GB2312" w:hAnsi="仿宋_GB2312" w:eastAsia="仿宋_GB2312" w:cs="仿宋_GB2312"/>
          <w:color w:val="auto"/>
          <w:sz w:val="32"/>
          <w:szCs w:val="32"/>
          <w:highlight w:val="none"/>
          <w:lang w:val="en-US" w:eastAsia="zh-CN"/>
        </w:rPr>
        <w:t>抓实物业管理与垃圾分类两件关键小事，实现155个社区大件垃圾上门回收全覆盖，建立物业服务“红黑榜”制度，业委会（物管会）组建率、物业管理覆盖率、党的组织覆盖率均动态实现100%。</w:t>
      </w:r>
    </w:p>
    <w:p w14:paraId="501928A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1"/>
        <w:rPr>
          <w:rFonts w:hint="eastAsia" w:ascii="黑体" w:hAnsi="黑体" w:eastAsia="黑体" w:cs="黑体"/>
          <w:b w:val="0"/>
          <w:bCs w:val="0"/>
          <w:color w:val="auto"/>
          <w:sz w:val="32"/>
          <w:szCs w:val="32"/>
          <w:highlight w:val="none"/>
          <w:lang w:val="en-US" w:eastAsia="zh-CN"/>
        </w:rPr>
      </w:pPr>
      <w:bookmarkStart w:id="4" w:name="_Toc960329639"/>
      <w:r>
        <w:rPr>
          <w:rFonts w:hint="eastAsia" w:ascii="黑体" w:hAnsi="黑体" w:eastAsia="黑体" w:cs="黑体"/>
          <w:b w:val="0"/>
          <w:bCs w:val="0"/>
          <w:color w:val="auto"/>
          <w:sz w:val="32"/>
          <w:szCs w:val="32"/>
          <w:highlight w:val="none"/>
          <w:lang w:val="en-US" w:eastAsia="zh-CN"/>
        </w:rPr>
        <w:t>三、多元协同加速成型，共建共治机制显著提升</w:t>
      </w:r>
      <w:bookmarkEnd w:id="4"/>
    </w:p>
    <w:p w14:paraId="682FAF0C">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深化“老街坊”品牌实践。</w:t>
      </w:r>
      <w:r>
        <w:rPr>
          <w:rFonts w:hint="eastAsia" w:ascii="仿宋_GB2312" w:hAnsi="仿宋_GB2312" w:eastAsia="仿宋_GB2312" w:cs="仿宋_GB2312"/>
          <w:color w:val="auto"/>
          <w:sz w:val="32"/>
          <w:szCs w:val="32"/>
          <w:highlight w:val="none"/>
          <w:lang w:val="en-US" w:eastAsia="zh-CN"/>
        </w:rPr>
        <w:t>拓展“老街坊”品牌内涵，深化街道—社区—网格（楼门院）三级议事链，开展“楼门公约”践行活动，创新“好评榜”“避雷榜”，激发“老街坊”自治新活力。整合政府职能部门、街道社区等力量，培育“青春美景”等志愿服务品牌，完成冬奥、服贸会等重大活动保障任务。</w:t>
      </w:r>
      <w:r>
        <w:rPr>
          <w:rFonts w:hint="eastAsia" w:ascii="仿宋_GB2312" w:hAnsi="仿宋_GB2312" w:eastAsia="仿宋_GB2312" w:cs="仿宋_GB2312"/>
          <w:b/>
          <w:bCs/>
          <w:color w:val="auto"/>
          <w:sz w:val="32"/>
          <w:szCs w:val="32"/>
          <w:highlight w:val="none"/>
          <w:lang w:val="en-US" w:eastAsia="zh-CN"/>
        </w:rPr>
        <w:t>完善社会组织培育体系。</w:t>
      </w:r>
      <w:r>
        <w:rPr>
          <w:rFonts w:hint="eastAsia" w:ascii="仿宋_GB2312" w:hAnsi="仿宋_GB2312" w:eastAsia="仿宋_GB2312" w:cs="仿宋_GB2312"/>
          <w:color w:val="auto"/>
          <w:sz w:val="32"/>
          <w:szCs w:val="32"/>
          <w:highlight w:val="none"/>
          <w:lang w:val="en-US" w:eastAsia="zh-CN"/>
        </w:rPr>
        <w:t>打造“注册咨询、跟踪辅导”一体化服务链，推行“一口审批”绿色通道。理顺社会组织党组织隶属关系，建立“双管理、双审核”机制，指导做好社会组织年检等工作，推动社会组织健康规范发展。</w:t>
      </w:r>
      <w:r>
        <w:rPr>
          <w:rFonts w:hint="eastAsia" w:ascii="仿宋_GB2312" w:hAnsi="仿宋_GB2312" w:eastAsia="仿宋_GB2312" w:cs="仿宋_GB2312"/>
          <w:b/>
          <w:bCs/>
          <w:color w:val="auto"/>
          <w:sz w:val="32"/>
          <w:szCs w:val="32"/>
          <w:highlight w:val="none"/>
          <w:lang w:val="en-US" w:eastAsia="zh-CN"/>
        </w:rPr>
        <w:t>加强社工队伍建设。</w:t>
      </w:r>
      <w:r>
        <w:rPr>
          <w:rFonts w:hint="eastAsia" w:ascii="仿宋_GB2312" w:hAnsi="仿宋_GB2312" w:eastAsia="仿宋_GB2312" w:cs="仿宋_GB2312"/>
          <w:b w:val="0"/>
          <w:bCs w:val="0"/>
          <w:color w:val="auto"/>
          <w:sz w:val="32"/>
          <w:szCs w:val="32"/>
          <w:highlight w:val="none"/>
          <w:lang w:val="en-US" w:eastAsia="zh-CN"/>
        </w:rPr>
        <w:t>创新实施“景燃计划</w:t>
      </w:r>
      <w:r>
        <w:rPr>
          <w:rFonts w:hint="eastAsia" w:ascii="仿宋_GB2312" w:hAnsi="仿宋_GB2312" w:eastAsia="仿宋_GB2312" w:cs="仿宋_GB2312"/>
          <w:color w:val="auto"/>
          <w:sz w:val="32"/>
          <w:szCs w:val="32"/>
          <w:highlight w:val="none"/>
          <w:lang w:val="en-US" w:eastAsia="zh-CN"/>
        </w:rPr>
        <w:t>”，举办社工职业技能大赛、演讲比赛、风采展示会，分层分类组织社区、楼宇带头人、社工骨干培训，编制“全科社工”一本通并导入“石网E通”实现实时检索。顺利完成社区“两委”换届工作，修订社工管理细则，做好面向优秀社区党组织书记和社区工作者招录公务员、定向招聘事业编制人员工作，夯实基层治理人才根基。</w:t>
      </w:r>
    </w:p>
    <w:p w14:paraId="7194531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1"/>
        <w:rPr>
          <w:rFonts w:hint="eastAsia" w:ascii="黑体" w:hAnsi="黑体" w:eastAsia="黑体" w:cs="黑体"/>
          <w:b w:val="0"/>
          <w:bCs w:val="0"/>
          <w:color w:val="auto"/>
          <w:sz w:val="32"/>
          <w:szCs w:val="32"/>
          <w:highlight w:val="none"/>
          <w:lang w:val="en-US" w:eastAsia="zh-CN"/>
        </w:rPr>
      </w:pPr>
      <w:bookmarkStart w:id="5" w:name="_Toc2100582143"/>
      <w:r>
        <w:rPr>
          <w:rFonts w:hint="eastAsia" w:ascii="黑体" w:hAnsi="黑体" w:eastAsia="黑体" w:cs="黑体"/>
          <w:b w:val="0"/>
          <w:bCs w:val="0"/>
          <w:color w:val="auto"/>
          <w:sz w:val="32"/>
          <w:szCs w:val="32"/>
          <w:highlight w:val="none"/>
          <w:lang w:val="en-US" w:eastAsia="zh-CN"/>
        </w:rPr>
        <w:t>四、民生保障提标扩面，公共服务优质均衡发展</w:t>
      </w:r>
      <w:bookmarkEnd w:id="5"/>
    </w:p>
    <w:p w14:paraId="5050D966">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推进教育优质均衡发展。</w:t>
      </w:r>
      <w:r>
        <w:rPr>
          <w:rFonts w:hint="eastAsia" w:ascii="仿宋_GB2312" w:hAnsi="仿宋_GB2312" w:eastAsia="仿宋_GB2312" w:cs="仿宋_GB2312"/>
          <w:b w:val="0"/>
          <w:bCs w:val="0"/>
          <w:color w:val="auto"/>
          <w:sz w:val="32"/>
          <w:szCs w:val="32"/>
          <w:highlight w:val="none"/>
          <w:lang w:val="en-US" w:eastAsia="zh-CN"/>
        </w:rPr>
        <w:t>普惠性幼儿园覆盖率93%，北大附中石景山学校（新址）、十一学校石景山实验中学、黄城根小学石景山分校等优质校建成投用，新增中小学学位1.4万个，入选全国首批中小学科学教育试验区，教育部2025年第一批义务教育优质均衡发展区</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lang w:val="en-US" w:eastAsia="zh-CN"/>
        </w:rPr>
        <w:t>强化健康石景山建设。</w:t>
      </w:r>
      <w:r>
        <w:rPr>
          <w:rFonts w:hint="eastAsia" w:ascii="仿宋_GB2312" w:hAnsi="仿宋_GB2312" w:eastAsia="仿宋_GB2312" w:cs="仿宋_GB2312"/>
          <w:color w:val="auto"/>
          <w:sz w:val="32"/>
          <w:szCs w:val="32"/>
          <w:highlight w:val="none"/>
          <w:lang w:val="en-US" w:eastAsia="zh-CN"/>
        </w:rPr>
        <w:t>开展长期护理保险制度试点，完成五里坨精神卫生专科医院等重点项目改扩建工程，揭牌首都医科大学附属北京朝阳医院石景山医院，探索建设国家首批紧密型城市医疗集团，医联体考核、院前急救服务水平稳居全市前列。</w:t>
      </w:r>
      <w:r>
        <w:rPr>
          <w:rFonts w:hint="eastAsia" w:ascii="仿宋_GB2312" w:hAnsi="仿宋_GB2312" w:eastAsia="仿宋_GB2312" w:cs="仿宋_GB2312"/>
          <w:b/>
          <w:bCs/>
          <w:color w:val="auto"/>
          <w:sz w:val="32"/>
          <w:szCs w:val="32"/>
          <w:highlight w:val="none"/>
          <w:lang w:val="en-US" w:eastAsia="zh-CN"/>
        </w:rPr>
        <w:t>推进公共服务提质扩容。</w:t>
      </w:r>
      <w:r>
        <w:rPr>
          <w:rFonts w:hint="eastAsia" w:ascii="仿宋_GB2312" w:hAnsi="仿宋_GB2312" w:eastAsia="仿宋_GB2312" w:cs="仿宋_GB2312"/>
          <w:b w:val="0"/>
          <w:bCs w:val="0"/>
          <w:color w:val="auto"/>
          <w:sz w:val="32"/>
          <w:szCs w:val="32"/>
          <w:highlight w:val="none"/>
          <w:lang w:val="en-US" w:eastAsia="zh-CN"/>
        </w:rPr>
        <w:t>“一老一小”优质服务便捷，建成区域托育综合服务中心，区残疾人职业康复中心投用，建成政策性住房1.9万套，城镇调查失业率控制在5%以内，获评“中国最具幸福感城区”。</w:t>
      </w:r>
    </w:p>
    <w:p w14:paraId="2C9FB5C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1"/>
        <w:rPr>
          <w:rFonts w:hint="eastAsia" w:ascii="黑体" w:hAnsi="黑体" w:eastAsia="黑体" w:cs="黑体"/>
          <w:b w:val="0"/>
          <w:bCs w:val="0"/>
          <w:color w:val="auto"/>
          <w:sz w:val="32"/>
          <w:szCs w:val="32"/>
          <w:highlight w:val="none"/>
          <w:lang w:val="en-US" w:eastAsia="zh-CN"/>
        </w:rPr>
      </w:pPr>
      <w:bookmarkStart w:id="6" w:name="_Toc661235920"/>
      <w:r>
        <w:rPr>
          <w:rFonts w:hint="eastAsia" w:ascii="黑体" w:hAnsi="黑体" w:eastAsia="黑体" w:cs="黑体"/>
          <w:b w:val="0"/>
          <w:bCs w:val="0"/>
          <w:color w:val="auto"/>
          <w:sz w:val="32"/>
          <w:szCs w:val="32"/>
          <w:highlight w:val="none"/>
          <w:lang w:val="en-US" w:eastAsia="zh-CN"/>
        </w:rPr>
        <w:t>五、安全治理能力升级，城市运行秩序持续稳定</w:t>
      </w:r>
      <w:bookmarkEnd w:id="6"/>
    </w:p>
    <w:p w14:paraId="6BF954EF">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推进城市精细化治理。</w:t>
      </w:r>
      <w:r>
        <w:rPr>
          <w:rFonts w:hint="eastAsia" w:ascii="仿宋_GB2312" w:hAnsi="仿宋_GB2312" w:eastAsia="仿宋_GB2312" w:cs="仿宋_GB2312"/>
          <w:b w:val="0"/>
          <w:bCs w:val="0"/>
          <w:color w:val="auto"/>
          <w:sz w:val="32"/>
          <w:szCs w:val="32"/>
          <w:highlight w:val="none"/>
          <w:lang w:val="en-US" w:eastAsia="zh-CN"/>
        </w:rPr>
        <w:t>建成城市大脑数智平台一期，打破数据壁垒，构建街道综合平台，实施背街小巷“毛细血管”工程，完成8条道路建设，推进交通综合治理。</w:t>
      </w:r>
      <w:r>
        <w:rPr>
          <w:rFonts w:hint="eastAsia" w:ascii="仿宋_GB2312" w:hAnsi="仿宋_GB2312" w:eastAsia="仿宋_GB2312" w:cs="仿宋_GB2312"/>
          <w:b/>
          <w:bCs/>
          <w:color w:val="auto"/>
          <w:sz w:val="32"/>
          <w:szCs w:val="32"/>
          <w:highlight w:val="none"/>
          <w:lang w:val="en-US" w:eastAsia="zh-CN"/>
        </w:rPr>
        <w:t>完善应急管理体系。</w:t>
      </w:r>
      <w:r>
        <w:rPr>
          <w:rFonts w:hint="eastAsia" w:ascii="仿宋_GB2312" w:hAnsi="仿宋_GB2312" w:eastAsia="仿宋_GB2312" w:cs="仿宋_GB2312"/>
          <w:b w:val="0"/>
          <w:bCs w:val="0"/>
          <w:color w:val="auto"/>
          <w:sz w:val="32"/>
          <w:szCs w:val="32"/>
          <w:highlight w:val="none"/>
          <w:lang w:val="en-US" w:eastAsia="zh-CN"/>
        </w:rPr>
        <w:t>建立完善“1+21+9+X”架构，编制全市首个区级安全韧性城市专项规划，制定区级应急方案，开展实战演练，储备万人应急物资。</w:t>
      </w:r>
      <w:bookmarkStart w:id="7" w:name="OLE_LINK5"/>
      <w:r>
        <w:rPr>
          <w:rFonts w:hint="eastAsia" w:ascii="仿宋_GB2312" w:hAnsi="仿宋_GB2312" w:eastAsia="仿宋_GB2312" w:cs="仿宋_GB2312"/>
          <w:b/>
          <w:bCs/>
          <w:color w:val="auto"/>
          <w:sz w:val="32"/>
          <w:szCs w:val="32"/>
          <w:highlight w:val="none"/>
          <w:lang w:val="en-US" w:eastAsia="zh-CN"/>
        </w:rPr>
        <w:t>深化平安建设</w:t>
      </w:r>
      <w:bookmarkEnd w:id="7"/>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val="en-US" w:eastAsia="zh-CN"/>
        </w:rPr>
        <w:t>构建“枫桥经验”调解体系，创新“可信消费”监管模式，创新“三三信访机制”获评“长安杯”等国家级荣誉；</w:t>
      </w:r>
      <w:r>
        <w:rPr>
          <w:rFonts w:hint="eastAsia" w:ascii="仿宋_GB2312" w:hAnsi="仿宋_GB2312" w:eastAsia="仿宋_GB2312" w:cs="仿宋_GB2312"/>
          <w:color w:val="auto"/>
          <w:sz w:val="32"/>
          <w:szCs w:val="32"/>
          <w:highlight w:val="none"/>
          <w:lang w:val="en-US" w:eastAsia="zh-CN"/>
        </w:rPr>
        <w:t>“石时解纷”平台成为新时代“枫桥经验”北京实践，荣获平安中国建设最高奖“长安杯”。全过程民主深入发展，入选全国法治政府建设示范区。</w:t>
      </w:r>
      <w:r>
        <w:rPr>
          <w:rFonts w:hint="eastAsia" w:ascii="仿宋_GB2312" w:hAnsi="仿宋_GB2312" w:eastAsia="仿宋_GB2312" w:cs="仿宋_GB2312"/>
          <w:b w:val="0"/>
          <w:bCs w:val="0"/>
          <w:color w:val="auto"/>
          <w:sz w:val="32"/>
          <w:szCs w:val="32"/>
          <w:highlight w:val="none"/>
          <w:lang w:val="en-US" w:eastAsia="zh-CN"/>
        </w:rPr>
        <w:t>强化网络舆情联动处置，常态化开展扫黑除恶斗争，实现城市治理效能与安全稳定双提升。</w:t>
      </w:r>
    </w:p>
    <w:p w14:paraId="0EC215F2">
      <w:pPr>
        <w:pStyle w:val="2"/>
        <w:keepNext w:val="0"/>
        <w:keepLines w:val="0"/>
        <w:pageBreakBefore w:val="0"/>
        <w:widowControl w:val="0"/>
        <w:kinsoku/>
        <w:wordWrap/>
        <w:overflowPunct/>
        <w:topLinePunct w:val="0"/>
        <w:autoSpaceDE/>
        <w:autoSpaceDN/>
        <w:bidi w:val="0"/>
        <w:spacing w:line="560" w:lineRule="exact"/>
        <w:textAlignment w:val="auto"/>
        <w:rPr>
          <w:rFonts w:hint="eastAsia"/>
          <w:color w:val="auto"/>
          <w:highlight w:val="none"/>
          <w:lang w:val="en-US" w:eastAsia="zh-CN"/>
        </w:rPr>
      </w:pPr>
    </w:p>
    <w:p w14:paraId="1348C533">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0"/>
        <w:rPr>
          <w:rFonts w:hint="eastAsia" w:ascii="方正小标宋简体" w:hAnsi="方正小标宋简体" w:eastAsia="方正小标宋简体" w:cs="方正小标宋简体"/>
          <w:b w:val="0"/>
          <w:bCs w:val="0"/>
          <w:color w:val="auto"/>
          <w:spacing w:val="-11"/>
          <w:sz w:val="44"/>
          <w:szCs w:val="44"/>
          <w:highlight w:val="none"/>
          <w:lang w:val="en-US" w:eastAsia="zh-CN"/>
        </w:rPr>
      </w:pPr>
      <w:bookmarkStart w:id="8" w:name="_Toc742438730"/>
      <w:r>
        <w:rPr>
          <w:rFonts w:hint="eastAsia" w:ascii="方正小标宋简体" w:hAnsi="方正小标宋简体" w:eastAsia="方正小标宋简体" w:cs="方正小标宋简体"/>
          <w:b w:val="0"/>
          <w:bCs w:val="0"/>
          <w:color w:val="auto"/>
          <w:spacing w:val="-11"/>
          <w:sz w:val="44"/>
          <w:szCs w:val="44"/>
          <w:highlight w:val="none"/>
          <w:lang w:val="en-US" w:eastAsia="zh-CN"/>
        </w:rPr>
        <w:t>第二部分 “十五五”时期社会建设面临的形势</w:t>
      </w:r>
      <w:bookmarkEnd w:id="8"/>
    </w:p>
    <w:p w14:paraId="5E7F1B0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1"/>
        <w:rPr>
          <w:rFonts w:hint="default" w:ascii="宋体" w:hAnsi="Courier New" w:eastAsiaTheme="minorEastAsia" w:cstheme="minorBidi"/>
          <w:b w:val="0"/>
          <w:bCs w:val="0"/>
          <w:color w:val="auto"/>
          <w:sz w:val="21"/>
          <w:szCs w:val="24"/>
          <w:highlight w:val="none"/>
          <w:lang w:val="en-US" w:eastAsia="zh-CN"/>
        </w:rPr>
      </w:pPr>
      <w:bookmarkStart w:id="9" w:name="_Toc1570075841"/>
      <w:r>
        <w:rPr>
          <w:rFonts w:hint="eastAsia" w:ascii="黑体" w:hAnsi="黑体" w:eastAsia="黑体" w:cs="黑体"/>
          <w:b w:val="0"/>
          <w:bCs w:val="0"/>
          <w:color w:val="auto"/>
          <w:sz w:val="32"/>
          <w:szCs w:val="32"/>
          <w:highlight w:val="none"/>
          <w:lang w:val="en-US" w:eastAsia="zh-CN"/>
        </w:rPr>
        <w:t>一、把握新时代社会建设的新要求</w:t>
      </w:r>
      <w:bookmarkEnd w:id="9"/>
    </w:p>
    <w:p w14:paraId="0FDC3EF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五五”时期是我国基本实现社会主义现代化的关键期，社会治理体系与治理能力现代化深入推进，民生保障从“兜底型”向“提质型”转变，“两企三新”持续壮大，人口老龄化加剧与新质生产力发展交织，社会建设需聚焦主责主业，及时回应中央的新要求、形势的新变化，突出抓好新经济组织、新社会组织、新就业群体党的建设，抓好党建引领基层治理和基层政权建设，抓好凝聚服务群众工作。北京以“率先基本实现社会主义现代化”为目标，紧扣“四个中心”功能建设、“四个服务”水平提升，将社会建设融入“五子”联动发展格局，推动公共服务优质均衡、基层治理精细高效成为核心任务。市级优质公共服务资源的辐射效应，为石景山区社会建设提供了资源联动、经验借鉴的有力支撑。同时，石景山区正处于机遇累积叠加、集中释放的重要时期，“双奥之区”“城市复兴新地标”品牌引领效应凸显，“两园一河”协同联动发展、服贸会“一会一址”落户举办带来资源集聚。城市更新与产业升级“两大战略”深入实施，新质生产力加快转化，中心城区及京西辐射功能持续增强。区域社会建设要匹配重大场景的公共服务配套，围绕城市更新、产业升级优化便民服务，以精细化供给呼应需求升级。</w:t>
      </w:r>
    </w:p>
    <w:p w14:paraId="141CA64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1"/>
        <w:rPr>
          <w:rFonts w:hint="eastAsia" w:ascii="黑体" w:hAnsi="黑体" w:eastAsia="黑体" w:cs="黑体"/>
          <w:b w:val="0"/>
          <w:bCs w:val="0"/>
          <w:color w:val="auto"/>
          <w:sz w:val="32"/>
          <w:szCs w:val="32"/>
          <w:highlight w:val="none"/>
          <w:lang w:val="en-US" w:eastAsia="zh-CN"/>
        </w:rPr>
      </w:pPr>
      <w:bookmarkStart w:id="10" w:name="_Toc1297837711"/>
      <w:r>
        <w:rPr>
          <w:rFonts w:hint="eastAsia" w:ascii="黑体" w:hAnsi="黑体" w:eastAsia="黑体" w:cs="黑体"/>
          <w:b w:val="0"/>
          <w:bCs w:val="0"/>
          <w:color w:val="auto"/>
          <w:sz w:val="32"/>
          <w:szCs w:val="32"/>
          <w:highlight w:val="none"/>
          <w:lang w:val="en-US" w:eastAsia="zh-CN"/>
        </w:rPr>
        <w:t>二、应对社会建设领域的新挑战</w:t>
      </w:r>
      <w:bookmarkEnd w:id="10"/>
    </w:p>
    <w:p w14:paraId="34766EF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“十五五”时期，石景山区社会建设与治理步入提质增效、攻坚突破的关键阶段，对照新时代首都功能定位和区域高质量发展要求，部分领域仍存在提升空间。</w:t>
      </w:r>
    </w:p>
    <w:p w14:paraId="0FE2DEF8">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党建统领社会工作总体有力，但融合效能仍需深化。</w:t>
      </w:r>
      <w:r>
        <w:rPr>
          <w:rFonts w:hint="eastAsia" w:ascii="仿宋_GB2312" w:hAnsi="仿宋_GB2312" w:eastAsia="仿宋_GB2312" w:cs="仿宋_GB2312"/>
          <w:b w:val="0"/>
          <w:bCs w:val="0"/>
          <w:color w:val="auto"/>
          <w:sz w:val="32"/>
          <w:szCs w:val="32"/>
          <w:highlight w:val="none"/>
          <w:lang w:val="en-US" w:eastAsia="zh-CN"/>
        </w:rPr>
        <w:t>我区坚持以党建统领社会建设各项工作，方向明确、推进有序，但党建与社会工作融合不够紧密，统筹治理资源、破解基层难点问题的系统性举措不足，政治引领优势与专业服务优势融合赋能作用有待加强。</w:t>
      </w:r>
    </w:p>
    <w:p w14:paraId="167F4E8D">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新兴领域党建扎实推进，但适配性仍需提升。</w:t>
      </w:r>
      <w:r>
        <w:rPr>
          <w:rFonts w:hint="eastAsia" w:ascii="仿宋_GB2312" w:hAnsi="仿宋_GB2312" w:eastAsia="仿宋_GB2312" w:cs="仿宋_GB2312"/>
          <w:color w:val="auto"/>
          <w:sz w:val="32"/>
          <w:szCs w:val="32"/>
          <w:highlight w:val="none"/>
        </w:rPr>
        <w:t>围绕新兴产业发展持续加强党的工作覆盖，园区、商圈等阵地建设有序推进，但面对新业态快速发展，“两新”组织和新就业群体党建基础仍较薄弱，精准化服务机制需进一步健全。</w:t>
      </w:r>
    </w:p>
    <w:p w14:paraId="12FF8591">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color w:val="auto"/>
          <w:highlight w:val="none"/>
        </w:rPr>
      </w:pPr>
      <w:r>
        <w:rPr>
          <w:rFonts w:hint="eastAsia" w:ascii="仿宋_GB2312" w:hAnsi="仿宋_GB2312" w:eastAsia="仿宋_GB2312" w:cs="仿宋_GB2312"/>
          <w:b/>
          <w:bCs/>
          <w:color w:val="auto"/>
          <w:sz w:val="32"/>
          <w:szCs w:val="32"/>
          <w:highlight w:val="none"/>
          <w:lang w:val="en-US" w:eastAsia="zh-CN"/>
        </w:rPr>
        <w:t>基层治理基础不断夯实，但精细化水平仍需提高。</w:t>
      </w:r>
      <w:r>
        <w:rPr>
          <w:rFonts w:hint="eastAsia" w:ascii="仿宋_GB2312" w:hAnsi="仿宋_GB2312" w:eastAsia="仿宋_GB2312" w:cs="仿宋_GB2312"/>
          <w:b w:val="0"/>
          <w:bCs w:val="0"/>
          <w:color w:val="auto"/>
          <w:sz w:val="32"/>
          <w:szCs w:val="32"/>
          <w:highlight w:val="none"/>
          <w:lang w:val="en-US" w:eastAsia="zh-CN"/>
        </w:rPr>
        <w:t>基层政权建设、社区治理持续发力，治理体系逐步完善，但面对老旧小区、楼宇经济等差异化需求，精细化、智能化治理仍有不足，基层队伍专业能力、群众参与激励机制有待优化，资源力量整合不足，共建共治共享的格局需要进一步深化。</w:t>
      </w:r>
    </w:p>
    <w:p w14:paraId="63732344">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color w:val="auto"/>
          <w:highlight w:val="none"/>
        </w:rPr>
      </w:pPr>
      <w:r>
        <w:rPr>
          <w:rFonts w:hint="eastAsia" w:ascii="仿宋_GB2312" w:hAnsi="仿宋_GB2312" w:eastAsia="仿宋_GB2312" w:cs="仿宋_GB2312"/>
          <w:b/>
          <w:bCs/>
          <w:color w:val="auto"/>
          <w:sz w:val="32"/>
          <w:szCs w:val="32"/>
          <w:highlight w:val="none"/>
          <w:lang w:val="en-US" w:eastAsia="zh-CN"/>
        </w:rPr>
        <w:t>服务群众工作持续加强，但精准化程度仍需提升。</w:t>
      </w:r>
      <w:r>
        <w:rPr>
          <w:rFonts w:hint="eastAsia" w:ascii="仿宋_GB2312" w:hAnsi="仿宋_GB2312" w:eastAsia="仿宋_GB2312" w:cs="仿宋_GB2312"/>
          <w:b w:val="0"/>
          <w:bCs w:val="0"/>
          <w:color w:val="auto"/>
          <w:sz w:val="32"/>
          <w:szCs w:val="32"/>
          <w:highlight w:val="none"/>
          <w:lang w:val="en-US" w:eastAsia="zh-CN"/>
        </w:rPr>
        <w:t>始终坚持以人民为中心，民生服务供给不断扩大，但群众多元需求动态感知、精准响应机制尚不完善，志愿服务组织化、专业化水平不高，长效服务合力仍需凝聚。</w:t>
      </w:r>
    </w:p>
    <w:p w14:paraId="3976D3C3">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公共服务供给稳步改善，但均衡性品质仍需优化。</w:t>
      </w:r>
      <w:r>
        <w:rPr>
          <w:rFonts w:hint="eastAsia" w:ascii="仿宋_GB2312" w:hAnsi="仿宋_GB2312" w:eastAsia="仿宋_GB2312" w:cs="仿宋_GB2312"/>
          <w:b w:val="0"/>
          <w:bCs w:val="0"/>
          <w:color w:val="auto"/>
          <w:sz w:val="32"/>
          <w:szCs w:val="32"/>
          <w:highlight w:val="none"/>
          <w:lang w:val="en-US" w:eastAsia="zh-CN"/>
        </w:rPr>
        <w:t>养老、教育、文体等公共服务不断提质扩容，但资源配置仍不均衡，重点区域设施保障相对紧张，特色资源融合不够充分，对重点人群的精细服务仍需加强。</w:t>
      </w:r>
    </w:p>
    <w:p w14:paraId="7EE074FB">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城市安全保障体系不断健全，但风险防控仍需强化。</w:t>
      </w:r>
      <w:r>
        <w:rPr>
          <w:rFonts w:hint="eastAsia" w:ascii="仿宋_GB2312" w:hAnsi="仿宋_GB2312" w:eastAsia="仿宋_GB2312" w:cs="仿宋_GB2312"/>
          <w:b w:val="0"/>
          <w:bCs w:val="0"/>
          <w:color w:val="auto"/>
          <w:sz w:val="32"/>
          <w:szCs w:val="32"/>
          <w:highlight w:val="none"/>
          <w:lang w:val="en-US" w:eastAsia="zh-CN"/>
        </w:rPr>
        <w:t>安全生产、应急管理等工作持续加强，城市运行总体平稳，但风险前瞻研判、科技赋能水平仍有提升空间，重点领域隐患排查与长效防控机制需进一步完善。</w:t>
      </w:r>
    </w:p>
    <w:p w14:paraId="08BE36D8">
      <w:pPr>
        <w:pStyle w:val="2"/>
        <w:rPr>
          <w:rFonts w:hint="eastAsia"/>
          <w:color w:val="auto"/>
          <w:highlight w:val="none"/>
          <w:lang w:eastAsia="zh-CN"/>
        </w:rPr>
      </w:pPr>
    </w:p>
    <w:p w14:paraId="228F6F32">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outlineLvl w:val="0"/>
        <w:rPr>
          <w:rFonts w:hint="eastAsia" w:ascii="方正小标宋简体" w:hAnsi="方正小标宋简体" w:eastAsia="方正小标宋简体" w:cs="方正小标宋简体"/>
          <w:b w:val="0"/>
          <w:bCs w:val="0"/>
          <w:color w:val="auto"/>
          <w:sz w:val="44"/>
          <w:szCs w:val="44"/>
          <w:highlight w:val="none"/>
          <w:lang w:val="en-US" w:eastAsia="zh-CN"/>
        </w:rPr>
      </w:pPr>
      <w:bookmarkStart w:id="11" w:name="_Toc935071209"/>
      <w:r>
        <w:rPr>
          <w:rFonts w:hint="eastAsia" w:ascii="方正小标宋简体" w:hAnsi="方正小标宋简体" w:eastAsia="方正小标宋简体" w:cs="方正小标宋简体"/>
          <w:b w:val="0"/>
          <w:bCs w:val="0"/>
          <w:color w:val="auto"/>
          <w:sz w:val="44"/>
          <w:szCs w:val="44"/>
          <w:highlight w:val="none"/>
          <w:lang w:val="en-US" w:eastAsia="zh-CN"/>
        </w:rPr>
        <w:t>第三部分 总体要求</w:t>
      </w:r>
      <w:bookmarkEnd w:id="11"/>
    </w:p>
    <w:p w14:paraId="69DD2A6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1"/>
        <w:rPr>
          <w:rFonts w:hint="eastAsia" w:ascii="黑体" w:hAnsi="黑体" w:eastAsia="黑体" w:cs="黑体"/>
          <w:b w:val="0"/>
          <w:bCs w:val="0"/>
          <w:color w:val="auto"/>
          <w:sz w:val="32"/>
          <w:szCs w:val="32"/>
          <w:highlight w:val="none"/>
          <w:lang w:val="en-US" w:eastAsia="zh-CN"/>
        </w:rPr>
      </w:pPr>
      <w:bookmarkStart w:id="12" w:name="_Toc300284055"/>
      <w:r>
        <w:rPr>
          <w:rFonts w:hint="eastAsia" w:ascii="黑体" w:hAnsi="黑体" w:eastAsia="黑体" w:cs="黑体"/>
          <w:b w:val="0"/>
          <w:bCs w:val="0"/>
          <w:color w:val="auto"/>
          <w:sz w:val="32"/>
          <w:szCs w:val="32"/>
          <w:highlight w:val="none"/>
          <w:lang w:val="en-US" w:eastAsia="zh-CN"/>
        </w:rPr>
        <w:t>一、指导思想</w:t>
      </w:r>
      <w:bookmarkEnd w:id="12"/>
    </w:p>
    <w:p w14:paraId="3FE7FA8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坚持以习近平新时代中国特色社会主义思想为指导，全面贯彻党的二十大及二十届历次全会精神，深入落实习近平总书记对北京重要讲话精神，秉持以人民为中心的发展理念，着眼深入实施“两大战略”，统筹做好“四个融合”文章，紧抓“两园一河”联动发展机遇，立足社会工作“新兴领域党的建设、党建引领基层治理和基层政权建设、凝聚服务群众”主责主业，以构建社会建设共同体为目标，以改革创新为驱动，着力补齐短板、强化弱项、巩固根基、提升效能，全面提升社会建设科学化、精细化、智能化、法治化水平，为石景山区高质量发展提供坚实的社会支撑。</w:t>
      </w:r>
    </w:p>
    <w:p w14:paraId="1F97D74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1"/>
        <w:rPr>
          <w:rFonts w:hint="eastAsia" w:ascii="黑体" w:hAnsi="黑体" w:eastAsia="黑体" w:cs="黑体"/>
          <w:b w:val="0"/>
          <w:bCs w:val="0"/>
          <w:color w:val="auto"/>
          <w:sz w:val="32"/>
          <w:szCs w:val="32"/>
          <w:highlight w:val="none"/>
          <w:lang w:val="en-US" w:eastAsia="zh-CN"/>
        </w:rPr>
      </w:pPr>
      <w:bookmarkStart w:id="13" w:name="_Toc1581762761"/>
      <w:r>
        <w:rPr>
          <w:rFonts w:hint="eastAsia" w:ascii="黑体" w:hAnsi="黑体" w:eastAsia="黑体" w:cs="黑体"/>
          <w:b w:val="0"/>
          <w:bCs w:val="0"/>
          <w:color w:val="auto"/>
          <w:sz w:val="32"/>
          <w:szCs w:val="32"/>
          <w:highlight w:val="none"/>
          <w:lang w:val="en-US" w:eastAsia="zh-CN"/>
        </w:rPr>
        <w:t>二、基本原则</w:t>
      </w:r>
      <w:bookmarkEnd w:id="13"/>
    </w:p>
    <w:p w14:paraId="60AB3303">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1.</w:t>
      </w:r>
      <w:r>
        <w:rPr>
          <w:rFonts w:hint="eastAsia" w:ascii="仿宋_GB2312" w:hAnsi="仿宋_GB2312" w:eastAsia="仿宋_GB2312" w:cs="仿宋_GB2312"/>
          <w:b/>
          <w:bCs/>
          <w:color w:val="auto"/>
          <w:sz w:val="32"/>
          <w:szCs w:val="32"/>
          <w:highlight w:val="none"/>
        </w:rPr>
        <w:t>坚持党的全面领导，强化统筹引领</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eastAsia="zh-CN"/>
        </w:rPr>
        <w:t>以党的建设为引领，充分发挥区委总揽全局、协调各方的领导核心作用，把党的领导贯穿于石景山区社会</w:t>
      </w:r>
      <w:r>
        <w:rPr>
          <w:rFonts w:hint="eastAsia" w:ascii="仿宋_GB2312" w:hAnsi="仿宋_GB2312" w:eastAsia="仿宋_GB2312" w:cs="仿宋_GB2312"/>
          <w:b w:val="0"/>
          <w:bCs w:val="0"/>
          <w:color w:val="auto"/>
          <w:sz w:val="32"/>
          <w:szCs w:val="32"/>
          <w:highlight w:val="none"/>
          <w:lang w:val="en-US" w:eastAsia="zh-CN"/>
        </w:rPr>
        <w:t>建设</w:t>
      </w:r>
      <w:r>
        <w:rPr>
          <w:rFonts w:hint="eastAsia" w:ascii="仿宋_GB2312" w:hAnsi="仿宋_GB2312" w:eastAsia="仿宋_GB2312" w:cs="仿宋_GB2312"/>
          <w:b w:val="0"/>
          <w:bCs w:val="0"/>
          <w:color w:val="auto"/>
          <w:sz w:val="32"/>
          <w:szCs w:val="32"/>
          <w:highlight w:val="none"/>
          <w:lang w:eastAsia="zh-CN"/>
        </w:rPr>
        <w:t>的各方面、全过程，为实现高效能治理提供根本保证。</w:t>
      </w:r>
    </w:p>
    <w:p w14:paraId="5DA423D2">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2.</w:t>
      </w:r>
      <w:r>
        <w:rPr>
          <w:rFonts w:hint="eastAsia" w:ascii="仿宋_GB2312" w:hAnsi="仿宋_GB2312" w:eastAsia="仿宋_GB2312" w:cs="仿宋_GB2312"/>
          <w:b/>
          <w:bCs/>
          <w:color w:val="auto"/>
          <w:sz w:val="32"/>
          <w:szCs w:val="32"/>
          <w:highlight w:val="none"/>
        </w:rPr>
        <w:t>坚持以人民为中心，聚焦群众需求</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eastAsia="zh-CN"/>
        </w:rPr>
        <w:t>坚持人民主体地位，秉持人民至上理念，把人民对美好生活的向往作为石景山区创新社会</w:t>
      </w:r>
      <w:r>
        <w:rPr>
          <w:rFonts w:hint="eastAsia" w:ascii="仿宋_GB2312" w:hAnsi="仿宋_GB2312" w:eastAsia="仿宋_GB2312" w:cs="仿宋_GB2312"/>
          <w:b w:val="0"/>
          <w:bCs w:val="0"/>
          <w:color w:val="auto"/>
          <w:sz w:val="32"/>
          <w:szCs w:val="32"/>
          <w:highlight w:val="none"/>
          <w:lang w:val="en-US" w:eastAsia="zh-CN"/>
        </w:rPr>
        <w:t>建设</w:t>
      </w:r>
      <w:r>
        <w:rPr>
          <w:rFonts w:hint="eastAsia" w:ascii="仿宋_GB2312" w:hAnsi="仿宋_GB2312" w:eastAsia="仿宋_GB2312" w:cs="仿宋_GB2312"/>
          <w:b w:val="0"/>
          <w:bCs w:val="0"/>
          <w:color w:val="auto"/>
          <w:sz w:val="32"/>
          <w:szCs w:val="32"/>
          <w:highlight w:val="none"/>
          <w:lang w:eastAsia="zh-CN"/>
        </w:rPr>
        <w:t>的根本出发点和落脚点，切实解决群众关心的热点难点问题，持续提升人民群众在石景山区生活的获得感、幸福感、安全感。</w:t>
      </w:r>
    </w:p>
    <w:p w14:paraId="7DDDECF8">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3.</w:t>
      </w:r>
      <w:r>
        <w:rPr>
          <w:rFonts w:hint="eastAsia" w:ascii="仿宋_GB2312" w:hAnsi="仿宋_GB2312" w:eastAsia="仿宋_GB2312" w:cs="仿宋_GB2312"/>
          <w:b/>
          <w:bCs/>
          <w:color w:val="auto"/>
          <w:sz w:val="32"/>
          <w:szCs w:val="32"/>
          <w:highlight w:val="none"/>
        </w:rPr>
        <w:t>坚持共建共治共享，激发社会活力</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eastAsia="zh-CN"/>
        </w:rPr>
        <w:t>以激发社会活力为核心，健全政府主导、社会协同、公众参与、法治保障的社会治理体系。引导驻区央企、高校、社会组织及新就业群体等多元主体参与社会建设，形成“人人有责、人人尽责、人人享有”的协同生态，推动社会建设成果惠及全体居民。</w:t>
      </w:r>
    </w:p>
    <w:p w14:paraId="15A6895B">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4.</w:t>
      </w:r>
      <w:r>
        <w:rPr>
          <w:rFonts w:hint="eastAsia" w:ascii="仿宋_GB2312" w:hAnsi="仿宋_GB2312" w:eastAsia="仿宋_GB2312" w:cs="仿宋_GB2312"/>
          <w:b/>
          <w:bCs/>
          <w:color w:val="auto"/>
          <w:sz w:val="32"/>
          <w:szCs w:val="32"/>
          <w:highlight w:val="none"/>
        </w:rPr>
        <w:t>坚持改革创新驱动，提升</w:t>
      </w:r>
      <w:r>
        <w:rPr>
          <w:rFonts w:hint="eastAsia" w:ascii="仿宋_GB2312" w:hAnsi="仿宋_GB2312" w:eastAsia="仿宋_GB2312" w:cs="仿宋_GB2312"/>
          <w:b/>
          <w:bCs/>
          <w:color w:val="auto"/>
          <w:sz w:val="32"/>
          <w:szCs w:val="32"/>
          <w:highlight w:val="none"/>
          <w:lang w:val="en-US" w:eastAsia="zh-CN"/>
        </w:rPr>
        <w:t>工作</w:t>
      </w:r>
      <w:r>
        <w:rPr>
          <w:rFonts w:hint="eastAsia" w:ascii="仿宋_GB2312" w:hAnsi="仿宋_GB2312" w:eastAsia="仿宋_GB2312" w:cs="仿宋_GB2312"/>
          <w:b/>
          <w:bCs/>
          <w:color w:val="auto"/>
          <w:sz w:val="32"/>
          <w:szCs w:val="32"/>
          <w:highlight w:val="none"/>
        </w:rPr>
        <w:t>效能</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eastAsia="zh-CN"/>
        </w:rPr>
        <w:t>贯彻新发展理念，立足首都城市战略定位，立足石景山区特色，积极对标先进经验，深入推进社会</w:t>
      </w:r>
      <w:r>
        <w:rPr>
          <w:rFonts w:hint="eastAsia" w:ascii="仿宋_GB2312" w:hAnsi="仿宋_GB2312" w:eastAsia="仿宋_GB2312" w:cs="仿宋_GB2312"/>
          <w:b w:val="0"/>
          <w:bCs w:val="0"/>
          <w:color w:val="auto"/>
          <w:sz w:val="32"/>
          <w:szCs w:val="32"/>
          <w:highlight w:val="none"/>
          <w:lang w:val="en-US" w:eastAsia="zh-CN"/>
        </w:rPr>
        <w:t>建设</w:t>
      </w:r>
      <w:r>
        <w:rPr>
          <w:rFonts w:hint="eastAsia" w:ascii="仿宋_GB2312" w:hAnsi="仿宋_GB2312" w:eastAsia="仿宋_GB2312" w:cs="仿宋_GB2312"/>
          <w:b w:val="0"/>
          <w:bCs w:val="0"/>
          <w:color w:val="auto"/>
          <w:sz w:val="32"/>
          <w:szCs w:val="32"/>
          <w:highlight w:val="none"/>
          <w:lang w:eastAsia="zh-CN"/>
        </w:rPr>
        <w:t>各项改革探索，以社会治理的高效能推动石景山区经济社会高质量发展。</w:t>
      </w:r>
    </w:p>
    <w:p w14:paraId="19DFC40C">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5.</w:t>
      </w:r>
      <w:r>
        <w:rPr>
          <w:rFonts w:hint="eastAsia" w:ascii="仿宋_GB2312" w:hAnsi="仿宋_GB2312" w:eastAsia="仿宋_GB2312" w:cs="仿宋_GB2312"/>
          <w:b/>
          <w:bCs/>
          <w:color w:val="auto"/>
          <w:sz w:val="32"/>
          <w:szCs w:val="32"/>
          <w:highlight w:val="none"/>
        </w:rPr>
        <w:t>坚持底线思维导向，筑牢安全屏障</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eastAsia="zh-CN"/>
        </w:rPr>
        <w:t>健全风险研判、预警、处置机制，重点防范新业态风险、基层治理隐患，聚焦公共安全、矛盾化解、风险防控等关键领域，强化民生领域安全保障，织密织牢全域安全网络，确保社会大局和谐稳定，为区域发展筑牢坚实安全屏障。</w:t>
      </w:r>
    </w:p>
    <w:p w14:paraId="7270142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1"/>
        <w:rPr>
          <w:rFonts w:hint="eastAsia" w:ascii="黑体" w:hAnsi="黑体" w:eastAsia="黑体" w:cs="黑体"/>
          <w:b w:val="0"/>
          <w:bCs w:val="0"/>
          <w:color w:val="auto"/>
          <w:sz w:val="32"/>
          <w:szCs w:val="32"/>
          <w:highlight w:val="none"/>
          <w:lang w:val="en-US" w:eastAsia="zh-CN"/>
        </w:rPr>
      </w:pPr>
      <w:bookmarkStart w:id="14" w:name="_Toc1831893640"/>
      <w:r>
        <w:rPr>
          <w:rFonts w:hint="eastAsia" w:ascii="黑体" w:hAnsi="黑体" w:eastAsia="黑体" w:cs="黑体"/>
          <w:b w:val="0"/>
          <w:bCs w:val="0"/>
          <w:color w:val="auto"/>
          <w:sz w:val="32"/>
          <w:szCs w:val="32"/>
          <w:highlight w:val="none"/>
          <w:lang w:val="en-US" w:eastAsia="zh-CN"/>
        </w:rPr>
        <w:t>三、总体目标</w:t>
      </w:r>
      <w:bookmarkEnd w:id="14"/>
    </w:p>
    <w:p w14:paraId="790A52F3">
      <w:pPr>
        <w:pStyle w:val="2"/>
        <w:keepNext w:val="0"/>
        <w:keepLines w:val="0"/>
        <w:pageBreakBefore w:val="0"/>
        <w:kinsoku/>
        <w:wordWrap/>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到2030年，构建与石景山区城市复兴新地标定位相匹配的社会建设体系。党建引领社会</w:t>
      </w:r>
      <w:r>
        <w:rPr>
          <w:rFonts w:hint="eastAsia" w:ascii="仿宋_GB2312" w:hAnsi="仿宋_GB2312" w:eastAsia="仿宋_GB2312" w:cs="仿宋_GB2312"/>
          <w:color w:val="auto"/>
          <w:sz w:val="32"/>
          <w:szCs w:val="32"/>
          <w:highlight w:val="none"/>
          <w:lang w:eastAsia="zh-CN"/>
        </w:rPr>
        <w:t>工作</w:t>
      </w:r>
      <w:r>
        <w:rPr>
          <w:rFonts w:hint="eastAsia" w:ascii="仿宋_GB2312" w:hAnsi="仿宋_GB2312" w:eastAsia="仿宋_GB2312" w:cs="仿宋_GB2312"/>
          <w:color w:val="auto"/>
          <w:sz w:val="32"/>
          <w:szCs w:val="32"/>
          <w:highlight w:val="none"/>
        </w:rPr>
        <w:t>的体制机制更加健全，新兴领域党建实现有效覆盖；基层治理体系和治理能力现代化水平显著提升，“老街坊”治理品牌影响力持续扩大</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楼宇治理与社区建设实现互补联动</w:t>
      </w:r>
      <w:r>
        <w:rPr>
          <w:rFonts w:hint="eastAsia" w:ascii="仿宋_GB2312" w:hAnsi="仿宋_GB2312" w:eastAsia="仿宋_GB2312" w:cs="仿宋_GB2312"/>
          <w:color w:val="auto"/>
          <w:sz w:val="32"/>
          <w:szCs w:val="32"/>
          <w:highlight w:val="none"/>
        </w:rPr>
        <w:t>；公共服务体系更加优质均衡，民生保障底线不断筑牢；社会文明程度和群众满意度持续提高；城市安全韧性显著增强，社会大局和谐稳定，基本建成“党建强、治理优、服务好、民生实、文明兴、安全稳”的社会建设</w:t>
      </w:r>
      <w:r>
        <w:rPr>
          <w:rFonts w:hint="eastAsia" w:ascii="仿宋_GB2312" w:hAnsi="仿宋_GB2312" w:eastAsia="仿宋_GB2312" w:cs="仿宋_GB2312"/>
          <w:color w:val="auto"/>
          <w:sz w:val="32"/>
          <w:szCs w:val="32"/>
          <w:highlight w:val="none"/>
          <w:lang w:val="en-US" w:eastAsia="zh-CN"/>
        </w:rPr>
        <w:t>新格局，奋力将石景山区打造成为宜居宜业、温暖可及、人人共享的幸福之城。</w:t>
      </w:r>
    </w:p>
    <w:p w14:paraId="7F4A7799">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——党建引领更加深入，组织作用发挥、基层干部能力水平显著提高。</w:t>
      </w:r>
      <w:r>
        <w:rPr>
          <w:rFonts w:hint="eastAsia" w:ascii="仿宋_GB2312" w:hAnsi="仿宋_GB2312" w:eastAsia="仿宋_GB2312" w:cs="仿宋_GB2312"/>
          <w:b w:val="0"/>
          <w:bCs w:val="0"/>
          <w:color w:val="auto"/>
          <w:sz w:val="32"/>
          <w:szCs w:val="32"/>
          <w:highlight w:val="none"/>
          <w:lang w:val="en-US" w:eastAsia="zh-CN"/>
        </w:rPr>
        <w:t>社会领域党的建设全面深入，党的组织和工作有效覆盖持续扩大。以党建创新引领社会工作创新，推动社区党建、新兴领域党建质效提升，引领能力显著增强。基层干部专业素养和综合能力不断提升，为社会建设提供坚强的组织保障和人才支撑。</w:t>
      </w:r>
    </w:p>
    <w:p w14:paraId="44373A4B">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——社会治理更加科学，城市治理精细化、智能化水平显著提高。</w:t>
      </w:r>
      <w:r>
        <w:rPr>
          <w:rFonts w:hint="eastAsia" w:ascii="仿宋_GB2312" w:hAnsi="仿宋_GB2312" w:eastAsia="仿宋_GB2312" w:cs="仿宋_GB2312"/>
          <w:b w:val="0"/>
          <w:bCs w:val="0"/>
          <w:color w:val="auto"/>
          <w:sz w:val="32"/>
          <w:szCs w:val="32"/>
          <w:highlight w:val="none"/>
          <w:lang w:val="en-US" w:eastAsia="zh-CN"/>
        </w:rPr>
        <w:t>以人为本推进社会治理提质增效，基层治理社会化、法治化、智能化、专业化水平显著提高，社会治理体系日益完善，治理方式更加科学合理。城市服务精准化、精细化水平明显提升，人民民主更加健全，民主协商水平显著提高，共建共治共享的社会治理格局更加完善。数据赋能、技术减负取得显著成效，治理效率和质量大幅提高。</w:t>
      </w:r>
    </w:p>
    <w:p w14:paraId="363D1BBF">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——社会动员更加广泛，共建共治共享、公众参与水平显著提高。</w:t>
      </w:r>
      <w:r>
        <w:rPr>
          <w:rFonts w:hint="eastAsia" w:ascii="仿宋_GB2312" w:hAnsi="仿宋_GB2312" w:eastAsia="仿宋_GB2312" w:cs="仿宋_GB2312"/>
          <w:b w:val="0"/>
          <w:bCs w:val="0"/>
          <w:color w:val="auto"/>
          <w:sz w:val="32"/>
          <w:szCs w:val="32"/>
          <w:highlight w:val="none"/>
          <w:lang w:val="en-US" w:eastAsia="zh-CN"/>
        </w:rPr>
        <w:t>现代治理理念深入人心，社会动员能力显著增强。公众参与渠道更加畅通，参与热情和积极性不断提高，形成全社会共同参与社会治理的良好氛围。民主协商、社会参与、公众监督等机制不断完善，社会工作的活力和创造力充分激发，推动社会建设迈向新台阶。</w:t>
      </w:r>
    </w:p>
    <w:p w14:paraId="07DA19C8">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——社会服务更加完善，民生保障改善、公共服务水平显著提高。</w:t>
      </w:r>
      <w:r>
        <w:rPr>
          <w:rFonts w:hint="eastAsia" w:ascii="仿宋_GB2312" w:hAnsi="仿宋_GB2312" w:eastAsia="仿宋_GB2312" w:cs="仿宋_GB2312"/>
          <w:b w:val="0"/>
          <w:bCs w:val="0"/>
          <w:color w:val="auto"/>
          <w:sz w:val="32"/>
          <w:szCs w:val="32"/>
          <w:highlight w:val="none"/>
          <w:lang w:val="en-US" w:eastAsia="zh-CN"/>
        </w:rPr>
        <w:t>人民群众“七有”要求、“五性”需求满足程度得到显著提升，政府主导、社会参与、多元供给、覆盖城乡、持续发展、优质高效的基本公共服务体系更加完善。社会力量广泛参与社会服务，形成政府、市场、社会协同推进的良好局面。社会服务更加均衡，资源分配更加合理，弱势群体得到更好地保障，社会关系更加和谐，人民群众的获得感、幸福感和安全感显著增强。</w:t>
      </w:r>
    </w:p>
    <w:p w14:paraId="27A71924">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——社会安全更加坚实，化解基层矛盾、社区维稳水平显著提高。</w:t>
      </w:r>
      <w:r>
        <w:rPr>
          <w:rFonts w:hint="eastAsia" w:ascii="仿宋_GB2312" w:hAnsi="仿宋_GB2312" w:eastAsia="仿宋_GB2312" w:cs="仿宋_GB2312"/>
          <w:b w:val="0"/>
          <w:bCs w:val="0"/>
          <w:color w:val="auto"/>
          <w:sz w:val="32"/>
          <w:szCs w:val="32"/>
          <w:highlight w:val="none"/>
          <w:lang w:val="en-US" w:eastAsia="zh-CN"/>
        </w:rPr>
        <w:t>社区“两委”、业委会（物管会）等基层治理主体良好运行，形成有效的矛盾纠纷排查化解机制，推动风险在一线化解。社会安全体系更加健全，公共安全事件应急处置能力显著提高，社会安全稳定的基础更加牢固，为经济社会发展创造良好的安全环境。</w:t>
      </w:r>
    </w:p>
    <w:p w14:paraId="3355B668">
      <w:pPr>
        <w:pStyle w:val="2"/>
        <w:keepNext w:val="0"/>
        <w:keepLines w:val="0"/>
        <w:pageBreakBefore w:val="0"/>
        <w:kinsoku/>
        <w:wordWrap/>
        <w:overflowPunct/>
        <w:topLinePunct w:val="0"/>
        <w:autoSpaceDE/>
        <w:autoSpaceDN/>
        <w:bidi w:val="0"/>
        <w:spacing w:line="560" w:lineRule="exact"/>
        <w:jc w:val="center"/>
        <w:rPr>
          <w:rFonts w:hint="eastAsia"/>
          <w:color w:val="auto"/>
          <w:highlight w:val="none"/>
          <w:lang w:val="en-US" w:eastAsia="zh-CN"/>
        </w:rPr>
      </w:pPr>
      <w:r>
        <w:rPr>
          <w:rFonts w:hint="eastAsia" w:ascii="仿宋_GB2312" w:hAnsi="仿宋_GB2312" w:eastAsia="仿宋_GB2312" w:cs="仿宋_GB2312"/>
          <w:b/>
          <w:bCs/>
          <w:color w:val="auto"/>
          <w:sz w:val="32"/>
          <w:szCs w:val="32"/>
          <w:highlight w:val="none"/>
          <w:lang w:val="en-US" w:eastAsia="zh-CN"/>
        </w:rPr>
        <w:t>石景山区“十五五”时期社会建设主要指标</w:t>
      </w:r>
    </w:p>
    <w:tbl>
      <w:tblPr>
        <w:tblStyle w:val="13"/>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1466"/>
        <w:gridCol w:w="2915"/>
        <w:gridCol w:w="1649"/>
        <w:gridCol w:w="1569"/>
      </w:tblGrid>
      <w:tr w14:paraId="6AAB7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 w:type="dxa"/>
          </w:tcPr>
          <w:p w14:paraId="03D1316C">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宋体" w:eastAsia="仿宋_GB2312" w:cs="仿宋_GB2312"/>
                <w:b/>
                <w:bCs/>
                <w:color w:val="auto"/>
                <w:kern w:val="0"/>
                <w:sz w:val="24"/>
                <w:highlight w:val="none"/>
                <w:u w:val="none"/>
                <w:vertAlign w:val="baseline"/>
                <w:lang w:val="en-US" w:eastAsia="zh-CN" w:bidi="ar"/>
              </w:rPr>
            </w:pPr>
            <w:r>
              <w:rPr>
                <w:rFonts w:hint="eastAsia" w:ascii="仿宋_GB2312" w:hAnsi="宋体" w:eastAsia="仿宋_GB2312" w:cs="仿宋_GB2312"/>
                <w:b/>
                <w:bCs/>
                <w:color w:val="auto"/>
                <w:kern w:val="0"/>
                <w:sz w:val="24"/>
                <w:highlight w:val="none"/>
                <w:u w:val="none"/>
                <w:vertAlign w:val="baseline"/>
                <w:lang w:val="en-US" w:eastAsia="zh-CN" w:bidi="ar"/>
              </w:rPr>
              <w:t>序号</w:t>
            </w:r>
          </w:p>
        </w:tc>
        <w:tc>
          <w:tcPr>
            <w:tcW w:w="4381" w:type="dxa"/>
            <w:gridSpan w:val="2"/>
          </w:tcPr>
          <w:p w14:paraId="2B86E3D4">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宋体" w:eastAsia="仿宋_GB2312" w:cs="仿宋_GB2312"/>
                <w:b/>
                <w:bCs/>
                <w:color w:val="auto"/>
                <w:kern w:val="0"/>
                <w:sz w:val="24"/>
                <w:highlight w:val="none"/>
                <w:u w:val="none"/>
                <w:vertAlign w:val="baseline"/>
                <w:lang w:val="en-US" w:eastAsia="zh-CN" w:bidi="ar"/>
              </w:rPr>
            </w:pPr>
            <w:r>
              <w:rPr>
                <w:rFonts w:hint="eastAsia" w:ascii="仿宋_GB2312" w:hAnsi="宋体" w:eastAsia="仿宋_GB2312" w:cs="仿宋_GB2312"/>
                <w:b/>
                <w:bCs/>
                <w:color w:val="auto"/>
                <w:kern w:val="0"/>
                <w:sz w:val="24"/>
                <w:highlight w:val="none"/>
                <w:u w:val="none"/>
                <w:vertAlign w:val="baseline"/>
                <w:lang w:val="en-US" w:eastAsia="zh-CN" w:bidi="ar"/>
              </w:rPr>
              <w:t>具体指标</w:t>
            </w:r>
          </w:p>
        </w:tc>
        <w:tc>
          <w:tcPr>
            <w:tcW w:w="1649" w:type="dxa"/>
          </w:tcPr>
          <w:p w14:paraId="30CF81ED">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宋体" w:eastAsia="仿宋_GB2312" w:cs="仿宋_GB2312"/>
                <w:b/>
                <w:bCs/>
                <w:color w:val="auto"/>
                <w:kern w:val="0"/>
                <w:sz w:val="24"/>
                <w:highlight w:val="none"/>
                <w:u w:val="none"/>
                <w:vertAlign w:val="baseline"/>
                <w:lang w:val="en-US" w:eastAsia="zh-CN" w:bidi="ar"/>
              </w:rPr>
            </w:pPr>
            <w:r>
              <w:rPr>
                <w:rFonts w:hint="eastAsia" w:ascii="仿宋_GB2312" w:hAnsi="宋体" w:eastAsia="仿宋_GB2312" w:cs="仿宋_GB2312"/>
                <w:b/>
                <w:bCs/>
                <w:color w:val="auto"/>
                <w:kern w:val="0"/>
                <w:sz w:val="24"/>
                <w:highlight w:val="none"/>
                <w:u w:val="none"/>
                <w:vertAlign w:val="baseline"/>
                <w:lang w:val="en-US" w:eastAsia="zh-CN" w:bidi="ar"/>
              </w:rPr>
              <w:t>2030年目标</w:t>
            </w:r>
          </w:p>
        </w:tc>
        <w:tc>
          <w:tcPr>
            <w:tcW w:w="1569" w:type="dxa"/>
          </w:tcPr>
          <w:p w14:paraId="2F7CAC7F">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宋体" w:eastAsia="仿宋_GB2312" w:cs="仿宋_GB2312"/>
                <w:b/>
                <w:bCs/>
                <w:color w:val="auto"/>
                <w:kern w:val="0"/>
                <w:sz w:val="24"/>
                <w:highlight w:val="none"/>
                <w:u w:val="none"/>
                <w:vertAlign w:val="baseline"/>
                <w:lang w:val="en-US" w:eastAsia="zh-CN" w:bidi="ar"/>
              </w:rPr>
            </w:pPr>
            <w:r>
              <w:rPr>
                <w:rFonts w:hint="eastAsia" w:ascii="仿宋_GB2312" w:hAnsi="宋体" w:eastAsia="仿宋_GB2312" w:cs="仿宋_GB2312"/>
                <w:b/>
                <w:bCs/>
                <w:color w:val="auto"/>
                <w:kern w:val="0"/>
                <w:sz w:val="24"/>
                <w:highlight w:val="none"/>
                <w:u w:val="none"/>
                <w:vertAlign w:val="baseline"/>
                <w:lang w:val="en-US" w:eastAsia="zh-CN" w:bidi="ar"/>
              </w:rPr>
              <w:t>属性</w:t>
            </w:r>
          </w:p>
        </w:tc>
      </w:tr>
      <w:tr w14:paraId="4DACB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20" w:type="dxa"/>
          </w:tcPr>
          <w:p w14:paraId="3E6E2475">
            <w:pPr>
              <w:pStyle w:val="2"/>
              <w:keepNext w:val="0"/>
              <w:keepLines w:val="0"/>
              <w:pageBreakBefore w:val="0"/>
              <w:kinsoku/>
              <w:wordWrap/>
              <w:overflowPunct/>
              <w:topLinePunct w:val="0"/>
              <w:autoSpaceDE/>
              <w:autoSpaceDN/>
              <w:bidi w:val="0"/>
              <w:spacing w:line="560" w:lineRule="exact"/>
              <w:jc w:val="center"/>
              <w:rPr>
                <w:rFonts w:hint="default" w:ascii="仿宋_GB2312" w:hAnsi="宋体" w:eastAsia="仿宋_GB2312" w:cs="仿宋_GB2312"/>
                <w:color w:val="auto"/>
                <w:kern w:val="0"/>
                <w:sz w:val="24"/>
                <w:szCs w:val="24"/>
                <w:highlight w:val="none"/>
                <w:u w:val="none"/>
                <w:vertAlign w:val="baseline"/>
                <w:lang w:val="en-US" w:eastAsia="zh-CN" w:bidi="ar"/>
              </w:rPr>
            </w:pPr>
            <w:r>
              <w:rPr>
                <w:rFonts w:hint="eastAsia" w:ascii="仿宋_GB2312" w:hAnsi="宋体" w:eastAsia="仿宋_GB2312" w:cs="仿宋_GB2312"/>
                <w:color w:val="auto"/>
                <w:kern w:val="0"/>
                <w:sz w:val="24"/>
                <w:szCs w:val="24"/>
                <w:highlight w:val="none"/>
                <w:u w:val="none"/>
                <w:vertAlign w:val="baseline"/>
                <w:lang w:val="en-US" w:eastAsia="zh-CN" w:bidi="ar"/>
              </w:rPr>
              <w:t>1</w:t>
            </w:r>
          </w:p>
        </w:tc>
        <w:tc>
          <w:tcPr>
            <w:tcW w:w="4381" w:type="dxa"/>
            <w:gridSpan w:val="2"/>
            <w:vAlign w:val="center"/>
          </w:tcPr>
          <w:p w14:paraId="32D5D720">
            <w:pPr>
              <w:keepNext w:val="0"/>
              <w:keepLines w:val="0"/>
              <w:pageBreakBefore w:val="0"/>
              <w:widowControl/>
              <w:kinsoku/>
              <w:wordWrap/>
              <w:overflowPunct/>
              <w:topLinePunct w:val="0"/>
              <w:autoSpaceDE/>
              <w:autoSpaceDN/>
              <w:bidi w:val="0"/>
              <w:spacing w:line="560" w:lineRule="exact"/>
              <w:jc w:val="both"/>
              <w:textAlignment w:val="center"/>
              <w:rPr>
                <w:rFonts w:hint="eastAsia" w:ascii="仿宋_GB2312" w:hAnsi="宋体" w:eastAsia="仿宋_GB2312" w:cs="仿宋_GB2312"/>
                <w:color w:val="auto"/>
                <w:kern w:val="0"/>
                <w:sz w:val="24"/>
                <w:szCs w:val="24"/>
                <w:highlight w:val="none"/>
                <w:u w:val="none"/>
                <w:vertAlign w:val="baseli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社区“两委”一肩挑比例（%）</w:t>
            </w:r>
          </w:p>
        </w:tc>
        <w:tc>
          <w:tcPr>
            <w:tcW w:w="1649" w:type="dxa"/>
            <w:vAlign w:val="center"/>
          </w:tcPr>
          <w:p w14:paraId="5DF02107">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宋体" w:eastAsia="仿宋_GB2312" w:cs="仿宋_GB2312"/>
                <w:color w:val="auto"/>
                <w:kern w:val="0"/>
                <w:sz w:val="24"/>
                <w:szCs w:val="24"/>
                <w:highlight w:val="none"/>
                <w:u w:val="none"/>
                <w:vertAlign w:val="baseli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≥95</w:t>
            </w:r>
          </w:p>
        </w:tc>
        <w:tc>
          <w:tcPr>
            <w:tcW w:w="1569" w:type="dxa"/>
            <w:vAlign w:val="center"/>
          </w:tcPr>
          <w:p w14:paraId="72D25DCF">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宋体" w:eastAsia="仿宋_GB2312" w:cs="仿宋_GB2312"/>
                <w:color w:val="auto"/>
                <w:kern w:val="0"/>
                <w:sz w:val="24"/>
                <w:szCs w:val="24"/>
                <w:highlight w:val="none"/>
                <w:u w:val="none"/>
                <w:vertAlign w:val="baseli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预期性</w:t>
            </w:r>
          </w:p>
        </w:tc>
      </w:tr>
      <w:tr w14:paraId="23AE2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 w:type="dxa"/>
          </w:tcPr>
          <w:p w14:paraId="79585384">
            <w:pPr>
              <w:pStyle w:val="2"/>
              <w:keepNext w:val="0"/>
              <w:keepLines w:val="0"/>
              <w:pageBreakBefore w:val="0"/>
              <w:kinsoku/>
              <w:wordWrap/>
              <w:overflowPunct/>
              <w:topLinePunct w:val="0"/>
              <w:autoSpaceDE/>
              <w:autoSpaceDN/>
              <w:bidi w:val="0"/>
              <w:spacing w:line="560" w:lineRule="exact"/>
              <w:jc w:val="center"/>
              <w:rPr>
                <w:rFonts w:hint="default" w:ascii="仿宋_GB2312" w:hAnsi="宋体" w:eastAsia="仿宋_GB2312" w:cs="仿宋_GB2312"/>
                <w:color w:val="auto"/>
                <w:kern w:val="0"/>
                <w:sz w:val="24"/>
                <w:szCs w:val="24"/>
                <w:highlight w:val="none"/>
                <w:u w:val="none"/>
                <w:vertAlign w:val="baseline"/>
                <w:lang w:val="en-US" w:eastAsia="zh-CN" w:bidi="ar"/>
              </w:rPr>
            </w:pPr>
            <w:r>
              <w:rPr>
                <w:rFonts w:hint="eastAsia" w:ascii="仿宋_GB2312" w:hAnsi="宋体" w:eastAsia="仿宋_GB2312" w:cs="仿宋_GB2312"/>
                <w:color w:val="auto"/>
                <w:kern w:val="0"/>
                <w:sz w:val="24"/>
                <w:szCs w:val="24"/>
                <w:highlight w:val="none"/>
                <w:u w:val="none"/>
                <w:vertAlign w:val="baseline"/>
                <w:lang w:val="en-US" w:eastAsia="zh-CN" w:bidi="ar"/>
              </w:rPr>
              <w:t>2</w:t>
            </w:r>
          </w:p>
        </w:tc>
        <w:tc>
          <w:tcPr>
            <w:tcW w:w="4381" w:type="dxa"/>
            <w:gridSpan w:val="2"/>
            <w:vAlign w:val="center"/>
          </w:tcPr>
          <w:p w14:paraId="573ED92B">
            <w:pPr>
              <w:keepNext w:val="0"/>
              <w:keepLines w:val="0"/>
              <w:pageBreakBefore w:val="0"/>
              <w:widowControl/>
              <w:kinsoku/>
              <w:wordWrap/>
              <w:overflowPunct/>
              <w:topLinePunct w:val="0"/>
              <w:autoSpaceDE/>
              <w:autoSpaceDN/>
              <w:bidi w:val="0"/>
              <w:spacing w:line="560" w:lineRule="exact"/>
              <w:jc w:val="both"/>
              <w:textAlignment w:val="center"/>
              <w:rPr>
                <w:rFonts w:hint="eastAsia" w:ascii="仿宋_GB2312" w:hAnsi="宋体" w:eastAsia="仿宋_GB2312" w:cs="仿宋_GB2312"/>
                <w:color w:val="auto"/>
                <w:kern w:val="0"/>
                <w:sz w:val="24"/>
                <w:szCs w:val="24"/>
                <w:highlight w:val="none"/>
                <w:u w:val="none"/>
                <w:vertAlign w:val="baseli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社区“两委”交叉任职比例（%）</w:t>
            </w:r>
          </w:p>
        </w:tc>
        <w:tc>
          <w:tcPr>
            <w:tcW w:w="1649" w:type="dxa"/>
            <w:vAlign w:val="center"/>
          </w:tcPr>
          <w:p w14:paraId="701CA952">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宋体" w:eastAsia="仿宋_GB2312" w:cs="仿宋_GB2312"/>
                <w:color w:val="auto"/>
                <w:kern w:val="0"/>
                <w:sz w:val="24"/>
                <w:szCs w:val="24"/>
                <w:highlight w:val="none"/>
                <w:u w:val="none"/>
                <w:vertAlign w:val="baseli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≥52</w:t>
            </w:r>
          </w:p>
        </w:tc>
        <w:tc>
          <w:tcPr>
            <w:tcW w:w="1569" w:type="dxa"/>
            <w:vAlign w:val="center"/>
          </w:tcPr>
          <w:p w14:paraId="2A943105">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宋体" w:eastAsia="仿宋_GB2312" w:cs="仿宋_GB2312"/>
                <w:color w:val="auto"/>
                <w:kern w:val="0"/>
                <w:sz w:val="24"/>
                <w:szCs w:val="24"/>
                <w:highlight w:val="none"/>
                <w:u w:val="none"/>
                <w:vertAlign w:val="baseli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预期性</w:t>
            </w:r>
          </w:p>
        </w:tc>
      </w:tr>
      <w:tr w14:paraId="3959F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 w:type="dxa"/>
          </w:tcPr>
          <w:p w14:paraId="54AEE3B1">
            <w:pPr>
              <w:pStyle w:val="2"/>
              <w:keepNext w:val="0"/>
              <w:keepLines w:val="0"/>
              <w:pageBreakBefore w:val="0"/>
              <w:kinsoku/>
              <w:wordWrap/>
              <w:overflowPunct/>
              <w:topLinePunct w:val="0"/>
              <w:autoSpaceDE/>
              <w:autoSpaceDN/>
              <w:bidi w:val="0"/>
              <w:spacing w:line="560" w:lineRule="exact"/>
              <w:jc w:val="center"/>
              <w:rPr>
                <w:rFonts w:hint="default" w:ascii="仿宋_GB2312" w:hAnsi="宋体" w:eastAsia="仿宋_GB2312" w:cs="仿宋_GB2312"/>
                <w:color w:val="auto"/>
                <w:kern w:val="0"/>
                <w:sz w:val="24"/>
                <w:szCs w:val="24"/>
                <w:highlight w:val="none"/>
                <w:u w:val="none"/>
                <w:vertAlign w:val="baseline"/>
                <w:lang w:val="en-US" w:eastAsia="zh-CN" w:bidi="ar"/>
              </w:rPr>
            </w:pPr>
            <w:r>
              <w:rPr>
                <w:rFonts w:hint="eastAsia" w:ascii="仿宋_GB2312" w:hAnsi="宋体" w:eastAsia="仿宋_GB2312" w:cs="仿宋_GB2312"/>
                <w:color w:val="auto"/>
                <w:kern w:val="0"/>
                <w:sz w:val="24"/>
                <w:szCs w:val="24"/>
                <w:highlight w:val="none"/>
                <w:u w:val="none"/>
                <w:vertAlign w:val="baseline"/>
                <w:lang w:val="en-US" w:eastAsia="zh-CN" w:bidi="ar"/>
              </w:rPr>
              <w:t>3</w:t>
            </w:r>
          </w:p>
        </w:tc>
        <w:tc>
          <w:tcPr>
            <w:tcW w:w="4381" w:type="dxa"/>
            <w:gridSpan w:val="2"/>
            <w:vAlign w:val="center"/>
          </w:tcPr>
          <w:p w14:paraId="431152D9">
            <w:pPr>
              <w:keepNext w:val="0"/>
              <w:keepLines w:val="0"/>
              <w:pageBreakBefore w:val="0"/>
              <w:widowControl/>
              <w:kinsoku/>
              <w:wordWrap/>
              <w:overflowPunct/>
              <w:topLinePunct w:val="0"/>
              <w:autoSpaceDE/>
              <w:autoSpaceDN/>
              <w:bidi w:val="0"/>
              <w:spacing w:line="560" w:lineRule="exact"/>
              <w:jc w:val="both"/>
              <w:textAlignment w:val="center"/>
              <w:rPr>
                <w:rFonts w:hint="eastAsia" w:ascii="仿宋_GB2312" w:hAnsi="宋体" w:eastAsia="仿宋_GB2312" w:cs="仿宋_GB2312"/>
                <w:color w:val="auto"/>
                <w:kern w:val="0"/>
                <w:sz w:val="24"/>
                <w:szCs w:val="24"/>
                <w:highlight w:val="none"/>
                <w:u w:val="none"/>
                <w:vertAlign w:val="baseli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社区“两委”“本地化”比例（%）</w:t>
            </w:r>
          </w:p>
        </w:tc>
        <w:tc>
          <w:tcPr>
            <w:tcW w:w="1649" w:type="dxa"/>
            <w:vAlign w:val="center"/>
          </w:tcPr>
          <w:p w14:paraId="739879C5">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宋体" w:eastAsia="仿宋_GB2312" w:cs="仿宋_GB2312"/>
                <w:color w:val="auto"/>
                <w:kern w:val="0"/>
                <w:sz w:val="24"/>
                <w:szCs w:val="24"/>
                <w:highlight w:val="none"/>
                <w:u w:val="none"/>
                <w:vertAlign w:val="baseli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≥50</w:t>
            </w:r>
          </w:p>
        </w:tc>
        <w:tc>
          <w:tcPr>
            <w:tcW w:w="1569" w:type="dxa"/>
            <w:vAlign w:val="center"/>
          </w:tcPr>
          <w:p w14:paraId="15368EC3">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宋体" w:eastAsia="仿宋_GB2312" w:cs="仿宋_GB2312"/>
                <w:color w:val="auto"/>
                <w:kern w:val="0"/>
                <w:sz w:val="24"/>
                <w:szCs w:val="24"/>
                <w:highlight w:val="none"/>
                <w:u w:val="none"/>
                <w:vertAlign w:val="baseli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预期性</w:t>
            </w:r>
          </w:p>
        </w:tc>
      </w:tr>
      <w:tr w14:paraId="30956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 w:type="dxa"/>
          </w:tcPr>
          <w:p w14:paraId="19FEF2B9">
            <w:pPr>
              <w:pStyle w:val="2"/>
              <w:keepNext w:val="0"/>
              <w:keepLines w:val="0"/>
              <w:pageBreakBefore w:val="0"/>
              <w:kinsoku/>
              <w:wordWrap/>
              <w:overflowPunct/>
              <w:topLinePunct w:val="0"/>
              <w:autoSpaceDE/>
              <w:autoSpaceDN/>
              <w:bidi w:val="0"/>
              <w:spacing w:line="560" w:lineRule="exact"/>
              <w:jc w:val="center"/>
              <w:rPr>
                <w:rFonts w:hint="default" w:ascii="仿宋_GB2312" w:hAnsi="宋体" w:eastAsia="仿宋_GB2312" w:cs="仿宋_GB2312"/>
                <w:color w:val="auto"/>
                <w:kern w:val="0"/>
                <w:sz w:val="24"/>
                <w:szCs w:val="24"/>
                <w:highlight w:val="none"/>
                <w:u w:val="none"/>
                <w:vertAlign w:val="baseline"/>
                <w:lang w:val="en-US" w:eastAsia="zh-CN" w:bidi="ar"/>
              </w:rPr>
            </w:pPr>
            <w:r>
              <w:rPr>
                <w:rFonts w:hint="eastAsia" w:ascii="仿宋_GB2312" w:hAnsi="宋体" w:eastAsia="仿宋_GB2312" w:cs="仿宋_GB2312"/>
                <w:color w:val="auto"/>
                <w:kern w:val="0"/>
                <w:sz w:val="24"/>
                <w:szCs w:val="24"/>
                <w:highlight w:val="none"/>
                <w:u w:val="none"/>
                <w:vertAlign w:val="baseline"/>
                <w:lang w:val="en-US" w:eastAsia="zh-CN" w:bidi="ar"/>
              </w:rPr>
              <w:t>4</w:t>
            </w:r>
          </w:p>
        </w:tc>
        <w:tc>
          <w:tcPr>
            <w:tcW w:w="4381" w:type="dxa"/>
            <w:gridSpan w:val="2"/>
            <w:vAlign w:val="center"/>
          </w:tcPr>
          <w:p w14:paraId="2C96ADCB">
            <w:pPr>
              <w:keepNext w:val="0"/>
              <w:keepLines w:val="0"/>
              <w:pageBreakBefore w:val="0"/>
              <w:widowControl/>
              <w:kinsoku/>
              <w:wordWrap/>
              <w:overflowPunct/>
              <w:topLinePunct w:val="0"/>
              <w:autoSpaceDE/>
              <w:autoSpaceDN/>
              <w:bidi w:val="0"/>
              <w:spacing w:line="560" w:lineRule="exact"/>
              <w:jc w:val="both"/>
              <w:textAlignment w:val="center"/>
              <w:rPr>
                <w:rFonts w:hint="eastAsia" w:ascii="仿宋_GB2312" w:hAnsi="宋体" w:eastAsia="仿宋_GB2312" w:cs="仿宋_GB2312"/>
                <w:color w:val="auto"/>
                <w:kern w:val="0"/>
                <w:sz w:val="24"/>
                <w:szCs w:val="24"/>
                <w:highlight w:val="none"/>
                <w:u w:val="none"/>
                <w:vertAlign w:val="baseli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获得社会工作者职业水平证书的社区工作者（人）</w:t>
            </w:r>
          </w:p>
        </w:tc>
        <w:tc>
          <w:tcPr>
            <w:tcW w:w="1649" w:type="dxa"/>
            <w:vAlign w:val="center"/>
          </w:tcPr>
          <w:p w14:paraId="75620D32">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宋体" w:eastAsia="仿宋_GB2312" w:cs="仿宋_GB2312"/>
                <w:color w:val="auto"/>
                <w:kern w:val="0"/>
                <w:sz w:val="24"/>
                <w:szCs w:val="24"/>
                <w:highlight w:val="none"/>
                <w:u w:val="none"/>
                <w:vertAlign w:val="baseli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≥1</w:t>
            </w:r>
            <w:r>
              <w:rPr>
                <w:rFonts w:hint="default" w:ascii="仿宋_GB2312" w:hAnsi="宋体" w:eastAsia="仿宋_GB2312" w:cs="仿宋_GB2312"/>
                <w:i w:val="0"/>
                <w:iCs w:val="0"/>
                <w:color w:val="auto"/>
                <w:kern w:val="0"/>
                <w:sz w:val="24"/>
                <w:szCs w:val="24"/>
                <w:highlight w:val="none"/>
                <w:u w:val="none"/>
                <w:lang w:val="en" w:eastAsia="zh-CN" w:bidi="ar"/>
              </w:rPr>
              <w:t>5</w:t>
            </w:r>
            <w:r>
              <w:rPr>
                <w:rFonts w:hint="eastAsia" w:ascii="仿宋_GB2312" w:hAnsi="宋体" w:eastAsia="仿宋_GB2312" w:cs="仿宋_GB2312"/>
                <w:i w:val="0"/>
                <w:iCs w:val="0"/>
                <w:color w:val="auto"/>
                <w:kern w:val="0"/>
                <w:sz w:val="24"/>
                <w:szCs w:val="24"/>
                <w:highlight w:val="none"/>
                <w:u w:val="none"/>
                <w:lang w:val="en-US" w:eastAsia="zh-CN" w:bidi="ar"/>
              </w:rPr>
              <w:t>00</w:t>
            </w:r>
          </w:p>
        </w:tc>
        <w:tc>
          <w:tcPr>
            <w:tcW w:w="1569" w:type="dxa"/>
            <w:vAlign w:val="center"/>
          </w:tcPr>
          <w:p w14:paraId="2B2C6F12">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宋体" w:eastAsia="仿宋_GB2312" w:cs="仿宋_GB2312"/>
                <w:color w:val="auto"/>
                <w:kern w:val="0"/>
                <w:sz w:val="24"/>
                <w:szCs w:val="24"/>
                <w:highlight w:val="none"/>
                <w:u w:val="none"/>
                <w:vertAlign w:val="baseli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预期性</w:t>
            </w:r>
          </w:p>
        </w:tc>
      </w:tr>
      <w:tr w14:paraId="1CE96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 w:type="dxa"/>
          </w:tcPr>
          <w:p w14:paraId="47282D36">
            <w:pPr>
              <w:pStyle w:val="2"/>
              <w:keepNext w:val="0"/>
              <w:keepLines w:val="0"/>
              <w:pageBreakBefore w:val="0"/>
              <w:kinsoku/>
              <w:wordWrap/>
              <w:overflowPunct/>
              <w:topLinePunct w:val="0"/>
              <w:autoSpaceDE/>
              <w:autoSpaceDN/>
              <w:bidi w:val="0"/>
              <w:spacing w:line="560" w:lineRule="exact"/>
              <w:jc w:val="center"/>
              <w:rPr>
                <w:rFonts w:hint="default" w:ascii="仿宋_GB2312" w:hAnsi="宋体" w:eastAsia="仿宋_GB2312" w:cs="仿宋_GB2312"/>
                <w:color w:val="auto"/>
                <w:kern w:val="0"/>
                <w:sz w:val="24"/>
                <w:szCs w:val="24"/>
                <w:highlight w:val="none"/>
                <w:u w:val="none"/>
                <w:vertAlign w:val="baseline"/>
                <w:lang w:val="en-US" w:eastAsia="zh-CN" w:bidi="ar"/>
              </w:rPr>
            </w:pPr>
            <w:r>
              <w:rPr>
                <w:rFonts w:hint="eastAsia" w:ascii="仿宋_GB2312" w:hAnsi="宋体" w:eastAsia="仿宋_GB2312" w:cs="仿宋_GB2312"/>
                <w:color w:val="auto"/>
                <w:kern w:val="0"/>
                <w:sz w:val="24"/>
                <w:szCs w:val="24"/>
                <w:highlight w:val="none"/>
                <w:u w:val="none"/>
                <w:vertAlign w:val="baseline"/>
                <w:lang w:val="en-US" w:eastAsia="zh-CN" w:bidi="ar"/>
              </w:rPr>
              <w:t>5</w:t>
            </w:r>
          </w:p>
        </w:tc>
        <w:tc>
          <w:tcPr>
            <w:tcW w:w="4381" w:type="dxa"/>
            <w:gridSpan w:val="2"/>
            <w:vAlign w:val="center"/>
          </w:tcPr>
          <w:p w14:paraId="3EF744C7">
            <w:pPr>
              <w:keepNext w:val="0"/>
              <w:keepLines w:val="0"/>
              <w:pageBreakBefore w:val="0"/>
              <w:widowControl/>
              <w:kinsoku/>
              <w:wordWrap/>
              <w:overflowPunct/>
              <w:topLinePunct w:val="0"/>
              <w:autoSpaceDE/>
              <w:autoSpaceDN/>
              <w:bidi w:val="0"/>
              <w:spacing w:line="560" w:lineRule="exact"/>
              <w:jc w:val="both"/>
              <w:textAlignment w:val="center"/>
              <w:rPr>
                <w:rFonts w:hint="eastAsia" w:ascii="仿宋_GB2312" w:hAnsi="宋体" w:eastAsia="仿宋_GB2312" w:cs="仿宋_GB2312"/>
                <w:color w:val="auto"/>
                <w:kern w:val="0"/>
                <w:sz w:val="24"/>
                <w:szCs w:val="24"/>
                <w:highlight w:val="none"/>
                <w:u w:val="none"/>
                <w:vertAlign w:val="baseli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实名注册志愿者动态人数占常住人口比例（%）</w:t>
            </w:r>
          </w:p>
        </w:tc>
        <w:tc>
          <w:tcPr>
            <w:tcW w:w="1649" w:type="dxa"/>
            <w:vAlign w:val="center"/>
          </w:tcPr>
          <w:p w14:paraId="6AD813D7">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宋体" w:eastAsia="仿宋_GB2312" w:cs="仿宋_GB2312"/>
                <w:color w:val="auto"/>
                <w:kern w:val="0"/>
                <w:sz w:val="24"/>
                <w:szCs w:val="24"/>
                <w:highlight w:val="none"/>
                <w:u w:val="none"/>
                <w:vertAlign w:val="baseli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≥30</w:t>
            </w:r>
          </w:p>
        </w:tc>
        <w:tc>
          <w:tcPr>
            <w:tcW w:w="1569" w:type="dxa"/>
            <w:vAlign w:val="center"/>
          </w:tcPr>
          <w:p w14:paraId="73BF5B61">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宋体" w:eastAsia="仿宋_GB2312" w:cs="仿宋_GB2312"/>
                <w:color w:val="auto"/>
                <w:kern w:val="0"/>
                <w:sz w:val="24"/>
                <w:szCs w:val="24"/>
                <w:highlight w:val="none"/>
                <w:u w:val="none"/>
                <w:vertAlign w:val="baseli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预期性</w:t>
            </w:r>
          </w:p>
        </w:tc>
      </w:tr>
      <w:tr w14:paraId="133D8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 w:type="dxa"/>
          </w:tcPr>
          <w:p w14:paraId="6F7BB73D">
            <w:pPr>
              <w:pStyle w:val="2"/>
              <w:keepNext w:val="0"/>
              <w:keepLines w:val="0"/>
              <w:pageBreakBefore w:val="0"/>
              <w:kinsoku/>
              <w:wordWrap/>
              <w:overflowPunct/>
              <w:topLinePunct w:val="0"/>
              <w:autoSpaceDE/>
              <w:autoSpaceDN/>
              <w:bidi w:val="0"/>
              <w:spacing w:line="560" w:lineRule="exact"/>
              <w:jc w:val="center"/>
              <w:rPr>
                <w:rFonts w:hint="default" w:ascii="仿宋_GB2312" w:hAnsi="宋体" w:eastAsia="仿宋_GB2312" w:cs="仿宋_GB2312"/>
                <w:color w:val="auto"/>
                <w:kern w:val="0"/>
                <w:sz w:val="24"/>
                <w:szCs w:val="24"/>
                <w:highlight w:val="none"/>
                <w:u w:val="none"/>
                <w:vertAlign w:val="baseline"/>
                <w:lang w:val="en-US" w:eastAsia="zh-CN" w:bidi="ar"/>
              </w:rPr>
            </w:pPr>
            <w:r>
              <w:rPr>
                <w:rFonts w:hint="eastAsia" w:ascii="仿宋_GB2312" w:hAnsi="宋体" w:eastAsia="仿宋_GB2312" w:cs="仿宋_GB2312"/>
                <w:color w:val="auto"/>
                <w:kern w:val="0"/>
                <w:sz w:val="24"/>
                <w:szCs w:val="24"/>
                <w:highlight w:val="none"/>
                <w:u w:val="none"/>
                <w:vertAlign w:val="baseline"/>
                <w:lang w:val="en-US" w:eastAsia="zh-CN" w:bidi="ar"/>
              </w:rPr>
              <w:t>6</w:t>
            </w:r>
          </w:p>
        </w:tc>
        <w:tc>
          <w:tcPr>
            <w:tcW w:w="4381" w:type="dxa"/>
            <w:gridSpan w:val="2"/>
            <w:vAlign w:val="center"/>
          </w:tcPr>
          <w:p w14:paraId="09691AE3">
            <w:pPr>
              <w:keepNext w:val="0"/>
              <w:keepLines w:val="0"/>
              <w:pageBreakBefore w:val="0"/>
              <w:widowControl/>
              <w:kinsoku/>
              <w:wordWrap/>
              <w:overflowPunct/>
              <w:topLinePunct w:val="0"/>
              <w:autoSpaceDE/>
              <w:autoSpaceDN/>
              <w:bidi w:val="0"/>
              <w:spacing w:line="560" w:lineRule="exact"/>
              <w:jc w:val="both"/>
              <w:textAlignment w:val="center"/>
              <w:rPr>
                <w:rFonts w:hint="eastAsia" w:ascii="仿宋_GB2312" w:hAnsi="宋体" w:eastAsia="仿宋_GB2312" w:cs="仿宋_GB2312"/>
                <w:color w:val="auto"/>
                <w:kern w:val="0"/>
                <w:sz w:val="24"/>
                <w:szCs w:val="24"/>
                <w:highlight w:val="none"/>
                <w:u w:val="none"/>
                <w:vertAlign w:val="baseli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有服务时长记录志愿者人数占实名注册志愿者比例（%）</w:t>
            </w:r>
          </w:p>
        </w:tc>
        <w:tc>
          <w:tcPr>
            <w:tcW w:w="1649" w:type="dxa"/>
            <w:vAlign w:val="center"/>
          </w:tcPr>
          <w:p w14:paraId="786687B4">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宋体" w:eastAsia="仿宋_GB2312" w:cs="仿宋_GB2312"/>
                <w:color w:val="auto"/>
                <w:kern w:val="0"/>
                <w:sz w:val="24"/>
                <w:szCs w:val="24"/>
                <w:highlight w:val="none"/>
                <w:u w:val="none"/>
                <w:vertAlign w:val="baseli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≥86</w:t>
            </w:r>
          </w:p>
        </w:tc>
        <w:tc>
          <w:tcPr>
            <w:tcW w:w="1569" w:type="dxa"/>
            <w:vAlign w:val="center"/>
          </w:tcPr>
          <w:p w14:paraId="44D9EE09">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宋体" w:eastAsia="仿宋_GB2312" w:cs="仿宋_GB2312"/>
                <w:color w:val="auto"/>
                <w:kern w:val="0"/>
                <w:sz w:val="24"/>
                <w:szCs w:val="24"/>
                <w:highlight w:val="none"/>
                <w:u w:val="none"/>
                <w:vertAlign w:val="baseli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预期性</w:t>
            </w:r>
          </w:p>
        </w:tc>
      </w:tr>
      <w:tr w14:paraId="6FA2B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 w:type="dxa"/>
          </w:tcPr>
          <w:p w14:paraId="6A60E9A0">
            <w:pPr>
              <w:pStyle w:val="2"/>
              <w:keepNext w:val="0"/>
              <w:keepLines w:val="0"/>
              <w:pageBreakBefore w:val="0"/>
              <w:kinsoku/>
              <w:wordWrap/>
              <w:overflowPunct/>
              <w:topLinePunct w:val="0"/>
              <w:autoSpaceDE/>
              <w:autoSpaceDN/>
              <w:bidi w:val="0"/>
              <w:spacing w:line="560" w:lineRule="exact"/>
              <w:jc w:val="center"/>
              <w:rPr>
                <w:rFonts w:hint="default" w:ascii="仿宋_GB2312" w:hAnsi="宋体" w:eastAsia="仿宋_GB2312" w:cs="仿宋_GB2312"/>
                <w:color w:val="auto"/>
                <w:kern w:val="0"/>
                <w:sz w:val="24"/>
                <w:szCs w:val="24"/>
                <w:highlight w:val="none"/>
                <w:u w:val="none"/>
                <w:vertAlign w:val="baseline"/>
                <w:lang w:val="en-US" w:eastAsia="zh-CN" w:bidi="ar"/>
              </w:rPr>
            </w:pPr>
            <w:r>
              <w:rPr>
                <w:rFonts w:hint="eastAsia" w:ascii="仿宋_GB2312" w:hAnsi="宋体" w:eastAsia="仿宋_GB2312" w:cs="仿宋_GB2312"/>
                <w:color w:val="auto"/>
                <w:kern w:val="0"/>
                <w:sz w:val="24"/>
                <w:szCs w:val="24"/>
                <w:highlight w:val="none"/>
                <w:u w:val="none"/>
                <w:vertAlign w:val="baseline"/>
                <w:lang w:val="en-US" w:eastAsia="zh-CN" w:bidi="ar"/>
              </w:rPr>
              <w:t>7</w:t>
            </w:r>
          </w:p>
        </w:tc>
        <w:tc>
          <w:tcPr>
            <w:tcW w:w="4381" w:type="dxa"/>
            <w:gridSpan w:val="2"/>
            <w:vAlign w:val="center"/>
          </w:tcPr>
          <w:p w14:paraId="53C828D5">
            <w:pPr>
              <w:keepNext w:val="0"/>
              <w:keepLines w:val="0"/>
              <w:pageBreakBefore w:val="0"/>
              <w:widowControl/>
              <w:kinsoku/>
              <w:wordWrap/>
              <w:overflowPunct/>
              <w:topLinePunct w:val="0"/>
              <w:autoSpaceDE/>
              <w:autoSpaceDN/>
              <w:bidi w:val="0"/>
              <w:spacing w:line="560" w:lineRule="exact"/>
              <w:jc w:val="both"/>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城镇调查失业率（%）</w:t>
            </w:r>
          </w:p>
        </w:tc>
        <w:tc>
          <w:tcPr>
            <w:tcW w:w="1649" w:type="dxa"/>
            <w:vAlign w:val="center"/>
          </w:tcPr>
          <w:p w14:paraId="16466CEC">
            <w:pPr>
              <w:keepNext w:val="0"/>
              <w:keepLines w:val="0"/>
              <w:pageBreakBefore w:val="0"/>
              <w:widowControl/>
              <w:kinsoku/>
              <w:wordWrap/>
              <w:overflowPunct/>
              <w:topLinePunct w:val="0"/>
              <w:autoSpaceDE/>
              <w:autoSpaceDN/>
              <w:bidi w:val="0"/>
              <w:spacing w:line="560" w:lineRule="exact"/>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&lt;5</w:t>
            </w:r>
          </w:p>
        </w:tc>
        <w:tc>
          <w:tcPr>
            <w:tcW w:w="1569" w:type="dxa"/>
            <w:vAlign w:val="center"/>
          </w:tcPr>
          <w:p w14:paraId="72363407">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预期性</w:t>
            </w:r>
          </w:p>
        </w:tc>
      </w:tr>
      <w:tr w14:paraId="7192B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 w:type="dxa"/>
          </w:tcPr>
          <w:p w14:paraId="62195774">
            <w:pPr>
              <w:pStyle w:val="2"/>
              <w:keepNext w:val="0"/>
              <w:keepLines w:val="0"/>
              <w:pageBreakBefore w:val="0"/>
              <w:kinsoku/>
              <w:wordWrap/>
              <w:overflowPunct/>
              <w:topLinePunct w:val="0"/>
              <w:autoSpaceDE/>
              <w:autoSpaceDN/>
              <w:bidi w:val="0"/>
              <w:spacing w:line="560" w:lineRule="exact"/>
              <w:jc w:val="center"/>
              <w:rPr>
                <w:rFonts w:hint="default" w:ascii="仿宋_GB2312" w:hAnsi="宋体" w:eastAsia="仿宋_GB2312" w:cs="仿宋_GB2312"/>
                <w:color w:val="auto"/>
                <w:kern w:val="0"/>
                <w:sz w:val="24"/>
                <w:szCs w:val="24"/>
                <w:highlight w:val="none"/>
                <w:u w:val="none"/>
                <w:vertAlign w:val="baseline"/>
                <w:lang w:val="en-US" w:eastAsia="zh-CN" w:bidi="ar"/>
              </w:rPr>
            </w:pPr>
            <w:r>
              <w:rPr>
                <w:rFonts w:hint="eastAsia" w:ascii="仿宋_GB2312" w:hAnsi="宋体" w:eastAsia="仿宋_GB2312" w:cs="仿宋_GB2312"/>
                <w:color w:val="auto"/>
                <w:kern w:val="0"/>
                <w:sz w:val="24"/>
                <w:szCs w:val="24"/>
                <w:highlight w:val="none"/>
                <w:u w:val="none"/>
                <w:vertAlign w:val="baseline"/>
                <w:lang w:val="en-US" w:eastAsia="zh-CN" w:bidi="ar"/>
              </w:rPr>
              <w:t>8</w:t>
            </w:r>
          </w:p>
        </w:tc>
        <w:tc>
          <w:tcPr>
            <w:tcW w:w="4381" w:type="dxa"/>
            <w:gridSpan w:val="2"/>
            <w:vAlign w:val="center"/>
          </w:tcPr>
          <w:p w14:paraId="382D2755">
            <w:pPr>
              <w:keepNext w:val="0"/>
              <w:keepLines w:val="0"/>
              <w:pageBreakBefore w:val="0"/>
              <w:widowControl/>
              <w:kinsoku/>
              <w:wordWrap/>
              <w:overflowPunct/>
              <w:topLinePunct w:val="0"/>
              <w:autoSpaceDE/>
              <w:autoSpaceDN/>
              <w:bidi w:val="0"/>
              <w:spacing w:line="560" w:lineRule="exact"/>
              <w:jc w:val="both"/>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养老机构护理型床位占比（%）</w:t>
            </w:r>
          </w:p>
        </w:tc>
        <w:tc>
          <w:tcPr>
            <w:tcW w:w="1649" w:type="dxa"/>
            <w:vAlign w:val="center"/>
          </w:tcPr>
          <w:p w14:paraId="13F32E6A">
            <w:pPr>
              <w:keepNext w:val="0"/>
              <w:keepLines w:val="0"/>
              <w:pageBreakBefore w:val="0"/>
              <w:widowControl/>
              <w:kinsoku/>
              <w:wordWrap/>
              <w:overflowPunct/>
              <w:topLinePunct w:val="0"/>
              <w:autoSpaceDE/>
              <w:autoSpaceDN/>
              <w:bidi w:val="0"/>
              <w:spacing w:line="560" w:lineRule="exact"/>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75</w:t>
            </w:r>
          </w:p>
        </w:tc>
        <w:tc>
          <w:tcPr>
            <w:tcW w:w="1569" w:type="dxa"/>
            <w:vAlign w:val="center"/>
          </w:tcPr>
          <w:p w14:paraId="4276D297">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预期性</w:t>
            </w:r>
          </w:p>
        </w:tc>
      </w:tr>
      <w:tr w14:paraId="61972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 w:type="dxa"/>
          </w:tcPr>
          <w:p w14:paraId="0DBCD3A3">
            <w:pPr>
              <w:pStyle w:val="2"/>
              <w:keepNext w:val="0"/>
              <w:keepLines w:val="0"/>
              <w:pageBreakBefore w:val="0"/>
              <w:kinsoku/>
              <w:wordWrap/>
              <w:overflowPunct/>
              <w:topLinePunct w:val="0"/>
              <w:autoSpaceDE/>
              <w:autoSpaceDN/>
              <w:bidi w:val="0"/>
              <w:spacing w:line="560" w:lineRule="exact"/>
              <w:jc w:val="center"/>
              <w:rPr>
                <w:rFonts w:hint="default" w:ascii="仿宋_GB2312" w:hAnsi="宋体" w:eastAsia="仿宋_GB2312" w:cs="仿宋_GB2312"/>
                <w:color w:val="auto"/>
                <w:kern w:val="0"/>
                <w:sz w:val="24"/>
                <w:szCs w:val="24"/>
                <w:highlight w:val="none"/>
                <w:u w:val="none"/>
                <w:vertAlign w:val="baseline"/>
                <w:lang w:val="en-US" w:eastAsia="zh-CN" w:bidi="ar"/>
              </w:rPr>
            </w:pPr>
            <w:r>
              <w:rPr>
                <w:rFonts w:hint="eastAsia" w:ascii="仿宋_GB2312" w:hAnsi="宋体" w:eastAsia="仿宋_GB2312" w:cs="仿宋_GB2312"/>
                <w:color w:val="auto"/>
                <w:kern w:val="0"/>
                <w:sz w:val="24"/>
                <w:szCs w:val="24"/>
                <w:highlight w:val="none"/>
                <w:u w:val="none"/>
                <w:vertAlign w:val="baseline"/>
                <w:lang w:val="en-US" w:eastAsia="zh-CN" w:bidi="ar"/>
              </w:rPr>
              <w:t>9</w:t>
            </w:r>
          </w:p>
        </w:tc>
        <w:tc>
          <w:tcPr>
            <w:tcW w:w="4381" w:type="dxa"/>
            <w:gridSpan w:val="2"/>
            <w:vAlign w:val="center"/>
          </w:tcPr>
          <w:p w14:paraId="7F0D0001">
            <w:pPr>
              <w:keepNext w:val="0"/>
              <w:keepLines w:val="0"/>
              <w:pageBreakBefore w:val="0"/>
              <w:widowControl/>
              <w:kinsoku/>
              <w:wordWrap/>
              <w:overflowPunct/>
              <w:topLinePunct w:val="0"/>
              <w:autoSpaceDE/>
              <w:autoSpaceDN/>
              <w:bidi w:val="0"/>
              <w:spacing w:line="560" w:lineRule="exact"/>
              <w:jc w:val="both"/>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3岁以下婴幼儿入托率（%）</w:t>
            </w:r>
          </w:p>
        </w:tc>
        <w:tc>
          <w:tcPr>
            <w:tcW w:w="1649" w:type="dxa"/>
            <w:vAlign w:val="center"/>
          </w:tcPr>
          <w:p w14:paraId="5C286A0D">
            <w:pPr>
              <w:keepNext w:val="0"/>
              <w:keepLines w:val="0"/>
              <w:pageBreakBefore w:val="0"/>
              <w:widowControl/>
              <w:kinsoku/>
              <w:wordWrap/>
              <w:overflowPunct/>
              <w:topLinePunct w:val="0"/>
              <w:autoSpaceDE/>
              <w:autoSpaceDN/>
              <w:bidi w:val="0"/>
              <w:spacing w:line="560" w:lineRule="exact"/>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25左右</w:t>
            </w:r>
          </w:p>
        </w:tc>
        <w:tc>
          <w:tcPr>
            <w:tcW w:w="1569" w:type="dxa"/>
            <w:vAlign w:val="center"/>
          </w:tcPr>
          <w:p w14:paraId="64560E2D">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预期性</w:t>
            </w:r>
          </w:p>
        </w:tc>
      </w:tr>
      <w:tr w14:paraId="67B2B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 w:type="dxa"/>
          </w:tcPr>
          <w:p w14:paraId="47B8913C">
            <w:pPr>
              <w:pStyle w:val="2"/>
              <w:keepNext w:val="0"/>
              <w:keepLines w:val="0"/>
              <w:pageBreakBefore w:val="0"/>
              <w:kinsoku/>
              <w:wordWrap/>
              <w:overflowPunct/>
              <w:topLinePunct w:val="0"/>
              <w:autoSpaceDE/>
              <w:autoSpaceDN/>
              <w:bidi w:val="0"/>
              <w:spacing w:line="560" w:lineRule="exact"/>
              <w:jc w:val="center"/>
              <w:rPr>
                <w:rFonts w:hint="default" w:ascii="仿宋_GB2312" w:hAnsi="宋体" w:eastAsia="仿宋_GB2312" w:cs="仿宋_GB2312"/>
                <w:color w:val="auto"/>
                <w:kern w:val="0"/>
                <w:sz w:val="24"/>
                <w:szCs w:val="24"/>
                <w:highlight w:val="none"/>
                <w:u w:val="none"/>
                <w:vertAlign w:val="baseline"/>
                <w:lang w:val="en-US" w:eastAsia="zh-CN" w:bidi="ar"/>
              </w:rPr>
            </w:pPr>
            <w:r>
              <w:rPr>
                <w:rFonts w:hint="eastAsia" w:ascii="仿宋_GB2312" w:hAnsi="宋体" w:eastAsia="仿宋_GB2312" w:cs="仿宋_GB2312"/>
                <w:color w:val="auto"/>
                <w:kern w:val="0"/>
                <w:sz w:val="24"/>
                <w:szCs w:val="24"/>
                <w:highlight w:val="none"/>
                <w:u w:val="none"/>
                <w:vertAlign w:val="baseline"/>
                <w:lang w:val="en-US" w:eastAsia="zh-CN" w:bidi="ar"/>
              </w:rPr>
              <w:t>10</w:t>
            </w:r>
          </w:p>
        </w:tc>
        <w:tc>
          <w:tcPr>
            <w:tcW w:w="4381" w:type="dxa"/>
            <w:gridSpan w:val="2"/>
            <w:vAlign w:val="center"/>
          </w:tcPr>
          <w:p w14:paraId="0A856373">
            <w:pPr>
              <w:keepNext w:val="0"/>
              <w:keepLines w:val="0"/>
              <w:pageBreakBefore w:val="0"/>
              <w:widowControl/>
              <w:kinsoku/>
              <w:wordWrap/>
              <w:overflowPunct/>
              <w:topLinePunct w:val="0"/>
              <w:autoSpaceDE/>
              <w:autoSpaceDN/>
              <w:bidi w:val="0"/>
              <w:spacing w:line="560" w:lineRule="exact"/>
              <w:jc w:val="both"/>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生活垃圾回收利用率（%）</w:t>
            </w:r>
          </w:p>
        </w:tc>
        <w:tc>
          <w:tcPr>
            <w:tcW w:w="1649" w:type="dxa"/>
            <w:vAlign w:val="center"/>
          </w:tcPr>
          <w:p w14:paraId="787876D3">
            <w:pPr>
              <w:keepNext w:val="0"/>
              <w:keepLines w:val="0"/>
              <w:pageBreakBefore w:val="0"/>
              <w:widowControl/>
              <w:kinsoku/>
              <w:wordWrap/>
              <w:overflowPunct/>
              <w:topLinePunct w:val="0"/>
              <w:autoSpaceDE/>
              <w:autoSpaceDN/>
              <w:bidi w:val="0"/>
              <w:spacing w:line="560" w:lineRule="exact"/>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&gt;46</w:t>
            </w:r>
          </w:p>
        </w:tc>
        <w:tc>
          <w:tcPr>
            <w:tcW w:w="1569" w:type="dxa"/>
            <w:vAlign w:val="center"/>
          </w:tcPr>
          <w:p w14:paraId="1D6C70B9">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约束性</w:t>
            </w:r>
          </w:p>
        </w:tc>
      </w:tr>
      <w:tr w14:paraId="2A44A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920" w:type="dxa"/>
          </w:tcPr>
          <w:p w14:paraId="2B6BFC59">
            <w:pPr>
              <w:pStyle w:val="2"/>
              <w:keepNext w:val="0"/>
              <w:keepLines w:val="0"/>
              <w:pageBreakBefore w:val="0"/>
              <w:kinsoku/>
              <w:wordWrap/>
              <w:overflowPunct/>
              <w:topLinePunct w:val="0"/>
              <w:autoSpaceDE/>
              <w:autoSpaceDN/>
              <w:bidi w:val="0"/>
              <w:spacing w:line="560" w:lineRule="exact"/>
              <w:jc w:val="center"/>
              <w:rPr>
                <w:rFonts w:hint="default" w:ascii="仿宋_GB2312" w:hAnsi="宋体" w:eastAsia="仿宋_GB2312" w:cs="仿宋_GB2312"/>
                <w:color w:val="auto"/>
                <w:kern w:val="0"/>
                <w:sz w:val="24"/>
                <w:szCs w:val="24"/>
                <w:highlight w:val="none"/>
                <w:u w:val="none"/>
                <w:vertAlign w:val="baseline"/>
                <w:lang w:val="en-US" w:eastAsia="zh-CN" w:bidi="ar"/>
              </w:rPr>
            </w:pPr>
            <w:r>
              <w:rPr>
                <w:rFonts w:hint="eastAsia" w:ascii="仿宋_GB2312" w:hAnsi="宋体" w:eastAsia="仿宋_GB2312" w:cs="仿宋_GB2312"/>
                <w:color w:val="auto"/>
                <w:kern w:val="0"/>
                <w:sz w:val="24"/>
                <w:szCs w:val="24"/>
                <w:highlight w:val="none"/>
                <w:u w:val="none"/>
                <w:vertAlign w:val="baseline"/>
                <w:lang w:val="en-US" w:eastAsia="zh-CN" w:bidi="ar"/>
              </w:rPr>
              <w:t>11</w:t>
            </w:r>
          </w:p>
        </w:tc>
        <w:tc>
          <w:tcPr>
            <w:tcW w:w="4381" w:type="dxa"/>
            <w:gridSpan w:val="2"/>
            <w:vAlign w:val="center"/>
          </w:tcPr>
          <w:p w14:paraId="35EE2FE6">
            <w:pPr>
              <w:keepNext w:val="0"/>
              <w:keepLines w:val="0"/>
              <w:pageBreakBefore w:val="0"/>
              <w:widowControl/>
              <w:kinsoku/>
              <w:wordWrap/>
              <w:overflowPunct/>
              <w:topLinePunct w:val="0"/>
              <w:autoSpaceDE/>
              <w:autoSpaceDN/>
              <w:bidi w:val="0"/>
              <w:spacing w:line="560" w:lineRule="exact"/>
              <w:jc w:val="both"/>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人均接受文化场馆服务次数（人次）</w:t>
            </w:r>
          </w:p>
        </w:tc>
        <w:tc>
          <w:tcPr>
            <w:tcW w:w="1649" w:type="dxa"/>
            <w:vAlign w:val="center"/>
          </w:tcPr>
          <w:p w14:paraId="4B4AE9D8">
            <w:pPr>
              <w:keepNext w:val="0"/>
              <w:keepLines w:val="0"/>
              <w:pageBreakBefore w:val="0"/>
              <w:widowControl/>
              <w:kinsoku/>
              <w:wordWrap/>
              <w:overflowPunct/>
              <w:topLinePunct w:val="0"/>
              <w:autoSpaceDE/>
              <w:autoSpaceDN/>
              <w:bidi w:val="0"/>
              <w:spacing w:line="560" w:lineRule="exact"/>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达市级要求</w:t>
            </w:r>
          </w:p>
        </w:tc>
        <w:tc>
          <w:tcPr>
            <w:tcW w:w="1569" w:type="dxa"/>
            <w:vAlign w:val="center"/>
          </w:tcPr>
          <w:p w14:paraId="6EBA1189">
            <w:pPr>
              <w:keepNext w:val="0"/>
              <w:keepLines w:val="0"/>
              <w:pageBreakBefore w:val="0"/>
              <w:widowControl/>
              <w:kinsoku/>
              <w:wordWrap/>
              <w:overflowPunct/>
              <w:topLinePunct w:val="0"/>
              <w:autoSpaceDE/>
              <w:autoSpaceDN/>
              <w:bidi w:val="0"/>
              <w:spacing w:line="560" w:lineRule="exact"/>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预期性</w:t>
            </w:r>
          </w:p>
        </w:tc>
      </w:tr>
      <w:tr w14:paraId="75290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 w:type="dxa"/>
            <w:vMerge w:val="restart"/>
            <w:vAlign w:val="center"/>
          </w:tcPr>
          <w:p w14:paraId="4D5C0DE5">
            <w:pPr>
              <w:pStyle w:val="2"/>
              <w:keepNext w:val="0"/>
              <w:keepLines w:val="0"/>
              <w:pageBreakBefore w:val="0"/>
              <w:kinsoku/>
              <w:wordWrap/>
              <w:overflowPunct/>
              <w:topLinePunct w:val="0"/>
              <w:autoSpaceDE/>
              <w:autoSpaceDN/>
              <w:bidi w:val="0"/>
              <w:spacing w:line="560" w:lineRule="exact"/>
              <w:jc w:val="center"/>
              <w:rPr>
                <w:rFonts w:hint="default" w:ascii="仿宋_GB2312" w:hAnsi="仿宋_GB2312" w:eastAsia="仿宋_GB2312" w:cs="仿宋_GB2312"/>
                <w:color w:val="auto"/>
                <w:sz w:val="32"/>
                <w:szCs w:val="32"/>
                <w:highlight w:val="none"/>
                <w:vertAlign w:val="baseline"/>
                <w:lang w:val="en-US" w:eastAsia="zh-CN"/>
              </w:rPr>
            </w:pPr>
            <w:r>
              <w:rPr>
                <w:rFonts w:hint="eastAsia" w:ascii="仿宋_GB2312" w:hAnsi="宋体" w:eastAsia="仿宋_GB2312" w:cs="仿宋_GB2312"/>
                <w:color w:val="auto"/>
                <w:kern w:val="0"/>
                <w:sz w:val="24"/>
                <w:szCs w:val="24"/>
                <w:highlight w:val="none"/>
                <w:u w:val="none"/>
                <w:vertAlign w:val="baseline"/>
                <w:lang w:val="en-US" w:eastAsia="zh-CN" w:bidi="ar"/>
              </w:rPr>
              <w:t>12</w:t>
            </w:r>
          </w:p>
        </w:tc>
        <w:tc>
          <w:tcPr>
            <w:tcW w:w="1466" w:type="dxa"/>
            <w:vMerge w:val="restart"/>
            <w:vAlign w:val="center"/>
          </w:tcPr>
          <w:p w14:paraId="32BFE422">
            <w:pPr>
              <w:keepNext w:val="0"/>
              <w:keepLines w:val="0"/>
              <w:pageBreakBefore w:val="0"/>
              <w:widowControl/>
              <w:kinsoku/>
              <w:wordWrap/>
              <w:overflowPunct/>
              <w:topLinePunct w:val="0"/>
              <w:autoSpaceDE/>
              <w:autoSpaceDN/>
              <w:bidi w:val="0"/>
              <w:spacing w:line="560" w:lineRule="exact"/>
              <w:jc w:val="both"/>
              <w:textAlignment w:val="center"/>
              <w:rPr>
                <w:rFonts w:hint="default" w:ascii="仿宋_GB2312" w:hAnsi="仿宋_GB2312" w:eastAsia="仿宋_GB2312" w:cs="仿宋_GB2312"/>
                <w:color w:val="auto"/>
                <w:sz w:val="32"/>
                <w:szCs w:val="32"/>
                <w:highlight w:val="none"/>
                <w:vertAlign w:val="baseline"/>
                <w:lang w:val="en-US" w:eastAsia="zh-CN"/>
              </w:rPr>
            </w:pPr>
            <w:r>
              <w:rPr>
                <w:rFonts w:hint="eastAsia" w:ascii="仿宋_GB2312" w:hAnsi="宋体" w:eastAsia="仿宋_GB2312" w:cs="仿宋_GB2312"/>
                <w:i w:val="0"/>
                <w:iCs w:val="0"/>
                <w:color w:val="auto"/>
                <w:kern w:val="0"/>
                <w:sz w:val="24"/>
                <w:szCs w:val="24"/>
                <w:highlight w:val="none"/>
                <w:u w:val="none"/>
                <w:lang w:val="en-US" w:eastAsia="zh-CN" w:bidi="ar"/>
              </w:rPr>
              <w:t>食品药品安全</w:t>
            </w:r>
          </w:p>
        </w:tc>
        <w:tc>
          <w:tcPr>
            <w:tcW w:w="2915" w:type="dxa"/>
            <w:vAlign w:val="center"/>
          </w:tcPr>
          <w:p w14:paraId="06CB1186">
            <w:pPr>
              <w:keepNext w:val="0"/>
              <w:keepLines w:val="0"/>
              <w:pageBreakBefore w:val="0"/>
              <w:widowControl/>
              <w:kinsoku/>
              <w:wordWrap/>
              <w:overflowPunct/>
              <w:topLinePunct w:val="0"/>
              <w:autoSpaceDE/>
              <w:autoSpaceDN/>
              <w:bidi w:val="0"/>
              <w:spacing w:line="560" w:lineRule="exact"/>
              <w:jc w:val="both"/>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食品安全抽检合格率（%）</w:t>
            </w:r>
          </w:p>
        </w:tc>
        <w:tc>
          <w:tcPr>
            <w:tcW w:w="1649" w:type="dxa"/>
            <w:vAlign w:val="center"/>
          </w:tcPr>
          <w:p w14:paraId="6AE0E186">
            <w:pPr>
              <w:keepNext w:val="0"/>
              <w:keepLines w:val="0"/>
              <w:pageBreakBefore w:val="0"/>
              <w:widowControl/>
              <w:kinsoku/>
              <w:wordWrap/>
              <w:overflowPunct/>
              <w:topLinePunct w:val="0"/>
              <w:autoSpaceDE/>
              <w:autoSpaceDN/>
              <w:bidi w:val="0"/>
              <w:spacing w:line="560" w:lineRule="exact"/>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&gt;98.7</w:t>
            </w:r>
          </w:p>
        </w:tc>
        <w:tc>
          <w:tcPr>
            <w:tcW w:w="1569" w:type="dxa"/>
            <w:vAlign w:val="center"/>
          </w:tcPr>
          <w:p w14:paraId="252503F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仿宋_GB2312" w:hAnsi="仿宋_GB2312" w:eastAsia="仿宋_GB2312" w:cs="仿宋_GB2312"/>
                <w:color w:val="auto"/>
                <w:sz w:val="32"/>
                <w:szCs w:val="32"/>
                <w:highlight w:val="none"/>
                <w:vertAlign w:val="baseline"/>
                <w:lang w:val="en-US" w:eastAsia="zh-CN"/>
              </w:rPr>
            </w:pPr>
            <w:r>
              <w:rPr>
                <w:rFonts w:hint="eastAsia" w:ascii="仿宋_GB2312" w:hAnsi="宋体" w:eastAsia="仿宋_GB2312" w:cs="仿宋_GB2312"/>
                <w:i w:val="0"/>
                <w:iCs w:val="0"/>
                <w:color w:val="auto"/>
                <w:kern w:val="0"/>
                <w:sz w:val="24"/>
                <w:szCs w:val="24"/>
                <w:highlight w:val="none"/>
                <w:u w:val="none"/>
                <w:lang w:val="en-US" w:eastAsia="zh-CN" w:bidi="ar"/>
              </w:rPr>
              <w:t>约束性</w:t>
            </w:r>
          </w:p>
        </w:tc>
      </w:tr>
      <w:tr w14:paraId="478DF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 w:type="dxa"/>
            <w:vMerge w:val="continue"/>
          </w:tcPr>
          <w:p w14:paraId="6E7324D0">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s</w:t>
            </w:r>
          </w:p>
        </w:tc>
        <w:tc>
          <w:tcPr>
            <w:tcW w:w="1466" w:type="dxa"/>
            <w:vMerge w:val="continue"/>
          </w:tcPr>
          <w:p w14:paraId="44D0A8CE">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仿宋_GB2312" w:hAnsi="仿宋_GB2312" w:eastAsia="仿宋_GB2312" w:cs="仿宋_GB2312"/>
                <w:color w:val="auto"/>
                <w:sz w:val="32"/>
                <w:szCs w:val="32"/>
                <w:highlight w:val="none"/>
                <w:vertAlign w:val="baseline"/>
                <w:lang w:val="en-US" w:eastAsia="zh-CN"/>
              </w:rPr>
            </w:pPr>
          </w:p>
        </w:tc>
        <w:tc>
          <w:tcPr>
            <w:tcW w:w="2915" w:type="dxa"/>
            <w:vAlign w:val="center"/>
          </w:tcPr>
          <w:p w14:paraId="3266D0E7">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default" w:ascii="仿宋_GB2312" w:hAnsi="仿宋_GB2312" w:eastAsia="仿宋_GB2312" w:cs="仿宋_GB2312"/>
                <w:color w:val="auto"/>
                <w:sz w:val="32"/>
                <w:szCs w:val="32"/>
                <w:highlight w:val="none"/>
                <w:vertAlign w:val="baseline"/>
                <w:lang w:val="en-US" w:eastAsia="zh-CN"/>
              </w:rPr>
            </w:pPr>
            <w:r>
              <w:rPr>
                <w:rFonts w:hint="eastAsia" w:ascii="仿宋_GB2312" w:hAnsi="宋体" w:eastAsia="仿宋_GB2312" w:cs="仿宋_GB2312"/>
                <w:i w:val="0"/>
                <w:iCs w:val="0"/>
                <w:color w:val="auto"/>
                <w:kern w:val="0"/>
                <w:sz w:val="24"/>
                <w:szCs w:val="24"/>
                <w:highlight w:val="none"/>
                <w:u w:val="none"/>
                <w:lang w:val="en-US" w:eastAsia="zh-CN" w:bidi="ar"/>
              </w:rPr>
              <w:t>药品抽检合格率（%）</w:t>
            </w:r>
          </w:p>
        </w:tc>
        <w:tc>
          <w:tcPr>
            <w:tcW w:w="1649" w:type="dxa"/>
            <w:vAlign w:val="center"/>
          </w:tcPr>
          <w:p w14:paraId="4C1D63A3">
            <w:pPr>
              <w:keepNext w:val="0"/>
              <w:keepLines w:val="0"/>
              <w:pageBreakBefore w:val="0"/>
              <w:widowControl/>
              <w:kinsoku/>
              <w:wordWrap/>
              <w:overflowPunct/>
              <w:topLinePunct w:val="0"/>
              <w:autoSpaceDE/>
              <w:autoSpaceDN/>
              <w:bidi w:val="0"/>
              <w:spacing w:line="560" w:lineRule="exact"/>
              <w:jc w:val="center"/>
              <w:textAlignment w:val="center"/>
              <w:rPr>
                <w:rFonts w:hint="default" w:ascii="仿宋_GB2312" w:hAnsi="仿宋_GB2312" w:eastAsia="仿宋_GB2312" w:cs="仿宋_GB2312"/>
                <w:color w:val="auto"/>
                <w:sz w:val="32"/>
                <w:szCs w:val="32"/>
                <w:highlight w:val="none"/>
                <w:vertAlign w:val="baseline"/>
                <w:lang w:val="en-US" w:eastAsia="zh-CN"/>
              </w:rPr>
            </w:pPr>
            <w:r>
              <w:rPr>
                <w:rFonts w:hint="eastAsia" w:ascii="仿宋_GB2312" w:hAnsi="宋体" w:eastAsia="仿宋_GB2312" w:cs="仿宋_GB2312"/>
                <w:i w:val="0"/>
                <w:iCs w:val="0"/>
                <w:color w:val="auto"/>
                <w:kern w:val="0"/>
                <w:sz w:val="24"/>
                <w:szCs w:val="24"/>
                <w:highlight w:val="none"/>
                <w:u w:val="none"/>
                <w:lang w:val="en-US" w:eastAsia="zh-CN" w:bidi="ar"/>
              </w:rPr>
              <w:t>&gt;99</w:t>
            </w:r>
          </w:p>
        </w:tc>
        <w:tc>
          <w:tcPr>
            <w:tcW w:w="1569" w:type="dxa"/>
            <w:vAlign w:val="center"/>
          </w:tcPr>
          <w:p w14:paraId="445ECCD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仿宋_GB2312" w:hAnsi="仿宋_GB2312" w:eastAsia="仿宋_GB2312" w:cs="仿宋_GB2312"/>
                <w:color w:val="auto"/>
                <w:sz w:val="32"/>
                <w:szCs w:val="32"/>
                <w:highlight w:val="none"/>
                <w:vertAlign w:val="baseline"/>
                <w:lang w:val="en-US" w:eastAsia="zh-CN"/>
              </w:rPr>
            </w:pPr>
            <w:r>
              <w:rPr>
                <w:rFonts w:hint="eastAsia" w:ascii="仿宋_GB2312" w:hAnsi="宋体" w:eastAsia="仿宋_GB2312" w:cs="仿宋_GB2312"/>
                <w:i w:val="0"/>
                <w:iCs w:val="0"/>
                <w:color w:val="auto"/>
                <w:kern w:val="0"/>
                <w:sz w:val="24"/>
                <w:szCs w:val="24"/>
                <w:highlight w:val="none"/>
                <w:u w:val="none"/>
                <w:lang w:val="en-US" w:eastAsia="zh-CN" w:bidi="ar"/>
              </w:rPr>
              <w:t>约束性</w:t>
            </w:r>
          </w:p>
        </w:tc>
      </w:tr>
    </w:tbl>
    <w:p w14:paraId="536BBB26">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仿宋_GB2312" w:hAnsi="仿宋_GB2312" w:eastAsia="仿宋_GB2312" w:cs="仿宋_GB2312"/>
          <w:color w:val="auto"/>
          <w:sz w:val="32"/>
          <w:szCs w:val="32"/>
          <w:highlight w:val="none"/>
          <w:lang w:val="en-US" w:eastAsia="zh-CN"/>
        </w:rPr>
      </w:pPr>
    </w:p>
    <w:p w14:paraId="204D9648">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outlineLvl w:val="0"/>
        <w:rPr>
          <w:rFonts w:hint="eastAsia" w:ascii="方正小标宋简体" w:hAnsi="方正小标宋简体" w:eastAsia="方正小标宋简体" w:cs="方正小标宋简体"/>
          <w:b w:val="0"/>
          <w:bCs w:val="0"/>
          <w:color w:val="auto"/>
          <w:sz w:val="44"/>
          <w:szCs w:val="44"/>
          <w:highlight w:val="none"/>
          <w:lang w:val="en-US" w:eastAsia="zh-CN"/>
        </w:rPr>
      </w:pPr>
      <w:bookmarkStart w:id="15" w:name="_Toc1242164959"/>
      <w:r>
        <w:rPr>
          <w:rFonts w:hint="eastAsia" w:ascii="方正小标宋简体" w:hAnsi="方正小标宋简体" w:eastAsia="方正小标宋简体" w:cs="方正小标宋简体"/>
          <w:b w:val="0"/>
          <w:bCs w:val="0"/>
          <w:color w:val="auto"/>
          <w:sz w:val="44"/>
          <w:szCs w:val="44"/>
          <w:highlight w:val="none"/>
          <w:lang w:val="en-US" w:eastAsia="zh-CN"/>
        </w:rPr>
        <w:t>第四部分 重点任务</w:t>
      </w:r>
      <w:bookmarkEnd w:id="15"/>
    </w:p>
    <w:p w14:paraId="5D007BC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1"/>
        <w:rPr>
          <w:rFonts w:hint="default" w:ascii="黑体" w:hAnsi="黑体" w:eastAsia="黑体" w:cs="黑体"/>
          <w:b w:val="0"/>
          <w:bCs w:val="0"/>
          <w:color w:val="auto"/>
          <w:sz w:val="32"/>
          <w:szCs w:val="32"/>
          <w:highlight w:val="none"/>
          <w:lang w:val="en-US" w:eastAsia="zh-CN"/>
        </w:rPr>
      </w:pPr>
      <w:bookmarkStart w:id="16" w:name="_Toc1555076018"/>
      <w:r>
        <w:rPr>
          <w:rFonts w:hint="eastAsia" w:ascii="黑体" w:hAnsi="黑体" w:eastAsia="黑体" w:cs="黑体"/>
          <w:b w:val="0"/>
          <w:bCs w:val="0"/>
          <w:color w:val="auto"/>
          <w:sz w:val="32"/>
          <w:szCs w:val="32"/>
          <w:highlight w:val="none"/>
          <w:lang w:val="en-US" w:eastAsia="zh-CN"/>
        </w:rPr>
        <w:t>一、健全党全面领导社会工作新格局</w:t>
      </w:r>
      <w:bookmarkEnd w:id="16"/>
    </w:p>
    <w:p w14:paraId="1B9DF2B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楷体_GB2312" w:hAnsi="楷体_GB2312" w:eastAsia="楷体_GB2312" w:cs="楷体_GB2312"/>
          <w:b w:val="0"/>
          <w:bCs w:val="0"/>
          <w:color w:val="auto"/>
          <w:sz w:val="32"/>
          <w:szCs w:val="32"/>
          <w:highlight w:val="none"/>
          <w:lang w:eastAsia="zh-CN"/>
        </w:rPr>
      </w:pPr>
      <w:r>
        <w:rPr>
          <w:rFonts w:hint="eastAsia" w:ascii="楷体_GB2312" w:hAnsi="楷体_GB2312" w:eastAsia="楷体_GB2312" w:cs="楷体_GB2312"/>
          <w:b w:val="0"/>
          <w:bCs w:val="0"/>
          <w:color w:val="auto"/>
          <w:sz w:val="32"/>
          <w:szCs w:val="32"/>
          <w:highlight w:val="none"/>
        </w:rPr>
        <w:t>（一）强化</w:t>
      </w:r>
      <w:r>
        <w:rPr>
          <w:rFonts w:hint="eastAsia" w:ascii="楷体_GB2312" w:hAnsi="楷体_GB2312" w:eastAsia="楷体_GB2312" w:cs="楷体_GB2312"/>
          <w:b w:val="0"/>
          <w:bCs w:val="0"/>
          <w:color w:val="auto"/>
          <w:sz w:val="32"/>
          <w:szCs w:val="32"/>
          <w:highlight w:val="none"/>
          <w:lang w:val="en-US" w:eastAsia="zh-CN"/>
        </w:rPr>
        <w:t>区委</w:t>
      </w:r>
      <w:r>
        <w:rPr>
          <w:rFonts w:hint="eastAsia" w:ascii="楷体_GB2312" w:hAnsi="楷体_GB2312" w:eastAsia="楷体_GB2312" w:cs="楷体_GB2312"/>
          <w:b w:val="0"/>
          <w:bCs w:val="0"/>
          <w:color w:val="auto"/>
          <w:sz w:val="32"/>
          <w:szCs w:val="32"/>
          <w:highlight w:val="none"/>
        </w:rPr>
        <w:t>对社会</w:t>
      </w:r>
      <w:r>
        <w:rPr>
          <w:rFonts w:hint="eastAsia" w:ascii="楷体_GB2312" w:hAnsi="楷体_GB2312" w:eastAsia="楷体_GB2312" w:cs="楷体_GB2312"/>
          <w:b w:val="0"/>
          <w:bCs w:val="0"/>
          <w:color w:val="auto"/>
          <w:sz w:val="32"/>
          <w:szCs w:val="32"/>
          <w:highlight w:val="none"/>
          <w:lang w:eastAsia="zh-CN"/>
        </w:rPr>
        <w:t>工作</w:t>
      </w:r>
      <w:r>
        <w:rPr>
          <w:rFonts w:hint="eastAsia" w:ascii="楷体_GB2312" w:hAnsi="楷体_GB2312" w:eastAsia="楷体_GB2312" w:cs="楷体_GB2312"/>
          <w:b w:val="0"/>
          <w:bCs w:val="0"/>
          <w:color w:val="auto"/>
          <w:sz w:val="32"/>
          <w:szCs w:val="32"/>
          <w:highlight w:val="none"/>
          <w:lang w:val="en-US" w:eastAsia="zh-CN"/>
        </w:rPr>
        <w:t>全面领导</w:t>
      </w:r>
    </w:p>
    <w:p w14:paraId="5F731CF7">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color w:val="auto"/>
          <w:sz w:val="32"/>
          <w:szCs w:val="32"/>
          <w:highlight w:val="none"/>
          <w:lang w:val="en-US" w:eastAsia="zh-CN"/>
        </w:rPr>
      </w:pPr>
      <w:bookmarkStart w:id="17" w:name="OLE_LINK4"/>
      <w:r>
        <w:rPr>
          <w:rFonts w:hint="eastAsia" w:ascii="仿宋_GB2312" w:hAnsi="仿宋_GB2312" w:eastAsia="仿宋_GB2312" w:cs="仿宋_GB2312"/>
          <w:b/>
          <w:bCs/>
          <w:color w:val="auto"/>
          <w:sz w:val="32"/>
          <w:szCs w:val="32"/>
          <w:highlight w:val="none"/>
          <w:lang w:val="en-US" w:eastAsia="zh-CN"/>
        </w:rPr>
        <w:t>健全社会工作协同机制。</w:t>
      </w:r>
      <w:r>
        <w:rPr>
          <w:rFonts w:hint="eastAsia" w:ascii="仿宋_GB2312" w:hAnsi="仿宋_GB2312" w:eastAsia="仿宋_GB2312" w:cs="仿宋_GB2312"/>
          <w:b w:val="0"/>
          <w:bCs w:val="0"/>
          <w:color w:val="auto"/>
          <w:sz w:val="32"/>
          <w:szCs w:val="32"/>
          <w:highlight w:val="none"/>
          <w:lang w:val="en-US" w:eastAsia="zh-CN"/>
        </w:rPr>
        <w:t>充分</w:t>
      </w:r>
      <w:r>
        <w:rPr>
          <w:rFonts w:hint="eastAsia" w:ascii="仿宋_GB2312" w:hAnsi="仿宋_GB2312" w:eastAsia="仿宋_GB2312" w:cs="仿宋_GB2312"/>
          <w:color w:val="auto"/>
          <w:sz w:val="32"/>
          <w:szCs w:val="32"/>
          <w:highlight w:val="none"/>
          <w:lang w:val="en-US" w:eastAsia="zh-CN"/>
        </w:rPr>
        <w:t>发挥区委社会治理工作领导小组、区委深改委社会治理与社会事业领域改革专项小组职能作用，健全区委统一领导、区委社会工作部统筹协调、各部门配合的协同机制，强化对全区社会工作的统筹协调和对街道党工委的统筹指导</w:t>
      </w:r>
      <w:bookmarkEnd w:id="17"/>
      <w:r>
        <w:rPr>
          <w:rFonts w:hint="eastAsia" w:ascii="仿宋_GB2312" w:hAnsi="仿宋_GB2312" w:eastAsia="仿宋_GB2312" w:cs="仿宋_GB2312"/>
          <w:color w:val="auto"/>
          <w:sz w:val="32"/>
          <w:szCs w:val="32"/>
          <w:highlight w:val="none"/>
          <w:lang w:val="en-US" w:eastAsia="zh-CN"/>
        </w:rPr>
        <w:t>。针对社会领域重点工作，建立资源调度、事务分办、督促指导工作体系，进一步完善“大社会”工作格局。</w:t>
      </w:r>
      <w:r>
        <w:rPr>
          <w:rFonts w:hint="eastAsia" w:ascii="仿宋_GB2312" w:hAnsi="仿宋_GB2312" w:eastAsia="仿宋_GB2312" w:cs="仿宋_GB2312"/>
          <w:b/>
          <w:bCs/>
          <w:color w:val="auto"/>
          <w:sz w:val="32"/>
          <w:szCs w:val="32"/>
          <w:highlight w:val="none"/>
          <w:lang w:val="en-US" w:eastAsia="zh-CN"/>
        </w:rPr>
        <w:t>做实专项协调联动机制。</w:t>
      </w:r>
      <w:r>
        <w:rPr>
          <w:rFonts w:hint="eastAsia" w:ascii="仿宋_GB2312" w:hAnsi="仿宋_GB2312" w:eastAsia="仿宋_GB2312" w:cs="仿宋_GB2312"/>
          <w:color w:val="auto"/>
          <w:sz w:val="32"/>
          <w:szCs w:val="32"/>
          <w:highlight w:val="none"/>
          <w:lang w:val="en-US" w:eastAsia="zh-CN"/>
        </w:rPr>
        <w:t>深化党建引领基层治理，做实党建引领基层治理协调机制、新兴领域党建工作协调机制、社会组织发展管理协调机制、志愿服务统筹协调机制等4个专项协调机制，加强重点治理人群服务管理，常态化落实街道工委书记工作例会和党建引领楼宇治理、企业服务联席会议制度，促进职能条条联动、条块联手，推动基层治理模式从条线职责纵向管理到块上需求横向统筹的转变，着力破解基层治理难点。</w:t>
      </w:r>
      <w:bookmarkStart w:id="18" w:name="OLE_LINK6"/>
    </w:p>
    <w:bookmarkEnd w:id="18"/>
    <w:p w14:paraId="518E741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楷体_GB2312" w:hAnsi="楷体_GB2312" w:eastAsia="楷体_GB2312" w:cs="楷体_GB2312"/>
          <w:b w:val="0"/>
          <w:bCs w:val="0"/>
          <w:color w:val="auto"/>
          <w:sz w:val="32"/>
          <w:szCs w:val="32"/>
          <w:highlight w:val="none"/>
          <w:lang w:eastAsia="zh-CN"/>
        </w:rPr>
      </w:pPr>
      <w:r>
        <w:rPr>
          <w:rFonts w:hint="eastAsia" w:ascii="楷体_GB2312" w:hAnsi="楷体_GB2312" w:eastAsia="楷体_GB2312" w:cs="楷体_GB2312"/>
          <w:b w:val="0"/>
          <w:bCs w:val="0"/>
          <w:color w:val="auto"/>
          <w:sz w:val="32"/>
          <w:szCs w:val="32"/>
          <w:highlight w:val="none"/>
        </w:rPr>
        <w:t>（二）</w:t>
      </w:r>
      <w:r>
        <w:rPr>
          <w:rFonts w:hint="eastAsia" w:ascii="楷体_GB2312" w:hAnsi="楷体_GB2312" w:eastAsia="楷体_GB2312" w:cs="楷体_GB2312"/>
          <w:b w:val="0"/>
          <w:bCs w:val="0"/>
          <w:color w:val="auto"/>
          <w:sz w:val="32"/>
          <w:szCs w:val="32"/>
          <w:highlight w:val="none"/>
          <w:lang w:val="en-US" w:eastAsia="zh-CN"/>
        </w:rPr>
        <w:t>完善垂直贯通</w:t>
      </w:r>
      <w:r>
        <w:rPr>
          <w:rFonts w:hint="eastAsia" w:ascii="楷体_GB2312" w:hAnsi="楷体_GB2312" w:eastAsia="楷体_GB2312" w:cs="楷体_GB2312"/>
          <w:b w:val="0"/>
          <w:bCs w:val="0"/>
          <w:color w:val="auto"/>
          <w:sz w:val="32"/>
          <w:szCs w:val="32"/>
          <w:highlight w:val="none"/>
          <w:lang w:eastAsia="zh-CN"/>
        </w:rPr>
        <w:t>党建工作</w:t>
      </w:r>
      <w:r>
        <w:rPr>
          <w:rFonts w:hint="eastAsia" w:ascii="楷体_GB2312" w:hAnsi="楷体_GB2312" w:eastAsia="楷体_GB2312" w:cs="楷体_GB2312"/>
          <w:b w:val="0"/>
          <w:bCs w:val="0"/>
          <w:color w:val="auto"/>
          <w:sz w:val="32"/>
          <w:szCs w:val="32"/>
          <w:highlight w:val="none"/>
          <w:lang w:val="en-US" w:eastAsia="zh-CN"/>
        </w:rPr>
        <w:t>体系</w:t>
      </w:r>
    </w:p>
    <w:p w14:paraId="0DC3A79A">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织密垂直贯通党建体系。</w:t>
      </w:r>
      <w:r>
        <w:rPr>
          <w:rFonts w:hint="eastAsia" w:ascii="仿宋_GB2312" w:hAnsi="仿宋_GB2312" w:eastAsia="仿宋_GB2312" w:cs="仿宋_GB2312"/>
          <w:color w:val="auto"/>
          <w:sz w:val="32"/>
          <w:szCs w:val="32"/>
          <w:highlight w:val="none"/>
          <w:lang w:val="en-US" w:eastAsia="zh-CN"/>
        </w:rPr>
        <w:t>健全“区委—街道党工委—社区（楼宇）党组织—网格党支部”垂直贯通体系，突出街道党工委作用，</w:t>
      </w:r>
      <w:r>
        <w:rPr>
          <w:rFonts w:hint="eastAsia" w:ascii="仿宋_GB2312" w:hAnsi="仿宋_GB2312" w:eastAsia="仿宋_GB2312" w:cs="仿宋_GB2312"/>
          <w:b w:val="0"/>
          <w:bCs w:val="0"/>
          <w:color w:val="auto"/>
          <w:sz w:val="32"/>
          <w:szCs w:val="32"/>
          <w:highlight w:val="none"/>
          <w:lang w:eastAsia="zh-CN"/>
        </w:rPr>
        <w:t>完善街道“大工委”、社区“大党委”运行机制，</w:t>
      </w:r>
      <w:r>
        <w:rPr>
          <w:rFonts w:hint="eastAsia" w:ascii="仿宋_GB2312" w:hAnsi="仿宋_GB2312" w:eastAsia="仿宋_GB2312" w:cs="仿宋_GB2312"/>
          <w:color w:val="auto"/>
          <w:sz w:val="32"/>
          <w:szCs w:val="32"/>
          <w:highlight w:val="none"/>
          <w:lang w:val="en-US" w:eastAsia="zh-CN"/>
        </w:rPr>
        <w:t>夯实社区（楼宇）党组织“战斗堡垒</w:t>
      </w:r>
      <w:r>
        <w:rPr>
          <w:rFonts w:hint="default"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功能，织密网格党支部“神经末梢”网络，推动构建党组织统一领导、政府依法履责、各类组织积极协同、群众广泛参与的基层治理体系。</w:t>
      </w:r>
      <w:r>
        <w:rPr>
          <w:rFonts w:hint="eastAsia" w:ascii="仿宋_GB2312" w:hAnsi="仿宋_GB2312" w:eastAsia="仿宋_GB2312" w:cs="仿宋_GB2312"/>
          <w:b/>
          <w:bCs/>
          <w:color w:val="auto"/>
          <w:sz w:val="32"/>
          <w:szCs w:val="32"/>
          <w:highlight w:val="none"/>
          <w:lang w:val="en-US" w:eastAsia="zh-CN"/>
        </w:rPr>
        <w:t>深入实施“品质先锋”工程</w:t>
      </w:r>
      <w:r>
        <w:rPr>
          <w:rFonts w:hint="eastAsia" w:ascii="仿宋_GB2312" w:hAnsi="仿宋_GB2312" w:eastAsia="仿宋_GB2312" w:cs="仿宋_GB2312"/>
          <w:color w:val="auto"/>
          <w:sz w:val="32"/>
          <w:szCs w:val="32"/>
          <w:highlight w:val="none"/>
          <w:lang w:val="en-US" w:eastAsia="zh-CN"/>
        </w:rPr>
        <w:t>。规范街道社区党组织抓基层党建和基层治理任务清单，明确责任边界、细化工作标准。加强党群服务中心体系功能建设，强服务、聚人气。以“品质先锋”工程为抓手，强化城市基层党建核心力量建设，推进基层党组织标准化规范化建设，提升党组织政治功能和组织功能，持续打造“党建强、发展强”特色品牌，推动党建工作与基层治理同频共振、提质增效。</w:t>
      </w:r>
      <w:r>
        <w:rPr>
          <w:rFonts w:hint="eastAsia" w:ascii="仿宋_GB2312" w:hAnsi="仿宋_GB2312" w:eastAsia="仿宋_GB2312" w:cs="仿宋_GB2312"/>
          <w:b/>
          <w:bCs/>
          <w:color w:val="auto"/>
          <w:sz w:val="32"/>
          <w:szCs w:val="32"/>
          <w:highlight w:val="none"/>
          <w:lang w:eastAsia="zh-CN"/>
        </w:rPr>
        <w:t>深化社区“两委一站”建设。</w:t>
      </w:r>
      <w:r>
        <w:rPr>
          <w:rFonts w:hint="eastAsia" w:ascii="仿宋_GB2312" w:hAnsi="仿宋_GB2312" w:eastAsia="仿宋_GB2312" w:cs="仿宋_GB2312"/>
          <w:b w:val="0"/>
          <w:bCs w:val="0"/>
          <w:color w:val="auto"/>
          <w:sz w:val="32"/>
          <w:szCs w:val="32"/>
          <w:highlight w:val="none"/>
          <w:lang w:eastAsia="zh-CN"/>
        </w:rPr>
        <w:t>强化党建引领社区治理，选优配强社区“两委”班子，持续发挥优秀社区书记工作室作用，有效提升社区带头人能力水平。落实社区党组织、居委会、服务站工作规则以及社区居委会下属六大委员会运行规则，修订并践行居民公约，夯实党在基层的执政基础。</w:t>
      </w:r>
      <w:r>
        <w:rPr>
          <w:rFonts w:hint="eastAsia" w:ascii="仿宋_GB2312" w:hAnsi="仿宋_GB2312" w:eastAsia="仿宋_GB2312" w:cs="仿宋_GB2312"/>
          <w:b/>
          <w:bCs/>
          <w:color w:val="auto"/>
          <w:sz w:val="32"/>
          <w:szCs w:val="32"/>
          <w:highlight w:val="none"/>
          <w:lang w:val="en-US" w:eastAsia="zh-CN"/>
        </w:rPr>
        <w:t>党建引领</w:t>
      </w:r>
      <w:r>
        <w:rPr>
          <w:rFonts w:hint="eastAsia" w:ascii="仿宋_GB2312" w:hAnsi="仿宋_GB2312" w:eastAsia="仿宋_GB2312" w:cs="仿宋_GB2312"/>
          <w:b/>
          <w:bCs/>
          <w:color w:val="auto"/>
          <w:sz w:val="32"/>
          <w:szCs w:val="32"/>
          <w:highlight w:val="none"/>
          <w:lang w:eastAsia="zh-CN"/>
        </w:rPr>
        <w:t>网格</w:t>
      </w:r>
      <w:r>
        <w:rPr>
          <w:rFonts w:hint="eastAsia" w:ascii="仿宋_GB2312" w:hAnsi="仿宋_GB2312" w:eastAsia="仿宋_GB2312" w:cs="仿宋_GB2312"/>
          <w:b/>
          <w:bCs/>
          <w:color w:val="auto"/>
          <w:sz w:val="32"/>
          <w:szCs w:val="32"/>
          <w:highlight w:val="none"/>
          <w:lang w:val="en-US" w:eastAsia="zh-CN"/>
        </w:rPr>
        <w:t>联动</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eastAsia="zh-CN"/>
        </w:rPr>
        <w:t>优化网格党支部设置，实现网格党组织全覆盖。细化网格党建任务清单，明确责任分工。配强网格党建骨干，联动社区“两委一站”力量，融入“</w:t>
      </w:r>
      <w:r>
        <w:rPr>
          <w:rFonts w:hint="eastAsia" w:ascii="仿宋_GB2312" w:hAnsi="仿宋_GB2312" w:eastAsia="仿宋_GB2312" w:cs="仿宋_GB2312"/>
          <w:b w:val="0"/>
          <w:bCs w:val="0"/>
          <w:color w:val="auto"/>
          <w:sz w:val="32"/>
          <w:szCs w:val="32"/>
          <w:highlight w:val="none"/>
          <w:lang w:val="en-US" w:eastAsia="zh-CN"/>
        </w:rPr>
        <w:t>石景山</w:t>
      </w:r>
      <w:r>
        <w:rPr>
          <w:rFonts w:hint="eastAsia" w:ascii="仿宋_GB2312" w:hAnsi="仿宋_GB2312" w:eastAsia="仿宋_GB2312" w:cs="仿宋_GB2312"/>
          <w:b w:val="0"/>
          <w:bCs w:val="0"/>
          <w:color w:val="auto"/>
          <w:sz w:val="32"/>
          <w:szCs w:val="32"/>
          <w:highlight w:val="none"/>
          <w:lang w:eastAsia="zh-CN"/>
        </w:rPr>
        <w:t>老街坊”治理，推动网格党建与网格治理深度融合，及时回应群众诉求，筑牢基层党建战斗堡垒。</w:t>
      </w:r>
    </w:p>
    <w:p w14:paraId="5BD108A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default"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rPr>
        <w:t>（</w:t>
      </w:r>
      <w:r>
        <w:rPr>
          <w:rFonts w:hint="eastAsia" w:ascii="楷体_GB2312" w:hAnsi="楷体_GB2312" w:eastAsia="楷体_GB2312" w:cs="楷体_GB2312"/>
          <w:b w:val="0"/>
          <w:bCs w:val="0"/>
          <w:color w:val="auto"/>
          <w:sz w:val="32"/>
          <w:szCs w:val="32"/>
          <w:highlight w:val="none"/>
          <w:lang w:val="en-US" w:eastAsia="zh-CN"/>
        </w:rPr>
        <w:t>三</w:t>
      </w:r>
      <w:r>
        <w:rPr>
          <w:rFonts w:hint="eastAsia" w:ascii="楷体_GB2312" w:hAnsi="楷体_GB2312" w:eastAsia="楷体_GB2312" w:cs="楷体_GB2312"/>
          <w:b w:val="0"/>
          <w:bCs w:val="0"/>
          <w:color w:val="auto"/>
          <w:sz w:val="32"/>
          <w:szCs w:val="32"/>
          <w:highlight w:val="none"/>
        </w:rPr>
        <w:t>）</w:t>
      </w:r>
      <w:r>
        <w:rPr>
          <w:rFonts w:hint="eastAsia" w:ascii="楷体_GB2312" w:hAnsi="楷体_GB2312" w:eastAsia="楷体_GB2312" w:cs="楷体_GB2312"/>
          <w:b w:val="0"/>
          <w:bCs w:val="0"/>
          <w:color w:val="auto"/>
          <w:sz w:val="32"/>
          <w:szCs w:val="32"/>
          <w:highlight w:val="none"/>
          <w:lang w:val="en-US" w:eastAsia="zh-CN"/>
        </w:rPr>
        <w:t>统筹推进党对全域社会工作的领导</w:t>
      </w:r>
    </w:p>
    <w:p w14:paraId="605DE27E">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val="0"/>
          <w:bCs w:val="0"/>
          <w:color w:val="auto"/>
          <w:sz w:val="32"/>
          <w:szCs w:val="32"/>
          <w:highlight w:val="none"/>
          <w:lang w:eastAsia="zh-CN"/>
        </w:rPr>
      </w:pPr>
      <w:bookmarkStart w:id="19" w:name="OLE_LINK7"/>
      <w:r>
        <w:rPr>
          <w:rFonts w:hint="eastAsia" w:ascii="仿宋_GB2312" w:hAnsi="仿宋_GB2312" w:eastAsia="仿宋_GB2312" w:cs="仿宋_GB2312"/>
          <w:b/>
          <w:bCs/>
          <w:color w:val="auto"/>
          <w:kern w:val="2"/>
          <w:sz w:val="32"/>
          <w:szCs w:val="32"/>
          <w:highlight w:val="none"/>
          <w:lang w:val="en-US" w:eastAsia="zh-CN" w:bidi="ar-SA"/>
        </w:rPr>
        <w:t>探索创建全域社会工作品牌</w:t>
      </w:r>
      <w:r>
        <w:rPr>
          <w:rFonts w:hint="eastAsia" w:ascii="仿宋_GB2312" w:hAnsi="仿宋_GB2312" w:eastAsia="仿宋_GB2312" w:cs="仿宋_GB2312"/>
          <w:b w:val="0"/>
          <w:bCs w:val="0"/>
          <w:color w:val="auto"/>
          <w:kern w:val="2"/>
          <w:sz w:val="32"/>
          <w:szCs w:val="32"/>
          <w:highlight w:val="none"/>
          <w:lang w:val="en-US" w:eastAsia="zh-CN" w:bidi="ar-SA"/>
        </w:rPr>
        <w:t>。结合区域特色，打造社会工作品牌矩阵，推动党建引领与社会工作深度融合，研究谋划具有石景山辨识度的全域社会工作品牌。</w:t>
      </w:r>
      <w:r>
        <w:rPr>
          <w:rFonts w:hint="eastAsia" w:ascii="仿宋_GB2312" w:hAnsi="仿宋_GB2312" w:eastAsia="仿宋_GB2312" w:cs="仿宋_GB2312"/>
          <w:b/>
          <w:bCs/>
          <w:color w:val="auto"/>
          <w:sz w:val="32"/>
          <w:szCs w:val="32"/>
          <w:highlight w:val="none"/>
          <w:lang w:val="en-US" w:eastAsia="zh-CN"/>
        </w:rPr>
        <w:t>深化区域化党建联动融合。</w:t>
      </w:r>
      <w:r>
        <w:rPr>
          <w:rFonts w:hint="eastAsia" w:ascii="仿宋_GB2312" w:hAnsi="仿宋_GB2312" w:eastAsia="仿宋_GB2312" w:cs="仿宋_GB2312"/>
          <w:color w:val="auto"/>
          <w:sz w:val="32"/>
          <w:szCs w:val="32"/>
          <w:highlight w:val="none"/>
          <w:lang w:val="en-US" w:eastAsia="zh-CN"/>
        </w:rPr>
        <w:t>充分发挥各级党建工作协调委员会统筹协调作用，健全成员单位定期会商、资源共享、项目共推机制，打破行政壁垒与条块分割。广泛凝聚驻区单位、企业、社会组织等各方资源力量，常态化开展党建共建、服务联办，切实把党的政治优势、组织优势转化为基层治理效能，加快构建全域统筹、多方联动、共建共享的区域化党建工作格局。</w:t>
      </w:r>
      <w:bookmarkEnd w:id="19"/>
    </w:p>
    <w:p w14:paraId="27D0952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1"/>
        <w:rPr>
          <w:rFonts w:hint="default" w:ascii="黑体" w:hAnsi="黑体" w:eastAsia="黑体" w:cs="黑体"/>
          <w:b w:val="0"/>
          <w:bCs w:val="0"/>
          <w:color w:val="auto"/>
          <w:sz w:val="32"/>
          <w:szCs w:val="32"/>
          <w:highlight w:val="none"/>
          <w:lang w:val="en-US" w:eastAsia="zh-CN"/>
        </w:rPr>
      </w:pPr>
      <w:bookmarkStart w:id="20" w:name="_Toc1653617484"/>
      <w:r>
        <w:rPr>
          <w:rFonts w:hint="eastAsia" w:ascii="黑体" w:hAnsi="黑体" w:eastAsia="黑体" w:cs="黑体"/>
          <w:b w:val="0"/>
          <w:bCs w:val="0"/>
          <w:color w:val="auto"/>
          <w:sz w:val="32"/>
          <w:szCs w:val="32"/>
          <w:highlight w:val="none"/>
          <w:lang w:val="en-US" w:eastAsia="zh-CN"/>
        </w:rPr>
        <w:t>二、打造新兴领域高质量发展新高地</w:t>
      </w:r>
      <w:bookmarkEnd w:id="20"/>
    </w:p>
    <w:p w14:paraId="2C93C86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楷体_GB2312" w:hAnsi="楷体_GB2312" w:eastAsia="楷体_GB2312" w:cs="楷体_GB2312"/>
          <w:b w:val="0"/>
          <w:bCs w:val="0"/>
          <w:color w:val="auto"/>
          <w:sz w:val="32"/>
          <w:szCs w:val="32"/>
          <w:highlight w:val="none"/>
          <w:lang w:eastAsia="zh-CN"/>
        </w:rPr>
      </w:pPr>
      <w:r>
        <w:rPr>
          <w:rFonts w:hint="eastAsia" w:ascii="楷体_GB2312" w:hAnsi="楷体_GB2312" w:eastAsia="楷体_GB2312" w:cs="楷体_GB2312"/>
          <w:b w:val="0"/>
          <w:bCs w:val="0"/>
          <w:color w:val="auto"/>
          <w:sz w:val="32"/>
          <w:szCs w:val="32"/>
          <w:highlight w:val="none"/>
          <w:lang w:eastAsia="zh-CN"/>
        </w:rPr>
        <w:t>（</w:t>
      </w:r>
      <w:r>
        <w:rPr>
          <w:rFonts w:hint="eastAsia" w:ascii="楷体_GB2312" w:hAnsi="楷体_GB2312" w:eastAsia="楷体_GB2312" w:cs="楷体_GB2312"/>
          <w:b w:val="0"/>
          <w:bCs w:val="0"/>
          <w:color w:val="auto"/>
          <w:sz w:val="32"/>
          <w:szCs w:val="32"/>
          <w:highlight w:val="none"/>
          <w:lang w:val="en-US" w:eastAsia="zh-CN"/>
        </w:rPr>
        <w:t>一</w:t>
      </w:r>
      <w:r>
        <w:rPr>
          <w:rFonts w:hint="eastAsia" w:ascii="楷体_GB2312" w:hAnsi="楷体_GB2312" w:eastAsia="楷体_GB2312" w:cs="楷体_GB2312"/>
          <w:b w:val="0"/>
          <w:bCs w:val="0"/>
          <w:color w:val="auto"/>
          <w:sz w:val="32"/>
          <w:szCs w:val="32"/>
          <w:highlight w:val="none"/>
          <w:lang w:eastAsia="zh-CN"/>
        </w:rPr>
        <w:t>）</w:t>
      </w:r>
      <w:r>
        <w:rPr>
          <w:rFonts w:hint="eastAsia" w:ascii="楷体_GB2312" w:hAnsi="楷体_GB2312" w:eastAsia="楷体_GB2312" w:cs="楷体_GB2312"/>
          <w:b w:val="0"/>
          <w:bCs w:val="0"/>
          <w:color w:val="auto"/>
          <w:sz w:val="32"/>
          <w:szCs w:val="32"/>
          <w:highlight w:val="none"/>
          <w:lang w:val="en-US" w:eastAsia="zh-CN"/>
        </w:rPr>
        <w:t>拓展深化新兴领域党的建设</w:t>
      </w:r>
    </w:p>
    <w:p w14:paraId="310447B1">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持续深化新兴领域“两个覆盖”。</w:t>
      </w:r>
      <w:r>
        <w:rPr>
          <w:rFonts w:hint="eastAsia" w:ascii="仿宋_GB2312" w:hAnsi="仿宋_GB2312" w:eastAsia="仿宋_GB2312" w:cs="仿宋_GB2312"/>
          <w:b w:val="0"/>
          <w:bCs w:val="0"/>
          <w:color w:val="auto"/>
          <w:sz w:val="32"/>
          <w:szCs w:val="32"/>
          <w:highlight w:val="none"/>
          <w:lang w:val="en-US" w:eastAsia="zh-CN"/>
        </w:rPr>
        <w:t>扎实推进新经济组织、新社会组织、新就业群体党的组织覆盖和工作覆盖，聚焦重点企业、特色产业，配齐配强党建指导员并下沉一线服务，依托楼宇“三驾马车”机制，常态化开展摸排梳理，实现党组织应建尽建、作用有效发挥，助力“友好之城”建设。</w:t>
      </w:r>
      <w:r>
        <w:rPr>
          <w:rFonts w:hint="eastAsia" w:ascii="仿宋_GB2312" w:hAnsi="仿宋_GB2312" w:eastAsia="仿宋_GB2312" w:cs="仿宋_GB2312"/>
          <w:b/>
          <w:bCs/>
          <w:color w:val="auto"/>
          <w:sz w:val="32"/>
          <w:szCs w:val="32"/>
          <w:highlight w:val="none"/>
          <w:lang w:val="en-US" w:eastAsia="zh-CN"/>
        </w:rPr>
        <w:t>创新党建工作方式。</w:t>
      </w:r>
      <w:r>
        <w:rPr>
          <w:rFonts w:hint="eastAsia" w:ascii="仿宋_GB2312" w:hAnsi="仿宋_GB2312" w:eastAsia="仿宋_GB2312" w:cs="仿宋_GB2312"/>
          <w:color w:val="auto"/>
          <w:sz w:val="32"/>
          <w:szCs w:val="32"/>
          <w:highlight w:val="none"/>
          <w:lang w:val="en-US" w:eastAsia="zh-CN"/>
        </w:rPr>
        <w:t>深化新就业群体“聚蜂行动”，优化流动党员教育管理，加强新就业群体思想政治引领，不断凝聚思想共识，巩固网上网下“两个阵地”，切实增强党在新兴领域中的“两个功能”。</w:t>
      </w:r>
      <w:r>
        <w:rPr>
          <w:rFonts w:hint="eastAsia" w:ascii="仿宋_GB2312" w:hAnsi="仿宋_GB2312" w:eastAsia="仿宋_GB2312" w:cs="仿宋_GB2312"/>
          <w:b/>
          <w:bCs/>
          <w:color w:val="auto"/>
          <w:sz w:val="32"/>
          <w:szCs w:val="32"/>
          <w:highlight w:val="none"/>
          <w:lang w:val="en-US" w:eastAsia="zh-CN"/>
        </w:rPr>
        <w:t>积极培育党建特色品牌。</w:t>
      </w:r>
      <w:r>
        <w:rPr>
          <w:rFonts w:hint="eastAsia" w:ascii="仿宋_GB2312" w:hAnsi="仿宋_GB2312" w:eastAsia="仿宋_GB2312" w:cs="仿宋_GB2312"/>
          <w:b w:val="0"/>
          <w:bCs w:val="0"/>
          <w:color w:val="auto"/>
          <w:sz w:val="32"/>
          <w:szCs w:val="32"/>
          <w:highlight w:val="none"/>
          <w:lang w:val="en-US" w:eastAsia="zh-CN"/>
        </w:rPr>
        <w:t>挖掘</w:t>
      </w:r>
      <w:r>
        <w:rPr>
          <w:rFonts w:hint="eastAsia" w:ascii="仿宋_GB2312" w:hAnsi="仿宋_GB2312" w:eastAsia="仿宋_GB2312" w:cs="仿宋_GB2312"/>
          <w:color w:val="auto"/>
          <w:sz w:val="32"/>
          <w:szCs w:val="32"/>
          <w:highlight w:val="none"/>
          <w:lang w:val="en-US" w:eastAsia="zh-CN"/>
        </w:rPr>
        <w:t>重点企业、特色产业党建亮点，做实产业链党建，打造区级新兴领域党建品牌，以品牌建设带动整体提质增效。</w:t>
      </w:r>
      <w:r>
        <w:rPr>
          <w:rFonts w:hint="eastAsia" w:ascii="仿宋_GB2312" w:hAnsi="仿宋_GB2312" w:eastAsia="仿宋_GB2312" w:cs="仿宋_GB2312"/>
          <w:b/>
          <w:bCs/>
          <w:color w:val="auto"/>
          <w:sz w:val="32"/>
          <w:szCs w:val="32"/>
          <w:highlight w:val="none"/>
          <w:lang w:val="en-US" w:eastAsia="zh-CN"/>
        </w:rPr>
        <w:t>健全多方协同联动机制。</w:t>
      </w:r>
      <w:r>
        <w:rPr>
          <w:rFonts w:hint="eastAsia" w:ascii="仿宋_GB2312" w:hAnsi="仿宋_GB2312" w:eastAsia="仿宋_GB2312" w:cs="仿宋_GB2312"/>
          <w:color w:val="auto"/>
          <w:sz w:val="32"/>
          <w:szCs w:val="32"/>
          <w:highlight w:val="none"/>
          <w:lang w:val="en-US" w:eastAsia="zh-CN"/>
        </w:rPr>
        <w:t>抓牢抓实新兴领域党组织书记和党务工作者“两支队伍”，完善多方协同联动工作机制，完善社会组织发展管理协调机制，着力破解发展中的重点难点问题，切实凝聚齐抓共管工作合力。</w:t>
      </w:r>
    </w:p>
    <w:p w14:paraId="710585F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楷体_GB2312" w:hAnsi="楷体_GB2312" w:eastAsia="楷体_GB2312" w:cs="楷体_GB2312"/>
          <w:b w:val="0"/>
          <w:bCs w:val="0"/>
          <w:color w:val="auto"/>
          <w:sz w:val="32"/>
          <w:szCs w:val="32"/>
          <w:highlight w:val="none"/>
          <w:lang w:eastAsia="zh-CN"/>
        </w:rPr>
      </w:pPr>
      <w:r>
        <w:rPr>
          <w:rFonts w:hint="eastAsia" w:ascii="楷体_GB2312" w:hAnsi="楷体_GB2312" w:eastAsia="楷体_GB2312" w:cs="楷体_GB2312"/>
          <w:b w:val="0"/>
          <w:bCs w:val="0"/>
          <w:color w:val="auto"/>
          <w:sz w:val="32"/>
          <w:szCs w:val="32"/>
          <w:highlight w:val="none"/>
          <w:lang w:eastAsia="zh-CN"/>
        </w:rPr>
        <w:t>（</w:t>
      </w:r>
      <w:r>
        <w:rPr>
          <w:rFonts w:hint="eastAsia" w:ascii="楷体_GB2312" w:hAnsi="楷体_GB2312" w:eastAsia="楷体_GB2312" w:cs="楷体_GB2312"/>
          <w:b w:val="0"/>
          <w:bCs w:val="0"/>
          <w:color w:val="auto"/>
          <w:sz w:val="32"/>
          <w:szCs w:val="32"/>
          <w:highlight w:val="none"/>
          <w:lang w:val="en-US" w:eastAsia="zh-CN"/>
        </w:rPr>
        <w:t>二</w:t>
      </w:r>
      <w:r>
        <w:rPr>
          <w:rFonts w:hint="eastAsia" w:ascii="楷体_GB2312" w:hAnsi="楷体_GB2312" w:eastAsia="楷体_GB2312" w:cs="楷体_GB2312"/>
          <w:b w:val="0"/>
          <w:bCs w:val="0"/>
          <w:color w:val="auto"/>
          <w:sz w:val="32"/>
          <w:szCs w:val="32"/>
          <w:highlight w:val="none"/>
          <w:lang w:eastAsia="zh-CN"/>
        </w:rPr>
        <w:t>）</w:t>
      </w:r>
      <w:r>
        <w:rPr>
          <w:rFonts w:hint="eastAsia" w:ascii="楷体_GB2312" w:hAnsi="楷体_GB2312" w:eastAsia="楷体_GB2312" w:cs="楷体_GB2312"/>
          <w:b w:val="0"/>
          <w:bCs w:val="0"/>
          <w:color w:val="auto"/>
          <w:sz w:val="32"/>
          <w:szCs w:val="32"/>
          <w:highlight w:val="none"/>
          <w:lang w:val="en-US" w:eastAsia="zh-CN"/>
        </w:rPr>
        <w:t>推动</w:t>
      </w:r>
      <w:r>
        <w:rPr>
          <w:rFonts w:hint="eastAsia" w:ascii="楷体_GB2312" w:hAnsi="楷体_GB2312" w:eastAsia="楷体_GB2312" w:cs="楷体_GB2312"/>
          <w:b w:val="0"/>
          <w:bCs w:val="0"/>
          <w:color w:val="auto"/>
          <w:sz w:val="32"/>
          <w:szCs w:val="32"/>
          <w:highlight w:val="none"/>
          <w:lang w:eastAsia="zh-CN"/>
        </w:rPr>
        <w:t>服务阵地</w:t>
      </w:r>
      <w:r>
        <w:rPr>
          <w:rFonts w:hint="eastAsia" w:ascii="楷体_GB2312" w:hAnsi="楷体_GB2312" w:eastAsia="楷体_GB2312" w:cs="楷体_GB2312"/>
          <w:b w:val="0"/>
          <w:bCs w:val="0"/>
          <w:color w:val="auto"/>
          <w:sz w:val="32"/>
          <w:szCs w:val="32"/>
          <w:highlight w:val="none"/>
          <w:lang w:val="en-US" w:eastAsia="zh-CN"/>
        </w:rPr>
        <w:t>扩容</w:t>
      </w:r>
    </w:p>
    <w:p w14:paraId="74FBA83C">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升级服务阵地体系。</w:t>
      </w:r>
      <w:r>
        <w:rPr>
          <w:rFonts w:hint="eastAsia" w:ascii="仿宋_GB2312" w:hAnsi="仿宋_GB2312" w:eastAsia="仿宋_GB2312" w:cs="仿宋_GB2312"/>
          <w:b w:val="0"/>
          <w:bCs w:val="0"/>
          <w:color w:val="auto"/>
          <w:kern w:val="2"/>
          <w:sz w:val="32"/>
          <w:szCs w:val="32"/>
          <w:highlight w:val="none"/>
          <w:lang w:val="en-US" w:eastAsia="zh-CN" w:bidi="ar-SA"/>
        </w:rPr>
        <w:t>构建“街道（园区）党群服务中心——社区、楼宇工作站——暖蜂驿站”三级服务网络，完善休息补给、充电热饭、政策咨询等一站式服务，实现15分钟服务圈全覆盖。</w:t>
      </w:r>
      <w:r>
        <w:rPr>
          <w:rFonts w:hint="eastAsia" w:ascii="仿宋_GB2312" w:hAnsi="仿宋_GB2312" w:eastAsia="仿宋_GB2312" w:cs="仿宋_GB2312"/>
          <w:b/>
          <w:bCs/>
          <w:color w:val="auto"/>
          <w:kern w:val="2"/>
          <w:sz w:val="32"/>
          <w:szCs w:val="32"/>
          <w:highlight w:val="none"/>
          <w:lang w:val="en-US" w:eastAsia="zh-CN" w:bidi="ar-SA"/>
        </w:rPr>
        <w:t>拓展多元友好场景。</w:t>
      </w:r>
      <w:r>
        <w:rPr>
          <w:rFonts w:hint="eastAsia" w:ascii="仿宋_GB2312" w:hAnsi="仿宋_GB2312" w:eastAsia="仿宋_GB2312" w:cs="仿宋_GB2312"/>
          <w:b w:val="0"/>
          <w:bCs w:val="0"/>
          <w:color w:val="auto"/>
          <w:kern w:val="2"/>
          <w:sz w:val="32"/>
          <w:szCs w:val="32"/>
          <w:highlight w:val="none"/>
          <w:lang w:val="en-US" w:eastAsia="zh-CN" w:bidi="ar-SA"/>
        </w:rPr>
        <w:t>推动商圈、社区、楼宇、学校等多元友好场景矩阵拓展升级，分层分类扩容友好场景类型，打造适配新就业群体的便捷服务场景。</w:t>
      </w:r>
      <w:r>
        <w:rPr>
          <w:rFonts w:hint="eastAsia" w:ascii="仿宋_GB2312" w:hAnsi="仿宋_GB2312" w:eastAsia="仿宋_GB2312" w:cs="仿宋_GB2312"/>
          <w:b/>
          <w:bCs/>
          <w:color w:val="auto"/>
          <w:kern w:val="2"/>
          <w:sz w:val="32"/>
          <w:szCs w:val="32"/>
          <w:highlight w:val="none"/>
          <w:lang w:val="en-US" w:eastAsia="zh-CN" w:bidi="ar-SA"/>
        </w:rPr>
        <w:t>破解急难愁盼问题。</w:t>
      </w:r>
      <w:r>
        <w:rPr>
          <w:rFonts w:hint="eastAsia" w:ascii="仿宋_GB2312" w:hAnsi="仿宋_GB2312" w:eastAsia="仿宋_GB2312" w:cs="仿宋_GB2312"/>
          <w:b w:val="0"/>
          <w:bCs w:val="0"/>
          <w:color w:val="auto"/>
          <w:kern w:val="2"/>
          <w:sz w:val="32"/>
          <w:szCs w:val="32"/>
          <w:highlight w:val="none"/>
          <w:lang w:val="en-US" w:eastAsia="zh-CN" w:bidi="ar-SA"/>
        </w:rPr>
        <w:t>加强工作统筹，完善信息共享，协助解决住房、子女入学等实际需求。推出就业、社保专属服务包，落实灵活就业参保、职业技能培训等政策，破解配送通行、停车便利等痛点。</w:t>
      </w:r>
      <w:r>
        <w:rPr>
          <w:rFonts w:hint="eastAsia" w:ascii="仿宋_GB2312" w:hAnsi="仿宋_GB2312" w:eastAsia="仿宋_GB2312" w:cs="仿宋_GB2312"/>
          <w:b/>
          <w:bCs/>
          <w:color w:val="auto"/>
          <w:kern w:val="2"/>
          <w:sz w:val="32"/>
          <w:szCs w:val="32"/>
          <w:highlight w:val="none"/>
          <w:lang w:val="en-US" w:eastAsia="zh-CN" w:bidi="ar-SA"/>
        </w:rPr>
        <w:t>提升服务精准度。</w:t>
      </w:r>
      <w:r>
        <w:rPr>
          <w:rFonts w:hint="eastAsia" w:ascii="仿宋_GB2312" w:hAnsi="仿宋_GB2312" w:eastAsia="仿宋_GB2312" w:cs="仿宋_GB2312"/>
          <w:b w:val="0"/>
          <w:bCs w:val="0"/>
          <w:color w:val="auto"/>
          <w:kern w:val="2"/>
          <w:sz w:val="32"/>
          <w:szCs w:val="32"/>
          <w:highlight w:val="none"/>
          <w:lang w:val="en-US" w:eastAsia="zh-CN" w:bidi="ar-SA"/>
        </w:rPr>
        <w:t>有效发挥工会、共青团、妇联等群团组织桥梁纽带作用，加强对新就业群体的联系服务。整合服务资源，提高公共服务水平，探索通过向社会组织购买服务等方式，为新就业群体提供相关服务，实现服务供给按需匹配。</w:t>
      </w:r>
    </w:p>
    <w:p w14:paraId="66E9CC8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default" w:ascii="楷体_GB2312" w:hAnsi="楷体_GB2312" w:eastAsia="楷体_GB2312" w:cs="楷体_GB2312"/>
          <w:b w:val="0"/>
          <w:bCs w:val="0"/>
          <w:color w:val="auto"/>
          <w:kern w:val="2"/>
          <w:sz w:val="32"/>
          <w:szCs w:val="32"/>
          <w:highlight w:val="none"/>
          <w:lang w:val="en-US" w:eastAsia="zh-CN" w:bidi="ar-SA"/>
        </w:rPr>
      </w:pPr>
      <w:r>
        <w:rPr>
          <w:rFonts w:hint="eastAsia" w:ascii="楷体_GB2312" w:hAnsi="楷体_GB2312" w:eastAsia="楷体_GB2312" w:cs="楷体_GB2312"/>
          <w:b w:val="0"/>
          <w:bCs w:val="0"/>
          <w:color w:val="auto"/>
          <w:kern w:val="2"/>
          <w:sz w:val="32"/>
          <w:szCs w:val="32"/>
          <w:highlight w:val="none"/>
          <w:lang w:val="en-US" w:eastAsia="zh-CN" w:bidi="ar-SA"/>
        </w:rPr>
        <w:t>（三）有效促进社会融入</w:t>
      </w:r>
    </w:p>
    <w:p w14:paraId="6041280F">
      <w:pPr>
        <w:keepNext w:val="0"/>
        <w:keepLines w:val="0"/>
        <w:pageBreakBefore w:val="0"/>
        <w:kinsoku/>
        <w:wordWrap/>
        <w:overflowPunct/>
        <w:topLinePunct w:val="0"/>
        <w:autoSpaceDE/>
        <w:autoSpaceDN/>
        <w:bidi w:val="0"/>
        <w:adjustRightInd w:val="0"/>
        <w:snapToGrid w:val="0"/>
        <w:spacing w:line="560" w:lineRule="exact"/>
        <w:ind w:firstLine="643" w:firstLineChars="200"/>
        <w:rPr>
          <w:rFonts w:hint="eastAsia"/>
          <w:color w:val="auto"/>
          <w:highlight w:val="none"/>
          <w:lang w:val="en-US" w:eastAsia="zh-CN"/>
        </w:rPr>
      </w:pPr>
      <w:r>
        <w:rPr>
          <w:rFonts w:hint="eastAsia" w:ascii="仿宋_GB2312" w:hAnsi="仿宋_GB2312" w:eastAsia="仿宋_GB2312" w:cs="仿宋_GB2312"/>
          <w:b/>
          <w:bCs/>
          <w:color w:val="auto"/>
          <w:kern w:val="2"/>
          <w:sz w:val="32"/>
          <w:szCs w:val="32"/>
          <w:highlight w:val="none"/>
          <w:lang w:val="en-US" w:eastAsia="zh-CN" w:bidi="ar-SA"/>
        </w:rPr>
        <w:t>引导参与社会治理。</w:t>
      </w:r>
      <w:r>
        <w:rPr>
          <w:rFonts w:hint="eastAsia" w:ascii="仿宋_GB2312" w:hAnsi="仿宋_GB2312" w:eastAsia="仿宋_GB2312" w:cs="仿宋_GB2312"/>
          <w:b w:val="0"/>
          <w:bCs w:val="0"/>
          <w:color w:val="auto"/>
          <w:kern w:val="2"/>
          <w:sz w:val="32"/>
          <w:szCs w:val="32"/>
          <w:highlight w:val="none"/>
          <w:lang w:val="en-US" w:eastAsia="zh-CN" w:bidi="ar-SA"/>
        </w:rPr>
        <w:t>鼓励发挥新就业群体特点优势，调动新就业群体参与治理积极性主动性，引导新就业群体主动参与垃圾分类宣传、社区治安巡逻、应急物资配送等治理工作。充分发挥“移动探头”作用，鼓励新就业群体及时收集、反映社区环境、安全隐患等各类问题，助力基层隐患排查整治。</w:t>
      </w:r>
      <w:r>
        <w:rPr>
          <w:rFonts w:hint="eastAsia" w:ascii="仿宋_GB2312" w:hAnsi="仿宋_GB2312" w:eastAsia="仿宋_GB2312" w:cs="仿宋_GB2312"/>
          <w:b/>
          <w:bCs/>
          <w:color w:val="auto"/>
          <w:kern w:val="2"/>
          <w:sz w:val="32"/>
          <w:szCs w:val="32"/>
          <w:highlight w:val="none"/>
          <w:lang w:val="en-US" w:eastAsia="zh-CN" w:bidi="ar-SA"/>
        </w:rPr>
        <w:t>健全协商联动。</w:t>
      </w:r>
      <w:r>
        <w:rPr>
          <w:rFonts w:hint="eastAsia" w:ascii="仿宋_GB2312" w:hAnsi="仿宋_GB2312" w:eastAsia="仿宋_GB2312" w:cs="仿宋_GB2312"/>
          <w:b w:val="0"/>
          <w:bCs w:val="0"/>
          <w:color w:val="auto"/>
          <w:kern w:val="2"/>
          <w:sz w:val="32"/>
          <w:szCs w:val="32"/>
          <w:highlight w:val="none"/>
          <w:lang w:val="en-US" w:eastAsia="zh-CN" w:bidi="ar-SA"/>
        </w:rPr>
        <w:t>推动新就业群体与志愿服务队伍深度联动，引导其参与楼事楼议、社区协商等活动，主动建言献策。</w:t>
      </w:r>
      <w:r>
        <w:rPr>
          <w:rFonts w:hint="eastAsia" w:ascii="仿宋_GB2312" w:hAnsi="仿宋_GB2312" w:eastAsia="仿宋_GB2312" w:cs="仿宋_GB2312"/>
          <w:b/>
          <w:bCs/>
          <w:color w:val="auto"/>
          <w:kern w:val="2"/>
          <w:sz w:val="32"/>
          <w:szCs w:val="32"/>
          <w:highlight w:val="none"/>
          <w:lang w:val="en-US" w:eastAsia="zh-CN" w:bidi="ar-SA"/>
        </w:rPr>
        <w:t>展示良好形象。</w:t>
      </w:r>
      <w:r>
        <w:rPr>
          <w:rFonts w:hint="eastAsia" w:ascii="仿宋_GB2312" w:hAnsi="仿宋_GB2312" w:eastAsia="仿宋_GB2312" w:cs="仿宋_GB2312"/>
          <w:b w:val="0"/>
          <w:bCs w:val="0"/>
          <w:color w:val="auto"/>
          <w:kern w:val="2"/>
          <w:sz w:val="32"/>
          <w:szCs w:val="32"/>
          <w:highlight w:val="none"/>
          <w:lang w:val="en-US" w:eastAsia="zh-CN" w:bidi="ar-SA"/>
        </w:rPr>
        <w:t>加强正面宣传和激励引导，营造尊重、理解新就业群体的良好社会氛围。积极引导新就业群体爱岗敬业、奉献社会，推动新就业群体从治理旁观者转变为治理合伙人，深度融入共建共治共享治理格局。</w:t>
      </w:r>
      <w:r>
        <w:rPr>
          <w:rFonts w:hint="eastAsia" w:ascii="仿宋_GB2312" w:hAnsi="仿宋_GB2312" w:eastAsia="仿宋_GB2312" w:cs="仿宋_GB2312"/>
          <w:b/>
          <w:bCs/>
          <w:color w:val="auto"/>
          <w:kern w:val="2"/>
          <w:sz w:val="32"/>
          <w:szCs w:val="32"/>
          <w:highlight w:val="none"/>
          <w:lang w:val="en-US" w:eastAsia="zh-CN" w:bidi="ar-SA"/>
        </w:rPr>
        <w:t>营造和谐友好从业环境。</w:t>
      </w:r>
      <w:r>
        <w:rPr>
          <w:rFonts w:hint="eastAsia" w:ascii="仿宋_GB2312" w:hAnsi="仿宋_GB2312" w:eastAsia="仿宋_GB2312" w:cs="仿宋_GB2312"/>
          <w:b w:val="0"/>
          <w:bCs w:val="0"/>
          <w:color w:val="auto"/>
          <w:kern w:val="2"/>
          <w:sz w:val="32"/>
          <w:szCs w:val="32"/>
          <w:highlight w:val="none"/>
          <w:lang w:val="en-US" w:eastAsia="zh-CN" w:bidi="ar-SA"/>
        </w:rPr>
        <w:t>规范企业用工管理。健全协商维权机制，依托工会、人社部门搭建沟通平台，强化合法权益保障，构建和谐劳动关系。</w:t>
      </w:r>
    </w:p>
    <w:p w14:paraId="5E86F5F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楷体_GB2312" w:hAnsi="楷体_GB2312" w:eastAsia="楷体_GB2312" w:cs="楷体_GB2312"/>
          <w:b w:val="0"/>
          <w:bCs w:val="0"/>
          <w:color w:val="auto"/>
          <w:sz w:val="32"/>
          <w:szCs w:val="32"/>
          <w:highlight w:val="none"/>
          <w:lang w:eastAsia="zh-CN"/>
        </w:rPr>
      </w:pPr>
      <w:r>
        <w:rPr>
          <w:rFonts w:hint="eastAsia" w:ascii="楷体_GB2312" w:hAnsi="楷体_GB2312" w:eastAsia="楷体_GB2312" w:cs="楷体_GB2312"/>
          <w:b w:val="0"/>
          <w:bCs w:val="0"/>
          <w:color w:val="auto"/>
          <w:sz w:val="32"/>
          <w:szCs w:val="32"/>
          <w:highlight w:val="none"/>
        </w:rPr>
        <w:t>（</w:t>
      </w:r>
      <w:r>
        <w:rPr>
          <w:rFonts w:hint="eastAsia" w:ascii="楷体_GB2312" w:hAnsi="楷体_GB2312" w:eastAsia="楷体_GB2312" w:cs="楷体_GB2312"/>
          <w:b w:val="0"/>
          <w:bCs w:val="0"/>
          <w:color w:val="auto"/>
          <w:sz w:val="32"/>
          <w:szCs w:val="32"/>
          <w:highlight w:val="none"/>
          <w:lang w:val="en-US" w:eastAsia="zh-CN"/>
        </w:rPr>
        <w:t>四</w:t>
      </w:r>
      <w:r>
        <w:rPr>
          <w:rFonts w:hint="eastAsia" w:ascii="楷体_GB2312" w:hAnsi="楷体_GB2312" w:eastAsia="楷体_GB2312" w:cs="楷体_GB2312"/>
          <w:b w:val="0"/>
          <w:bCs w:val="0"/>
          <w:color w:val="auto"/>
          <w:sz w:val="32"/>
          <w:szCs w:val="32"/>
          <w:highlight w:val="none"/>
        </w:rPr>
        <w:t>）</w:t>
      </w:r>
      <w:r>
        <w:rPr>
          <w:rFonts w:hint="eastAsia" w:ascii="楷体_GB2312" w:hAnsi="楷体_GB2312" w:eastAsia="楷体_GB2312" w:cs="楷体_GB2312"/>
          <w:b w:val="0"/>
          <w:bCs w:val="0"/>
          <w:color w:val="auto"/>
          <w:sz w:val="32"/>
          <w:szCs w:val="32"/>
          <w:highlight w:val="none"/>
          <w:lang w:val="en-US" w:eastAsia="zh-CN"/>
        </w:rPr>
        <w:t>优化行业治理协同联动</w:t>
      </w:r>
    </w:p>
    <w:p w14:paraId="49FF0B45">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sz w:val="32"/>
          <w:szCs w:val="32"/>
          <w:highlight w:val="none"/>
          <w:lang w:val="en-US" w:eastAsia="zh-CN"/>
        </w:rPr>
        <w:t>推进重点行业党建扩面提质</w:t>
      </w:r>
      <w:r>
        <w:rPr>
          <w:rFonts w:hint="eastAsia" w:ascii="仿宋_GB2312" w:hAnsi="仿宋_GB2312" w:eastAsia="仿宋_GB2312" w:cs="仿宋_GB2312"/>
          <w:b/>
          <w:bCs/>
          <w:color w:val="auto"/>
          <w:kern w:val="2"/>
          <w:sz w:val="32"/>
          <w:szCs w:val="32"/>
          <w:highlight w:val="none"/>
          <w:lang w:val="en-US" w:eastAsia="zh-CN" w:bidi="ar-SA"/>
        </w:rPr>
        <w:t>。</w:t>
      </w:r>
      <w:r>
        <w:rPr>
          <w:rFonts w:hint="eastAsia" w:ascii="仿宋_GB2312" w:hAnsi="仿宋_GB2312" w:eastAsia="仿宋_GB2312" w:cs="仿宋_GB2312"/>
          <w:color w:val="auto"/>
          <w:kern w:val="2"/>
          <w:sz w:val="32"/>
          <w:szCs w:val="32"/>
          <w:highlight w:val="none"/>
          <w:lang w:val="en-US" w:eastAsia="zh-CN" w:bidi="ar-SA"/>
        </w:rPr>
        <w:t>坚持“抓行业抓党建、管领域管人群”，项目化推进重点行业党建工作，深化产业链党建工作，聚焦科技服务等区域特色行业，细化党建工作路径</w:t>
      </w:r>
      <w:bookmarkStart w:id="21" w:name="OLE_LINK8"/>
      <w:r>
        <w:rPr>
          <w:rFonts w:hint="eastAsia" w:ascii="仿宋_GB2312" w:hAnsi="仿宋_GB2312" w:eastAsia="仿宋_GB2312" w:cs="仿宋_GB2312"/>
          <w:color w:val="auto"/>
          <w:kern w:val="2"/>
          <w:sz w:val="32"/>
          <w:szCs w:val="32"/>
          <w:highlight w:val="none"/>
          <w:lang w:val="en-US" w:eastAsia="zh-CN" w:bidi="ar-SA"/>
        </w:rPr>
        <w:t>。聚焦“党建强、行业兴”，持续深化党建引领行业高质量发展，从优势行业深耕到新兴领域延伸，推动党建与行业发展深度融合。</w:t>
      </w:r>
      <w:bookmarkEnd w:id="21"/>
      <w:r>
        <w:rPr>
          <w:rFonts w:hint="eastAsia" w:ascii="仿宋_GB2312" w:hAnsi="仿宋_GB2312" w:eastAsia="仿宋_GB2312" w:cs="仿宋_GB2312"/>
          <w:b/>
          <w:bCs/>
          <w:color w:val="auto"/>
          <w:kern w:val="2"/>
          <w:sz w:val="32"/>
          <w:szCs w:val="32"/>
          <w:highlight w:val="none"/>
          <w:lang w:val="en-US" w:eastAsia="zh-CN" w:bidi="ar-SA"/>
        </w:rPr>
        <w:t>构建行业党建协同联动路径。</w:t>
      </w:r>
      <w:r>
        <w:rPr>
          <w:rFonts w:hint="eastAsia" w:ascii="仿宋_GB2312" w:hAnsi="仿宋_GB2312" w:eastAsia="仿宋_GB2312" w:cs="仿宋_GB2312"/>
          <w:color w:val="auto"/>
          <w:kern w:val="2"/>
          <w:sz w:val="32"/>
          <w:szCs w:val="32"/>
          <w:highlight w:val="none"/>
          <w:lang w:val="en-US" w:eastAsia="zh-CN" w:bidi="ar-SA"/>
        </w:rPr>
        <w:t>健全行业党委引领、行业协会商会党组织协同、行业企业党组织参与的行业党建路径，理顺行业协会商会党建工作管理体制，强化行业管理部门（业务主管单位）对行业协会商会的日常联络和党建工作指导，规范区级行业协会商会运行，推动区级行业协会商会深化改革和转型发展。</w:t>
      </w:r>
    </w:p>
    <w:p w14:paraId="38B32A9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1"/>
        <w:rPr>
          <w:rFonts w:hint="eastAsia" w:ascii="黑体" w:hAnsi="黑体" w:eastAsia="黑体" w:cs="黑体"/>
          <w:b w:val="0"/>
          <w:bCs w:val="0"/>
          <w:color w:val="auto"/>
          <w:sz w:val="32"/>
          <w:szCs w:val="32"/>
          <w:highlight w:val="none"/>
          <w:lang w:val="en-US" w:eastAsia="zh-CN"/>
        </w:rPr>
      </w:pPr>
      <w:bookmarkStart w:id="22" w:name="_Toc365341767"/>
      <w:r>
        <w:rPr>
          <w:rFonts w:hint="eastAsia" w:ascii="黑体" w:hAnsi="黑体" w:eastAsia="黑体" w:cs="黑体"/>
          <w:b w:val="0"/>
          <w:bCs w:val="0"/>
          <w:color w:val="auto"/>
          <w:sz w:val="32"/>
          <w:szCs w:val="32"/>
          <w:highlight w:val="none"/>
          <w:lang w:val="en-US" w:eastAsia="zh-CN"/>
        </w:rPr>
        <w:t>三、构筑基层治理与政权建设新优势</w:t>
      </w:r>
      <w:bookmarkEnd w:id="22"/>
    </w:p>
    <w:p w14:paraId="07A4188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楷体_GB2312" w:hAnsi="楷体_GB2312" w:eastAsia="楷体_GB2312" w:cs="楷体_GB2312"/>
          <w:b w:val="0"/>
          <w:bCs w:val="0"/>
          <w:color w:val="auto"/>
          <w:sz w:val="32"/>
          <w:szCs w:val="32"/>
          <w:highlight w:val="none"/>
          <w:lang w:val="en-US" w:eastAsia="zh-CN"/>
        </w:rPr>
      </w:pPr>
      <w:bookmarkStart w:id="23" w:name="OLE_LINK9"/>
      <w:r>
        <w:rPr>
          <w:rFonts w:hint="eastAsia" w:ascii="楷体_GB2312" w:hAnsi="楷体_GB2312" w:eastAsia="楷体_GB2312" w:cs="楷体_GB2312"/>
          <w:b w:val="0"/>
          <w:bCs w:val="0"/>
          <w:color w:val="auto"/>
          <w:sz w:val="32"/>
          <w:szCs w:val="32"/>
          <w:highlight w:val="none"/>
          <w:lang w:eastAsia="zh-CN"/>
        </w:rPr>
        <w:t>（</w:t>
      </w:r>
      <w:r>
        <w:rPr>
          <w:rFonts w:hint="eastAsia" w:ascii="楷体_GB2312" w:hAnsi="楷体_GB2312" w:eastAsia="楷体_GB2312" w:cs="楷体_GB2312"/>
          <w:b w:val="0"/>
          <w:bCs w:val="0"/>
          <w:color w:val="auto"/>
          <w:sz w:val="32"/>
          <w:szCs w:val="32"/>
          <w:highlight w:val="none"/>
          <w:lang w:val="en-US" w:eastAsia="zh-CN"/>
        </w:rPr>
        <w:t>一</w:t>
      </w:r>
      <w:r>
        <w:rPr>
          <w:rFonts w:hint="eastAsia" w:ascii="楷体_GB2312" w:hAnsi="楷体_GB2312" w:eastAsia="楷体_GB2312" w:cs="楷体_GB2312"/>
          <w:b w:val="0"/>
          <w:bCs w:val="0"/>
          <w:color w:val="auto"/>
          <w:sz w:val="32"/>
          <w:szCs w:val="32"/>
          <w:highlight w:val="none"/>
          <w:lang w:eastAsia="zh-CN"/>
        </w:rPr>
        <w:t>）</w:t>
      </w:r>
      <w:r>
        <w:rPr>
          <w:rFonts w:hint="eastAsia" w:ascii="楷体_GB2312" w:hAnsi="楷体_GB2312" w:eastAsia="楷体_GB2312" w:cs="楷体_GB2312"/>
          <w:b w:val="0"/>
          <w:bCs w:val="0"/>
          <w:color w:val="auto"/>
          <w:sz w:val="32"/>
          <w:szCs w:val="32"/>
          <w:highlight w:val="none"/>
          <w:lang w:val="en-US" w:eastAsia="zh-CN"/>
        </w:rPr>
        <w:t>推进“智网实格”建设</w:t>
      </w:r>
    </w:p>
    <w:bookmarkEnd w:id="23"/>
    <w:p w14:paraId="6832613C">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优化网格体系与力量配置。</w:t>
      </w:r>
      <w:r>
        <w:rPr>
          <w:rFonts w:hint="eastAsia" w:ascii="仿宋_GB2312" w:hAnsi="仿宋_GB2312" w:eastAsia="仿宋_GB2312" w:cs="仿宋_GB2312"/>
          <w:b w:val="0"/>
          <w:bCs w:val="0"/>
          <w:color w:val="auto"/>
          <w:sz w:val="32"/>
          <w:szCs w:val="32"/>
          <w:highlight w:val="none"/>
          <w:lang w:val="en-US" w:eastAsia="zh-CN"/>
        </w:rPr>
        <w:t>推动“两委”班子成员、社区工作者全部编入网格。配齐配强网格长，推动网格长围绕信息采集、问题处置、民生服务等 8 项重点任务，常态化开展入户走访，精准摸排矛盾隐患，高效解决问题诉求。按照“1+8+N”标准，指导各网格协调资源、配强力量。及时调整基层党组织设置，条件成熟的网格要单独设立网格党支部。</w:t>
      </w:r>
      <w:r>
        <w:rPr>
          <w:rFonts w:hint="eastAsia" w:ascii="仿宋_GB2312" w:hAnsi="仿宋_GB2312" w:eastAsia="仿宋_GB2312" w:cs="仿宋_GB2312"/>
          <w:b/>
          <w:bCs/>
          <w:color w:val="auto"/>
          <w:sz w:val="32"/>
          <w:szCs w:val="32"/>
          <w:highlight w:val="none"/>
          <w:lang w:val="en-US" w:eastAsia="zh-CN"/>
        </w:rPr>
        <w:t>完善网格运行机制。</w:t>
      </w:r>
      <w:r>
        <w:rPr>
          <w:rFonts w:hint="eastAsia" w:ascii="仿宋_GB2312" w:hAnsi="仿宋_GB2312" w:eastAsia="仿宋_GB2312" w:cs="仿宋_GB2312"/>
          <w:b w:val="0"/>
          <w:bCs w:val="0"/>
          <w:color w:val="auto"/>
          <w:sz w:val="32"/>
          <w:szCs w:val="32"/>
          <w:highlight w:val="none"/>
          <w:lang w:val="en-US" w:eastAsia="zh-CN"/>
        </w:rPr>
        <w:t>规范网格治理事项准入机制，严格对照街道履职事项清单和社区工作事项清单部署网格工作。规范问题发现上报处置机制，完善问题上报、任务分办、协同处置、结果反馈的工作流程，明确流转路径、责任单位、办结时效等标准，推动小微问题就地处置、自办自结。</w:t>
      </w:r>
      <w:r>
        <w:rPr>
          <w:rFonts w:hint="eastAsia" w:ascii="仿宋_GB2312" w:hAnsi="仿宋_GB2312" w:eastAsia="仿宋_GB2312" w:cs="仿宋_GB2312"/>
          <w:b/>
          <w:bCs/>
          <w:color w:val="auto"/>
          <w:sz w:val="32"/>
          <w:szCs w:val="32"/>
          <w:highlight w:val="none"/>
          <w:lang w:val="en-US" w:eastAsia="zh-CN"/>
        </w:rPr>
        <w:t>升级数字平台与服务场景。</w:t>
      </w:r>
      <w:r>
        <w:rPr>
          <w:rFonts w:hint="eastAsia" w:ascii="仿宋_GB2312" w:hAnsi="仿宋_GB2312" w:eastAsia="仿宋_GB2312" w:cs="仿宋_GB2312"/>
          <w:b w:val="0"/>
          <w:bCs w:val="0"/>
          <w:color w:val="auto"/>
          <w:sz w:val="32"/>
          <w:szCs w:val="32"/>
          <w:highlight w:val="none"/>
          <w:lang w:val="en-US" w:eastAsia="zh-CN"/>
        </w:rPr>
        <w:t>持续丰富“石网 E 通”场景应用，进一步优化交互体验。推动网格长运用“石网 E 通”做好基础信息采集，持续更新完善居民基础信息。大力推广宣传“一码通”，持续提升响应速度、服务质量和解决实效。</w:t>
      </w:r>
      <w:r>
        <w:rPr>
          <w:rFonts w:hint="eastAsia" w:ascii="仿宋_GB2312" w:hAnsi="仿宋_GB2312" w:eastAsia="仿宋_GB2312" w:cs="仿宋_GB2312"/>
          <w:b/>
          <w:bCs/>
          <w:color w:val="auto"/>
          <w:sz w:val="32"/>
          <w:szCs w:val="32"/>
          <w:highlight w:val="none"/>
          <w:lang w:val="en-US" w:eastAsia="zh-CN"/>
        </w:rPr>
        <w:t>深化“接诉即办”改革提质。</w:t>
      </w:r>
      <w:r>
        <w:rPr>
          <w:rFonts w:hint="eastAsia" w:ascii="仿宋_GB2312" w:hAnsi="仿宋_GB2312" w:eastAsia="仿宋_GB2312" w:cs="仿宋_GB2312"/>
          <w:b w:val="0"/>
          <w:bCs w:val="0"/>
          <w:color w:val="auto"/>
          <w:sz w:val="32"/>
          <w:szCs w:val="32"/>
          <w:highlight w:val="none"/>
          <w:lang w:val="en-US" w:eastAsia="zh-CN"/>
        </w:rPr>
        <w:t>优化运行机制，深化“热线+网格”机制，健全“接诉即办”大数据分析平台，推动“吹哨报到”与“接诉即办”有效衔接。推进主动治理，结合“每月一题”专项行动破解停车难、物业纠纷等高频问题，建立“未诉先办”预警机制，切实提升治理前瞻性。</w:t>
      </w:r>
    </w:p>
    <w:p w14:paraId="0DC4A3D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楷体_GB2312" w:hAnsi="楷体_GB2312" w:eastAsia="楷体_GB2312" w:cs="楷体_GB2312"/>
          <w:b w:val="0"/>
          <w:bCs w:val="0"/>
          <w:color w:val="auto"/>
          <w:sz w:val="32"/>
          <w:szCs w:val="32"/>
          <w:highlight w:val="none"/>
          <w:lang w:eastAsia="zh-CN"/>
        </w:rPr>
      </w:pPr>
      <w:r>
        <w:rPr>
          <w:rFonts w:hint="eastAsia" w:ascii="楷体_GB2312" w:hAnsi="楷体_GB2312" w:eastAsia="楷体_GB2312" w:cs="楷体_GB2312"/>
          <w:b w:val="0"/>
          <w:bCs w:val="0"/>
          <w:color w:val="auto"/>
          <w:sz w:val="32"/>
          <w:szCs w:val="32"/>
          <w:highlight w:val="none"/>
          <w:lang w:eastAsia="zh-CN"/>
        </w:rPr>
        <w:t>（</w:t>
      </w:r>
      <w:r>
        <w:rPr>
          <w:rFonts w:hint="eastAsia" w:ascii="楷体_GB2312" w:hAnsi="楷体_GB2312" w:eastAsia="楷体_GB2312" w:cs="楷体_GB2312"/>
          <w:b w:val="0"/>
          <w:bCs w:val="0"/>
          <w:color w:val="auto"/>
          <w:sz w:val="32"/>
          <w:szCs w:val="32"/>
          <w:highlight w:val="none"/>
          <w:lang w:val="en-US" w:eastAsia="zh-CN"/>
        </w:rPr>
        <w:t>二</w:t>
      </w:r>
      <w:r>
        <w:rPr>
          <w:rFonts w:hint="eastAsia" w:ascii="楷体_GB2312" w:hAnsi="楷体_GB2312" w:eastAsia="楷体_GB2312" w:cs="楷体_GB2312"/>
          <w:b w:val="0"/>
          <w:bCs w:val="0"/>
          <w:color w:val="auto"/>
          <w:sz w:val="32"/>
          <w:szCs w:val="32"/>
          <w:highlight w:val="none"/>
          <w:lang w:eastAsia="zh-CN"/>
        </w:rPr>
        <w:t>）</w:t>
      </w:r>
      <w:r>
        <w:rPr>
          <w:rFonts w:hint="eastAsia" w:ascii="楷体_GB2312" w:hAnsi="楷体_GB2312" w:eastAsia="楷体_GB2312" w:cs="楷体_GB2312"/>
          <w:b w:val="0"/>
          <w:bCs w:val="0"/>
          <w:color w:val="auto"/>
          <w:sz w:val="32"/>
          <w:szCs w:val="32"/>
          <w:highlight w:val="none"/>
          <w:lang w:val="en-US" w:eastAsia="zh-CN"/>
        </w:rPr>
        <w:t>提升</w:t>
      </w:r>
      <w:r>
        <w:rPr>
          <w:rFonts w:hint="eastAsia" w:ascii="楷体_GB2312" w:hAnsi="楷体_GB2312" w:eastAsia="楷体_GB2312" w:cs="楷体_GB2312"/>
          <w:b w:val="0"/>
          <w:bCs w:val="0"/>
          <w:color w:val="auto"/>
          <w:sz w:val="32"/>
          <w:szCs w:val="32"/>
          <w:highlight w:val="none"/>
        </w:rPr>
        <w:t>楼宇治理</w:t>
      </w:r>
      <w:r>
        <w:rPr>
          <w:rFonts w:hint="eastAsia" w:ascii="楷体_GB2312" w:hAnsi="楷体_GB2312" w:eastAsia="楷体_GB2312" w:cs="楷体_GB2312"/>
          <w:b w:val="0"/>
          <w:bCs w:val="0"/>
          <w:color w:val="auto"/>
          <w:sz w:val="32"/>
          <w:szCs w:val="32"/>
          <w:highlight w:val="none"/>
          <w:lang w:val="en-US" w:eastAsia="zh-CN"/>
        </w:rPr>
        <w:t>效能</w:t>
      </w:r>
    </w:p>
    <w:p w14:paraId="0C289124">
      <w:pPr>
        <w:keepNext w:val="0"/>
        <w:keepLines w:val="0"/>
        <w:pageBreakBefore w:val="0"/>
        <w:kinsoku/>
        <w:wordWrap/>
        <w:overflowPunct/>
        <w:topLinePunct w:val="0"/>
        <w:autoSpaceDE/>
        <w:autoSpaceDN/>
        <w:bidi w:val="0"/>
        <w:adjustRightInd w:val="0"/>
        <w:snapToGrid w:val="0"/>
        <w:spacing w:line="560" w:lineRule="exact"/>
        <w:ind w:firstLine="643" w:firstLineChars="200"/>
        <w:outlineLvl w:val="9"/>
        <w:rPr>
          <w:rFonts w:hint="eastAsia"/>
          <w:color w:val="auto"/>
          <w:highlight w:val="none"/>
          <w:lang w:val="en-US" w:eastAsia="zh-CN"/>
        </w:rPr>
      </w:pPr>
      <w:r>
        <w:rPr>
          <w:rFonts w:hint="eastAsia" w:ascii="仿宋_GB2312" w:hAnsi="仿宋_GB2312" w:eastAsia="仿宋_GB2312" w:cs="仿宋_GB2312"/>
          <w:b/>
          <w:bCs/>
          <w:color w:val="auto"/>
          <w:sz w:val="32"/>
          <w:szCs w:val="32"/>
          <w:highlight w:val="none"/>
          <w:lang w:val="en-US" w:eastAsia="zh-CN"/>
        </w:rPr>
        <w:t>健全治理体系。</w:t>
      </w:r>
      <w:r>
        <w:rPr>
          <w:rFonts w:hint="eastAsia" w:ascii="仿宋_GB2312" w:hAnsi="仿宋_GB2312" w:eastAsia="仿宋_GB2312" w:cs="仿宋_GB2312"/>
          <w:b w:val="0"/>
          <w:bCs w:val="0"/>
          <w:color w:val="auto"/>
          <w:sz w:val="32"/>
          <w:szCs w:val="32"/>
          <w:highlight w:val="none"/>
          <w:lang w:val="en-US" w:eastAsia="zh-CN"/>
        </w:rPr>
        <w:t>健全党建引领楼宇治理、企业服务联席会议，充分调动各职能部门积极性，深度参与楼宇治理，提升楼宇党建、楼宇治理、楼宇服务水平。深化楼宇治理“三驾马车”运行模式，完善协商议事机制，广泛吸纳企业、新就业群体、物业等多元主体参与治理。</w:t>
      </w:r>
      <w:r>
        <w:rPr>
          <w:rFonts w:hint="eastAsia" w:ascii="仿宋_GB2312" w:hAnsi="仿宋_GB2312" w:eastAsia="仿宋_GB2312" w:cs="仿宋_GB2312"/>
          <w:b/>
          <w:bCs/>
          <w:color w:val="auto"/>
          <w:sz w:val="32"/>
          <w:szCs w:val="32"/>
          <w:highlight w:val="none"/>
          <w:lang w:val="en-US" w:eastAsia="zh-CN"/>
        </w:rPr>
        <w:t>强化服务保障。</w:t>
      </w:r>
      <w:r>
        <w:rPr>
          <w:rFonts w:hint="eastAsia" w:ascii="仿宋_GB2312" w:hAnsi="仿宋_GB2312" w:eastAsia="仿宋_GB2312" w:cs="仿宋_GB2312"/>
          <w:b w:val="0"/>
          <w:bCs w:val="0"/>
          <w:color w:val="auto"/>
          <w:sz w:val="32"/>
          <w:szCs w:val="32"/>
          <w:highlight w:val="none"/>
          <w:lang w:val="en-US" w:eastAsia="zh-CN"/>
        </w:rPr>
        <w:t>统筹党政机关、群团组织、社会组织等多元资源，实现政策、阵地、服务等供需精准对接。建强楼宇工作站，打造楼宇“一站式”服务中心，优化楼宇社工绩效考核与专题培训，打造专业化社工队伍，提升服务精准度与实效性。</w:t>
      </w:r>
      <w:r>
        <w:rPr>
          <w:rFonts w:hint="eastAsia" w:ascii="仿宋_GB2312" w:hAnsi="仿宋_GB2312" w:eastAsia="仿宋_GB2312" w:cs="仿宋_GB2312"/>
          <w:b/>
          <w:bCs/>
          <w:color w:val="auto"/>
          <w:sz w:val="32"/>
          <w:szCs w:val="32"/>
          <w:highlight w:val="none"/>
          <w:lang w:val="en-US" w:eastAsia="zh-CN"/>
        </w:rPr>
        <w:t>服务楼宇经济发展。</w:t>
      </w:r>
      <w:r>
        <w:rPr>
          <w:rFonts w:hint="eastAsia" w:ascii="仿宋_GB2312" w:hAnsi="仿宋_GB2312" w:eastAsia="仿宋_GB2312" w:cs="仿宋_GB2312"/>
          <w:b w:val="0"/>
          <w:bCs w:val="0"/>
          <w:color w:val="auto"/>
          <w:sz w:val="32"/>
          <w:szCs w:val="32"/>
          <w:highlight w:val="none"/>
          <w:lang w:val="en-US" w:eastAsia="zh-CN"/>
        </w:rPr>
        <w:t>以楼宇治理赋能经济发展，推动治理、资源、服务重心下沉，精准对接企业需求，实现楼宇事务“未诉先办”，破解企业发展堵点难点，提升企业获得感，助力楼宇产业升级，推动楼宇经济高质量发展。</w:t>
      </w:r>
      <w:r>
        <w:rPr>
          <w:rFonts w:hint="eastAsia" w:ascii="仿宋_GB2312" w:hAnsi="仿宋_GB2312" w:eastAsia="仿宋_GB2312" w:cs="仿宋_GB2312"/>
          <w:b/>
          <w:bCs/>
          <w:color w:val="auto"/>
          <w:sz w:val="32"/>
          <w:szCs w:val="32"/>
          <w:highlight w:val="none"/>
          <w:lang w:val="en-US" w:eastAsia="zh-CN"/>
        </w:rPr>
        <w:t>优化企业服务机制。</w:t>
      </w:r>
      <w:r>
        <w:rPr>
          <w:rFonts w:hint="eastAsia" w:ascii="仿宋_GB2312" w:hAnsi="仿宋_GB2312" w:eastAsia="仿宋_GB2312" w:cs="仿宋_GB2312"/>
          <w:b w:val="0"/>
          <w:bCs w:val="0"/>
          <w:color w:val="auto"/>
          <w:sz w:val="32"/>
          <w:szCs w:val="32"/>
          <w:highlight w:val="none"/>
          <w:lang w:val="en-US" w:eastAsia="zh-CN"/>
        </w:rPr>
        <w:t>建立健全企业诉求收集、处理和反馈机制，促进政企楼企交流合作，提高楼宇经济附加值。依托楼宇综合信息平台，归集楼宇空间、企业经营、新就业群体等各类数据，推动跨部门信息共享，运用大数据开展运行监测，以数智化赋能楼宇治理精细化。</w:t>
      </w:r>
    </w:p>
    <w:p w14:paraId="7D1275B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楷体_GB2312" w:hAnsi="楷体_GB2312" w:eastAsia="楷体_GB2312" w:cs="楷体_GB2312"/>
          <w:b w:val="0"/>
          <w:bCs w:val="0"/>
          <w:color w:val="auto"/>
          <w:sz w:val="32"/>
          <w:szCs w:val="32"/>
          <w:highlight w:val="none"/>
          <w:lang w:eastAsia="zh-CN"/>
        </w:rPr>
      </w:pPr>
      <w:r>
        <w:rPr>
          <w:rFonts w:hint="eastAsia" w:ascii="楷体_GB2312" w:hAnsi="楷体_GB2312" w:eastAsia="楷体_GB2312" w:cs="楷体_GB2312"/>
          <w:b w:val="0"/>
          <w:bCs w:val="0"/>
          <w:color w:val="auto"/>
          <w:sz w:val="32"/>
          <w:szCs w:val="32"/>
          <w:highlight w:val="none"/>
        </w:rPr>
        <w:t>（</w:t>
      </w:r>
      <w:r>
        <w:rPr>
          <w:rFonts w:hint="eastAsia" w:ascii="楷体_GB2312" w:hAnsi="楷体_GB2312" w:eastAsia="楷体_GB2312" w:cs="楷体_GB2312"/>
          <w:b w:val="0"/>
          <w:bCs w:val="0"/>
          <w:color w:val="auto"/>
          <w:sz w:val="32"/>
          <w:szCs w:val="32"/>
          <w:highlight w:val="none"/>
          <w:lang w:val="en-US" w:eastAsia="zh-CN"/>
        </w:rPr>
        <w:t>三</w:t>
      </w:r>
      <w:r>
        <w:rPr>
          <w:rFonts w:hint="eastAsia" w:ascii="楷体_GB2312" w:hAnsi="楷体_GB2312" w:eastAsia="楷体_GB2312" w:cs="楷体_GB2312"/>
          <w:b w:val="0"/>
          <w:bCs w:val="0"/>
          <w:color w:val="auto"/>
          <w:sz w:val="32"/>
          <w:szCs w:val="32"/>
          <w:highlight w:val="none"/>
        </w:rPr>
        <w:t>）升级“老街坊”治理</w:t>
      </w:r>
      <w:r>
        <w:rPr>
          <w:rFonts w:hint="eastAsia" w:ascii="楷体_GB2312" w:hAnsi="楷体_GB2312" w:eastAsia="楷体_GB2312" w:cs="楷体_GB2312"/>
          <w:b w:val="0"/>
          <w:bCs w:val="0"/>
          <w:color w:val="auto"/>
          <w:sz w:val="32"/>
          <w:szCs w:val="32"/>
          <w:highlight w:val="none"/>
          <w:lang w:val="en-US" w:eastAsia="zh-CN"/>
        </w:rPr>
        <w:t>服务</w:t>
      </w:r>
    </w:p>
    <w:p w14:paraId="4A2D1574">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outlineLvl w:val="9"/>
        <w:rPr>
          <w:rFonts w:hint="default" w:ascii="仿宋_GB2312" w:hAnsi="仿宋_GB2312" w:eastAsia="仿宋_GB2312" w:cs="仿宋_GB2312"/>
          <w:b/>
          <w:bCs/>
          <w:color w:val="auto"/>
          <w:kern w:val="2"/>
          <w:sz w:val="32"/>
          <w:szCs w:val="32"/>
          <w:highlight w:val="none"/>
          <w:lang w:val="en-US" w:eastAsia="zh-CN" w:bidi="ar-SA"/>
        </w:rPr>
      </w:pPr>
      <w:r>
        <w:rPr>
          <w:rFonts w:hint="default" w:ascii="仿宋_GB2312" w:hAnsi="仿宋_GB2312" w:eastAsia="仿宋_GB2312" w:cs="仿宋_GB2312"/>
          <w:b/>
          <w:bCs/>
          <w:color w:val="auto"/>
          <w:kern w:val="2"/>
          <w:sz w:val="32"/>
          <w:szCs w:val="32"/>
          <w:highlight w:val="none"/>
          <w:lang w:val="en-US" w:eastAsia="zh-CN" w:bidi="ar-SA"/>
        </w:rPr>
        <w:t>健全品牌组织体系。</w:t>
      </w:r>
      <w:r>
        <w:rPr>
          <w:rFonts w:hint="eastAsia" w:ascii="仿宋_GB2312" w:hAnsi="仿宋_GB2312" w:eastAsia="仿宋_GB2312" w:cs="仿宋_GB2312"/>
          <w:b w:val="0"/>
          <w:bCs w:val="0"/>
          <w:color w:val="auto"/>
          <w:kern w:val="2"/>
          <w:sz w:val="32"/>
          <w:szCs w:val="32"/>
          <w:highlight w:val="none"/>
          <w:lang w:val="en-US" w:eastAsia="zh-CN" w:bidi="ar-SA"/>
        </w:rPr>
        <w:t>出台关于深化“石景山老街坊”品牌建设推进社会治理增效的意见，制发“老街坊”基层协商议事工作规程、老街坊志愿服务积分兑换工作指引，</w:t>
      </w:r>
      <w:r>
        <w:rPr>
          <w:rFonts w:hint="default" w:ascii="仿宋_GB2312" w:hAnsi="仿宋_GB2312" w:eastAsia="仿宋_GB2312" w:cs="仿宋_GB2312"/>
          <w:b w:val="0"/>
          <w:bCs w:val="0"/>
          <w:color w:val="auto"/>
          <w:kern w:val="2"/>
          <w:sz w:val="32"/>
          <w:szCs w:val="32"/>
          <w:highlight w:val="none"/>
          <w:lang w:val="en-US" w:eastAsia="zh-CN" w:bidi="ar-SA"/>
        </w:rPr>
        <w:t>做实“老街坊”议事平台</w:t>
      </w:r>
      <w:r>
        <w:rPr>
          <w:rFonts w:hint="eastAsia" w:ascii="仿宋_GB2312" w:hAnsi="仿宋_GB2312" w:eastAsia="仿宋_GB2312" w:cs="仿宋_GB2312"/>
          <w:b w:val="0"/>
          <w:bCs w:val="0"/>
          <w:color w:val="auto"/>
          <w:kern w:val="2"/>
          <w:sz w:val="32"/>
          <w:szCs w:val="32"/>
          <w:highlight w:val="none"/>
          <w:lang w:val="en-US" w:eastAsia="zh-CN" w:bidi="ar-SA"/>
        </w:rPr>
        <w:t>，</w:t>
      </w:r>
      <w:r>
        <w:rPr>
          <w:rFonts w:hint="default" w:ascii="仿宋_GB2312" w:hAnsi="仿宋_GB2312" w:eastAsia="仿宋_GB2312" w:cs="仿宋_GB2312"/>
          <w:b w:val="0"/>
          <w:bCs w:val="0"/>
          <w:color w:val="auto"/>
          <w:kern w:val="2"/>
          <w:sz w:val="32"/>
          <w:szCs w:val="32"/>
          <w:highlight w:val="none"/>
          <w:lang w:val="en-US" w:eastAsia="zh-CN" w:bidi="ar-SA"/>
        </w:rPr>
        <w:t>吸纳驻区单位、社会组织、新就业群体代表等多元力量融入，完善“社区党组织—网格党支部—楼栋党小组—老街坊骨干”四级联动机制，提升品牌组织覆盖与引领效能。</w:t>
      </w:r>
      <w:r>
        <w:rPr>
          <w:rFonts w:hint="default" w:ascii="仿宋_GB2312" w:hAnsi="仿宋_GB2312" w:eastAsia="仿宋_GB2312" w:cs="仿宋_GB2312"/>
          <w:b/>
          <w:bCs/>
          <w:color w:val="auto"/>
          <w:kern w:val="2"/>
          <w:sz w:val="32"/>
          <w:szCs w:val="32"/>
          <w:highlight w:val="none"/>
          <w:lang w:val="en-US" w:eastAsia="zh-CN" w:bidi="ar-SA"/>
        </w:rPr>
        <w:t>拓展品牌服务场景。</w:t>
      </w:r>
      <w:r>
        <w:rPr>
          <w:rFonts w:hint="default" w:ascii="仿宋_GB2312" w:hAnsi="仿宋_GB2312" w:eastAsia="仿宋_GB2312" w:cs="仿宋_GB2312"/>
          <w:b w:val="0"/>
          <w:bCs w:val="0"/>
          <w:color w:val="auto"/>
          <w:kern w:val="2"/>
          <w:sz w:val="32"/>
          <w:szCs w:val="32"/>
          <w:highlight w:val="none"/>
          <w:lang w:val="en-US" w:eastAsia="zh-CN" w:bidi="ar-SA"/>
        </w:rPr>
        <w:t>聚焦老旧小区改造后续管理、便民服务提质、矛盾纠纷化解等民生重点，推动“老街坊”品牌与“接诉即办”“网格化治理”深度融合，延伸服务触角。</w:t>
      </w:r>
      <w:r>
        <w:rPr>
          <w:rFonts w:hint="default" w:ascii="仿宋_GB2312" w:hAnsi="仿宋_GB2312" w:eastAsia="仿宋_GB2312" w:cs="仿宋_GB2312"/>
          <w:b/>
          <w:bCs/>
          <w:color w:val="auto"/>
          <w:kern w:val="2"/>
          <w:sz w:val="32"/>
          <w:szCs w:val="32"/>
          <w:highlight w:val="none"/>
          <w:lang w:val="en-US" w:eastAsia="zh-CN" w:bidi="ar-SA"/>
        </w:rPr>
        <w:t>强化品牌赋能支撑。</w:t>
      </w:r>
      <w:r>
        <w:rPr>
          <w:rFonts w:hint="default" w:ascii="仿宋_GB2312" w:hAnsi="仿宋_GB2312" w:eastAsia="仿宋_GB2312" w:cs="仿宋_GB2312"/>
          <w:b w:val="0"/>
          <w:bCs w:val="0"/>
          <w:color w:val="auto"/>
          <w:kern w:val="2"/>
          <w:sz w:val="32"/>
          <w:szCs w:val="32"/>
          <w:highlight w:val="none"/>
          <w:lang w:val="en-US" w:eastAsia="zh-CN" w:bidi="ar-SA"/>
        </w:rPr>
        <w:t>开展专业化培训</w:t>
      </w:r>
      <w:r>
        <w:rPr>
          <w:rFonts w:hint="eastAsia" w:ascii="仿宋_GB2312" w:hAnsi="仿宋_GB2312" w:eastAsia="仿宋_GB2312" w:cs="仿宋_GB2312"/>
          <w:b w:val="0"/>
          <w:bCs w:val="0"/>
          <w:color w:val="auto"/>
          <w:kern w:val="2"/>
          <w:sz w:val="32"/>
          <w:szCs w:val="32"/>
          <w:highlight w:val="none"/>
          <w:lang w:val="en-US" w:eastAsia="zh-CN" w:bidi="ar-SA"/>
        </w:rPr>
        <w:t>，</w:t>
      </w:r>
      <w:r>
        <w:rPr>
          <w:rFonts w:hint="default" w:ascii="仿宋_GB2312" w:hAnsi="仿宋_GB2312" w:eastAsia="仿宋_GB2312" w:cs="仿宋_GB2312"/>
          <w:b w:val="0"/>
          <w:bCs w:val="0"/>
          <w:color w:val="auto"/>
          <w:kern w:val="2"/>
          <w:sz w:val="32"/>
          <w:szCs w:val="32"/>
          <w:highlight w:val="none"/>
          <w:lang w:val="en-US" w:eastAsia="zh-CN" w:bidi="ar-SA"/>
        </w:rPr>
        <w:t>整合民生服务资源，实现需求精准对接、服务高效响应，推动“老街坊”品牌从传统邻里互助向精细化、智能化治理服务升级，彰显区域治理温度与活力。</w:t>
      </w:r>
    </w:p>
    <w:p w14:paraId="14700F3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楷体_GB2312" w:hAnsi="楷体_GB2312" w:eastAsia="楷体_GB2312" w:cs="楷体_GB2312"/>
          <w:b w:val="0"/>
          <w:bCs w:val="0"/>
          <w:color w:val="auto"/>
          <w:sz w:val="32"/>
          <w:szCs w:val="32"/>
          <w:highlight w:val="none"/>
          <w:lang w:eastAsia="zh-CN"/>
        </w:rPr>
      </w:pPr>
      <w:r>
        <w:rPr>
          <w:rFonts w:hint="eastAsia" w:ascii="楷体_GB2312" w:hAnsi="楷体_GB2312" w:eastAsia="楷体_GB2312" w:cs="楷体_GB2312"/>
          <w:b w:val="0"/>
          <w:bCs w:val="0"/>
          <w:color w:val="auto"/>
          <w:sz w:val="32"/>
          <w:szCs w:val="32"/>
          <w:highlight w:val="none"/>
        </w:rPr>
        <w:t>（</w:t>
      </w:r>
      <w:r>
        <w:rPr>
          <w:rFonts w:hint="eastAsia" w:ascii="楷体_GB2312" w:hAnsi="楷体_GB2312" w:eastAsia="楷体_GB2312" w:cs="楷体_GB2312"/>
          <w:b w:val="0"/>
          <w:bCs w:val="0"/>
          <w:color w:val="auto"/>
          <w:sz w:val="32"/>
          <w:szCs w:val="32"/>
          <w:highlight w:val="none"/>
          <w:lang w:val="en-US" w:eastAsia="zh-CN"/>
        </w:rPr>
        <w:t>四</w:t>
      </w:r>
      <w:r>
        <w:rPr>
          <w:rFonts w:hint="eastAsia" w:ascii="楷体_GB2312" w:hAnsi="楷体_GB2312" w:eastAsia="楷体_GB2312" w:cs="楷体_GB2312"/>
          <w:b w:val="0"/>
          <w:bCs w:val="0"/>
          <w:color w:val="auto"/>
          <w:sz w:val="32"/>
          <w:szCs w:val="32"/>
          <w:highlight w:val="none"/>
        </w:rPr>
        <w:t>）</w:t>
      </w:r>
      <w:r>
        <w:rPr>
          <w:rFonts w:hint="eastAsia" w:ascii="楷体_GB2312" w:hAnsi="楷体_GB2312" w:eastAsia="楷体_GB2312" w:cs="楷体_GB2312"/>
          <w:b w:val="0"/>
          <w:bCs w:val="0"/>
          <w:color w:val="auto"/>
          <w:sz w:val="32"/>
          <w:szCs w:val="32"/>
          <w:highlight w:val="none"/>
          <w:lang w:val="en-US" w:eastAsia="zh-CN"/>
        </w:rPr>
        <w:t>持续加强基层政权建设</w:t>
      </w:r>
    </w:p>
    <w:p w14:paraId="26BFD3DF">
      <w:pPr>
        <w:keepNext w:val="0"/>
        <w:keepLines w:val="0"/>
        <w:pageBreakBefore w:val="0"/>
        <w:kinsoku/>
        <w:wordWrap/>
        <w:overflowPunct/>
        <w:topLinePunct w:val="0"/>
        <w:autoSpaceDE/>
        <w:autoSpaceDN/>
        <w:bidi w:val="0"/>
        <w:adjustRightInd w:val="0"/>
        <w:snapToGrid w:val="0"/>
        <w:spacing w:line="560" w:lineRule="exact"/>
        <w:ind w:firstLine="643" w:firstLineChars="200"/>
        <w:outlineLvl w:val="9"/>
        <w:rPr>
          <w:rFonts w:hint="eastAsia"/>
          <w:color w:val="auto"/>
          <w:highlight w:val="none"/>
          <w:lang w:val="en-US" w:eastAsia="zh-CN"/>
        </w:rPr>
      </w:pPr>
      <w:r>
        <w:rPr>
          <w:rFonts w:hint="eastAsia" w:ascii="仿宋_GB2312" w:hAnsi="仿宋_GB2312" w:eastAsia="仿宋_GB2312" w:cs="仿宋_GB2312"/>
          <w:b/>
          <w:bCs/>
          <w:color w:val="auto"/>
          <w:sz w:val="32"/>
          <w:szCs w:val="32"/>
          <w:highlight w:val="none"/>
          <w:lang w:eastAsia="zh-CN"/>
        </w:rPr>
        <w:t>健全基层减负长效机制。</w:t>
      </w:r>
      <w:r>
        <w:rPr>
          <w:rFonts w:hint="eastAsia" w:ascii="仿宋_GB2312" w:hAnsi="仿宋_GB2312" w:eastAsia="仿宋_GB2312" w:cs="仿宋_GB2312"/>
          <w:b w:val="0"/>
          <w:bCs w:val="0"/>
          <w:color w:val="auto"/>
          <w:sz w:val="32"/>
          <w:szCs w:val="32"/>
          <w:highlight w:val="none"/>
          <w:lang w:eastAsia="zh-CN"/>
        </w:rPr>
        <w:t>巩固拓展破解基层治理“小马拉大车”突出问题工作成果，用好街道履职事项清单，深化街道管理体制改革，规范基层督查检查考核事项，</w:t>
      </w:r>
      <w:r>
        <w:rPr>
          <w:rFonts w:hint="eastAsia" w:ascii="仿宋_GB2312" w:hAnsi="仿宋_GB2312" w:eastAsia="仿宋_GB2312" w:cs="仿宋_GB2312"/>
          <w:color w:val="auto"/>
          <w:sz w:val="32"/>
          <w:szCs w:val="32"/>
          <w:highlight w:val="none"/>
          <w:lang w:eastAsia="zh-CN"/>
        </w:rPr>
        <w:t>将建设高品质社区作为社区减负“后半篇文章”与为社区赋能的重要抓手，向纵深推进减负工作，切实为基层松绑减负、释放治理活力。</w:t>
      </w:r>
      <w:r>
        <w:rPr>
          <w:rFonts w:hint="eastAsia" w:ascii="仿宋_GB2312" w:hAnsi="仿宋_GB2312" w:eastAsia="仿宋_GB2312" w:cs="仿宋_GB2312"/>
          <w:b/>
          <w:bCs/>
          <w:color w:val="auto"/>
          <w:sz w:val="32"/>
          <w:szCs w:val="32"/>
          <w:highlight w:val="none"/>
          <w:lang w:eastAsia="zh-CN"/>
        </w:rPr>
        <w:t>稳妥有序推进社区“两委”换届及后续工作。</w:t>
      </w:r>
      <w:r>
        <w:rPr>
          <w:rFonts w:hint="eastAsia" w:ascii="仿宋_GB2312" w:hAnsi="仿宋_GB2312" w:eastAsia="仿宋_GB2312" w:cs="仿宋_GB2312"/>
          <w:color w:val="auto"/>
          <w:sz w:val="32"/>
          <w:szCs w:val="32"/>
          <w:highlight w:val="none"/>
          <w:lang w:eastAsia="zh-CN"/>
        </w:rPr>
        <w:t>严格落实新修订《城市居民委员会组织法》，全流程精细化指导居委会换届，做好新老班子交接与备案。分层分类开展新一届班子任职培训，做实社区居委会下属委员会、“老街坊”居务监督委员会，推动社区治理更加高效</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lang w:eastAsia="zh-CN"/>
        </w:rPr>
        <w:t>强化社区书记工作室建设。</w:t>
      </w:r>
      <w:r>
        <w:rPr>
          <w:rFonts w:hint="eastAsia" w:ascii="仿宋_GB2312" w:hAnsi="仿宋_GB2312" w:eastAsia="仿宋_GB2312" w:cs="仿宋_GB2312"/>
          <w:color w:val="auto"/>
          <w:sz w:val="32"/>
          <w:szCs w:val="32"/>
          <w:highlight w:val="none"/>
          <w:lang w:eastAsia="zh-CN"/>
        </w:rPr>
        <w:t>结合换届动态优化布局，健全周接待、月交流、年展示机制，常态化开展结对带教。实施“头雁”能力提升行动，区街分级开展研修培训，重点抓好新任书记、副书记及骨干社工培养，以经验传承、实战练兵提升基层治理专业化水平，建强社区治理“领头雁”队伍。</w:t>
      </w:r>
    </w:p>
    <w:p w14:paraId="0A20A43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楷体_GB2312" w:hAnsi="楷体_GB2312" w:eastAsia="楷体_GB2312" w:cs="楷体_GB2312"/>
          <w:b w:val="0"/>
          <w:bCs w:val="0"/>
          <w:color w:val="auto"/>
          <w:sz w:val="32"/>
          <w:szCs w:val="32"/>
          <w:highlight w:val="none"/>
          <w:lang w:eastAsia="zh-CN"/>
        </w:rPr>
      </w:pPr>
      <w:r>
        <w:rPr>
          <w:rFonts w:hint="eastAsia" w:ascii="楷体_GB2312" w:hAnsi="楷体_GB2312" w:eastAsia="楷体_GB2312" w:cs="楷体_GB2312"/>
          <w:b w:val="0"/>
          <w:bCs w:val="0"/>
          <w:color w:val="auto"/>
          <w:sz w:val="32"/>
          <w:szCs w:val="32"/>
          <w:highlight w:val="none"/>
          <w:lang w:eastAsia="zh-CN"/>
        </w:rPr>
        <w:t>（</w:t>
      </w:r>
      <w:r>
        <w:rPr>
          <w:rFonts w:hint="eastAsia" w:ascii="楷体_GB2312" w:hAnsi="楷体_GB2312" w:eastAsia="楷体_GB2312" w:cs="楷体_GB2312"/>
          <w:b w:val="0"/>
          <w:bCs w:val="0"/>
          <w:color w:val="auto"/>
          <w:sz w:val="32"/>
          <w:szCs w:val="32"/>
          <w:highlight w:val="none"/>
          <w:lang w:val="en-US" w:eastAsia="zh-CN"/>
        </w:rPr>
        <w:t>五</w:t>
      </w:r>
      <w:r>
        <w:rPr>
          <w:rFonts w:hint="eastAsia" w:ascii="楷体_GB2312" w:hAnsi="楷体_GB2312" w:eastAsia="楷体_GB2312" w:cs="楷体_GB2312"/>
          <w:b w:val="0"/>
          <w:bCs w:val="0"/>
          <w:color w:val="auto"/>
          <w:sz w:val="32"/>
          <w:szCs w:val="32"/>
          <w:highlight w:val="none"/>
          <w:lang w:eastAsia="zh-CN"/>
        </w:rPr>
        <w:t>）</w:t>
      </w:r>
      <w:r>
        <w:rPr>
          <w:rFonts w:hint="eastAsia" w:ascii="楷体_GB2312" w:hAnsi="楷体_GB2312" w:eastAsia="楷体_GB2312" w:cs="楷体_GB2312"/>
          <w:b w:val="0"/>
          <w:bCs w:val="0"/>
          <w:color w:val="auto"/>
          <w:sz w:val="32"/>
          <w:szCs w:val="32"/>
          <w:highlight w:val="none"/>
          <w:lang w:val="en-US" w:eastAsia="zh-CN"/>
        </w:rPr>
        <w:t>深入推进</w:t>
      </w:r>
      <w:r>
        <w:rPr>
          <w:rFonts w:hint="eastAsia" w:ascii="楷体_GB2312" w:hAnsi="楷体_GB2312" w:eastAsia="楷体_GB2312" w:cs="楷体_GB2312"/>
          <w:b w:val="0"/>
          <w:bCs w:val="0"/>
          <w:color w:val="auto"/>
          <w:sz w:val="32"/>
          <w:szCs w:val="32"/>
          <w:highlight w:val="none"/>
        </w:rPr>
        <w:t>基层民主协商</w:t>
      </w:r>
    </w:p>
    <w:p w14:paraId="1B28F58F">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规范协商体系建设。</w:t>
      </w:r>
      <w:r>
        <w:rPr>
          <w:rFonts w:hint="eastAsia" w:ascii="仿宋_GB2312" w:hAnsi="仿宋_GB2312" w:eastAsia="仿宋_GB2312" w:cs="仿宋_GB2312"/>
          <w:b w:val="0"/>
          <w:bCs w:val="0"/>
          <w:color w:val="auto"/>
          <w:sz w:val="32"/>
          <w:szCs w:val="32"/>
          <w:highlight w:val="none"/>
          <w:lang w:eastAsia="zh-CN"/>
        </w:rPr>
        <w:t>构建“区委领导、政府负责、部门协同、街道统筹、社区主导、多元参与”的协商架构，明确区、街道、社区三级协商主体权责，细化协商议题生成、流程推进、成果转化全链条规范，形成上下联动的协商工作格局</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健全</w:t>
      </w:r>
      <w:r>
        <w:rPr>
          <w:rFonts w:hint="eastAsia" w:ascii="仿宋_GB2312" w:hAnsi="仿宋_GB2312" w:eastAsia="仿宋_GB2312" w:cs="仿宋_GB2312"/>
          <w:b/>
          <w:bCs/>
          <w:color w:val="auto"/>
          <w:sz w:val="32"/>
          <w:szCs w:val="32"/>
          <w:highlight w:val="none"/>
          <w:lang w:eastAsia="zh-CN"/>
        </w:rPr>
        <w:t>多元</w:t>
      </w:r>
      <w:r>
        <w:rPr>
          <w:rFonts w:hint="eastAsia" w:ascii="仿宋_GB2312" w:hAnsi="仿宋_GB2312" w:eastAsia="仿宋_GB2312" w:cs="仿宋_GB2312"/>
          <w:b/>
          <w:bCs/>
          <w:color w:val="auto"/>
          <w:sz w:val="32"/>
          <w:szCs w:val="32"/>
          <w:highlight w:val="none"/>
          <w:lang w:val="en-US" w:eastAsia="zh-CN"/>
        </w:rPr>
        <w:t>协同参与</w:t>
      </w:r>
      <w:r>
        <w:rPr>
          <w:rFonts w:hint="eastAsia" w:ascii="仿宋_GB2312" w:hAnsi="仿宋_GB2312" w:eastAsia="仿宋_GB2312" w:cs="仿宋_GB2312"/>
          <w:b/>
          <w:bCs/>
          <w:color w:val="auto"/>
          <w:sz w:val="32"/>
          <w:szCs w:val="32"/>
          <w:highlight w:val="none"/>
          <w:lang w:eastAsia="zh-CN"/>
        </w:rPr>
        <w:t>格局</w:t>
      </w:r>
      <w:r>
        <w:rPr>
          <w:rFonts w:hint="eastAsia" w:ascii="仿宋_GB2312" w:hAnsi="仿宋_GB2312" w:eastAsia="仿宋_GB2312" w:cs="仿宋_GB2312"/>
          <w:color w:val="auto"/>
          <w:sz w:val="32"/>
          <w:szCs w:val="32"/>
          <w:highlight w:val="none"/>
          <w:lang w:eastAsia="zh-CN"/>
        </w:rPr>
        <w:t>。健全政协委员、居民代表、物业、业委会等多方联动机制，培育社区社会组织，吸纳新阶层人士、青年群体参与协商，形成多元共议、协同治理格局。建立“党建引领、物业联建、居民自治”管理体系，深化“红色物业”“红色业委会”建设，推动党组织向小区、楼栋延伸，形成多元共治合力。</w:t>
      </w:r>
      <w:r>
        <w:rPr>
          <w:rFonts w:hint="eastAsia" w:ascii="仿宋_GB2312" w:hAnsi="仿宋_GB2312" w:eastAsia="仿宋_GB2312" w:cs="仿宋_GB2312"/>
          <w:b/>
          <w:bCs/>
          <w:color w:val="auto"/>
          <w:sz w:val="32"/>
          <w:szCs w:val="32"/>
          <w:highlight w:val="none"/>
          <w:lang w:eastAsia="zh-CN"/>
        </w:rPr>
        <w:t>创新</w:t>
      </w:r>
      <w:r>
        <w:rPr>
          <w:rFonts w:hint="eastAsia" w:ascii="仿宋_GB2312" w:hAnsi="仿宋_GB2312" w:eastAsia="仿宋_GB2312" w:cs="仿宋_GB2312"/>
          <w:b/>
          <w:bCs/>
          <w:color w:val="auto"/>
          <w:sz w:val="32"/>
          <w:szCs w:val="32"/>
          <w:highlight w:val="none"/>
          <w:lang w:val="en-US" w:eastAsia="zh-CN"/>
        </w:rPr>
        <w:t>基层</w:t>
      </w:r>
      <w:r>
        <w:rPr>
          <w:rFonts w:hint="eastAsia" w:ascii="仿宋_GB2312" w:hAnsi="仿宋_GB2312" w:eastAsia="仿宋_GB2312" w:cs="仿宋_GB2312"/>
          <w:b/>
          <w:bCs/>
          <w:color w:val="auto"/>
          <w:sz w:val="32"/>
          <w:szCs w:val="32"/>
          <w:highlight w:val="none"/>
          <w:lang w:eastAsia="zh-CN"/>
        </w:rPr>
        <w:t>协商形式</w:t>
      </w:r>
      <w:r>
        <w:rPr>
          <w:rFonts w:hint="eastAsia" w:ascii="仿宋_GB2312" w:hAnsi="仿宋_GB2312" w:eastAsia="仿宋_GB2312" w:cs="仿宋_GB2312"/>
          <w:b/>
          <w:bCs/>
          <w:color w:val="auto"/>
          <w:sz w:val="32"/>
          <w:szCs w:val="32"/>
          <w:highlight w:val="none"/>
          <w:lang w:val="en-US" w:eastAsia="zh-CN"/>
        </w:rPr>
        <w:t>载体</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color w:val="auto"/>
          <w:sz w:val="32"/>
          <w:szCs w:val="32"/>
          <w:highlight w:val="none"/>
          <w:lang w:eastAsia="zh-CN"/>
        </w:rPr>
        <w:t>拓展“线上协商”“微协商”等模式，打造“一社区一品牌”特色协商案例，提升协商议事的灵活性、便捷性，让群众参与协商更高效、更舒心。</w:t>
      </w:r>
      <w:r>
        <w:rPr>
          <w:rFonts w:hint="eastAsia" w:ascii="仿宋_GB2312" w:hAnsi="仿宋_GB2312" w:eastAsia="仿宋_GB2312" w:cs="仿宋_GB2312"/>
          <w:b/>
          <w:bCs/>
          <w:color w:val="auto"/>
          <w:sz w:val="32"/>
          <w:szCs w:val="32"/>
          <w:highlight w:val="none"/>
          <w:lang w:eastAsia="zh-CN"/>
        </w:rPr>
        <w:t>强化</w:t>
      </w:r>
      <w:r>
        <w:rPr>
          <w:rFonts w:hint="eastAsia" w:ascii="仿宋_GB2312" w:hAnsi="仿宋_GB2312" w:eastAsia="仿宋_GB2312" w:cs="仿宋_GB2312"/>
          <w:b/>
          <w:bCs/>
          <w:color w:val="auto"/>
          <w:sz w:val="32"/>
          <w:szCs w:val="32"/>
          <w:highlight w:val="none"/>
          <w:lang w:val="en-US" w:eastAsia="zh-CN"/>
        </w:rPr>
        <w:t>协商</w:t>
      </w:r>
      <w:r>
        <w:rPr>
          <w:rFonts w:hint="eastAsia" w:ascii="仿宋_GB2312" w:hAnsi="仿宋_GB2312" w:eastAsia="仿宋_GB2312" w:cs="仿宋_GB2312"/>
          <w:b/>
          <w:bCs/>
          <w:color w:val="auto"/>
          <w:sz w:val="32"/>
          <w:szCs w:val="32"/>
          <w:highlight w:val="none"/>
          <w:lang w:eastAsia="zh-CN"/>
        </w:rPr>
        <w:t>成果</w:t>
      </w:r>
      <w:r>
        <w:rPr>
          <w:rFonts w:hint="eastAsia" w:ascii="仿宋_GB2312" w:hAnsi="仿宋_GB2312" w:eastAsia="仿宋_GB2312" w:cs="仿宋_GB2312"/>
          <w:b/>
          <w:bCs/>
          <w:color w:val="auto"/>
          <w:sz w:val="32"/>
          <w:szCs w:val="32"/>
          <w:highlight w:val="none"/>
          <w:lang w:val="en-US" w:eastAsia="zh-CN"/>
        </w:rPr>
        <w:t>惠民</w:t>
      </w:r>
      <w:r>
        <w:rPr>
          <w:rFonts w:hint="eastAsia" w:ascii="仿宋_GB2312" w:hAnsi="仿宋_GB2312" w:eastAsia="仿宋_GB2312" w:cs="仿宋_GB2312"/>
          <w:b/>
          <w:bCs/>
          <w:color w:val="auto"/>
          <w:sz w:val="32"/>
          <w:szCs w:val="32"/>
          <w:highlight w:val="none"/>
          <w:lang w:eastAsia="zh-CN"/>
        </w:rPr>
        <w:t>转化</w:t>
      </w:r>
      <w:r>
        <w:rPr>
          <w:rFonts w:hint="eastAsia" w:ascii="仿宋_GB2312" w:hAnsi="仿宋_GB2312" w:eastAsia="仿宋_GB2312" w:cs="仿宋_GB2312"/>
          <w:color w:val="auto"/>
          <w:sz w:val="32"/>
          <w:szCs w:val="32"/>
          <w:highlight w:val="none"/>
          <w:lang w:eastAsia="zh-CN"/>
        </w:rPr>
        <w:t>。建立协商意见跟踪落实机制，明确责任主体、时限要求，推动民生实事落地见效，切实将协商成果转化为群众看得见、摸得着的</w:t>
      </w:r>
      <w:r>
        <w:rPr>
          <w:rFonts w:hint="eastAsia" w:ascii="仿宋_GB2312" w:hAnsi="仿宋_GB2312" w:eastAsia="仿宋_GB2312" w:cs="仿宋_GB2312"/>
          <w:color w:val="auto"/>
          <w:sz w:val="32"/>
          <w:szCs w:val="32"/>
          <w:highlight w:val="none"/>
          <w:lang w:val="en-US" w:eastAsia="zh-CN"/>
        </w:rPr>
        <w:t>幸福实惠</w:t>
      </w:r>
      <w:r>
        <w:rPr>
          <w:rFonts w:hint="eastAsia" w:ascii="仿宋_GB2312" w:hAnsi="仿宋_GB2312" w:eastAsia="仿宋_GB2312" w:cs="仿宋_GB2312"/>
          <w:color w:val="auto"/>
          <w:sz w:val="32"/>
          <w:szCs w:val="32"/>
          <w:highlight w:val="none"/>
          <w:lang w:eastAsia="zh-CN"/>
        </w:rPr>
        <w:t>，打造基层民主协商石景山样板。</w:t>
      </w:r>
    </w:p>
    <w:p w14:paraId="1F8A494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1"/>
        <w:rPr>
          <w:rFonts w:hint="default" w:ascii="黑体" w:hAnsi="黑体" w:eastAsia="黑体" w:cs="黑体"/>
          <w:b w:val="0"/>
          <w:bCs w:val="0"/>
          <w:color w:val="auto"/>
          <w:sz w:val="32"/>
          <w:szCs w:val="32"/>
          <w:highlight w:val="none"/>
          <w:lang w:val="en-US" w:eastAsia="zh-CN"/>
        </w:rPr>
      </w:pPr>
      <w:bookmarkStart w:id="24" w:name="_Toc2113886446"/>
      <w:r>
        <w:rPr>
          <w:rFonts w:hint="eastAsia" w:ascii="黑体" w:hAnsi="黑体" w:eastAsia="黑体" w:cs="黑体"/>
          <w:b w:val="0"/>
          <w:bCs w:val="0"/>
          <w:color w:val="auto"/>
          <w:sz w:val="32"/>
          <w:szCs w:val="32"/>
          <w:highlight w:val="none"/>
          <w:lang w:val="en-US" w:eastAsia="zh-CN"/>
        </w:rPr>
        <w:t>四、创新服务群众工作实效新路径</w:t>
      </w:r>
      <w:bookmarkEnd w:id="24"/>
    </w:p>
    <w:p w14:paraId="4DF26D4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（一）扎实提升服务群众能力</w:t>
      </w:r>
    </w:p>
    <w:p w14:paraId="7712A39D">
      <w:pPr>
        <w:keepNext w:val="0"/>
        <w:keepLines w:val="0"/>
        <w:pageBreakBefore w:val="0"/>
        <w:kinsoku/>
        <w:wordWrap/>
        <w:overflowPunct/>
        <w:topLinePunct w:val="0"/>
        <w:autoSpaceDE/>
        <w:autoSpaceDN/>
        <w:bidi w:val="0"/>
        <w:adjustRightInd w:val="0"/>
        <w:snapToGrid w:val="0"/>
        <w:spacing w:line="560" w:lineRule="exact"/>
        <w:ind w:firstLine="643" w:firstLineChars="200"/>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健全社区服务供给体系。</w:t>
      </w:r>
      <w:r>
        <w:rPr>
          <w:rFonts w:hint="eastAsia" w:ascii="仿宋_GB2312" w:hAnsi="仿宋_GB2312" w:eastAsia="仿宋_GB2312" w:cs="仿宋_GB2312"/>
          <w:color w:val="auto"/>
          <w:sz w:val="32"/>
          <w:szCs w:val="32"/>
          <w:highlight w:val="none"/>
          <w:lang w:val="en-US" w:eastAsia="zh-CN"/>
        </w:rPr>
        <w:t>推广“综合窗口”“全能社工” 模式，打造集政务办理、休闲休憩、阅读学习、便民饮水等功能于一体的“社区会客厅”。办好“老街坊”社区邻里节、“党建引领基层治理社区大讲堂”等活动，不断增强居民社区归属感、认同感和荣誉感。深化“一刻钟”服务圈建设，统筹推进社区服务空间开放、议事协商示范点建设等重点任务，强化资源统筹、丰富服务项目，探索引入社会力量合作建设社区食堂，实现中小学生假期托管服务全覆盖，复制推广“睦邻中心”经验做法，构建高效便捷的社区服务体系。</w:t>
      </w:r>
      <w:r>
        <w:rPr>
          <w:rFonts w:hint="eastAsia" w:ascii="仿宋_GB2312" w:hAnsi="仿宋_GB2312" w:eastAsia="仿宋_GB2312" w:cs="仿宋_GB2312"/>
          <w:b/>
          <w:bCs/>
          <w:color w:val="auto"/>
          <w:sz w:val="32"/>
          <w:szCs w:val="32"/>
          <w:highlight w:val="none"/>
          <w:lang w:val="en-US" w:eastAsia="zh-CN"/>
        </w:rPr>
        <w:t>深化基层协商共治实践。</w:t>
      </w:r>
      <w:r>
        <w:rPr>
          <w:rFonts w:hint="eastAsia" w:ascii="仿宋_GB2312" w:hAnsi="仿宋_GB2312" w:eastAsia="仿宋_GB2312" w:cs="仿宋_GB2312"/>
          <w:color w:val="auto"/>
          <w:sz w:val="32"/>
          <w:szCs w:val="32"/>
          <w:highlight w:val="none"/>
          <w:lang w:val="en-US" w:eastAsia="zh-CN"/>
        </w:rPr>
        <w:t>依托社区议事厅平台，扎实推进民生微实事项目实施，有序开展“社区微更新”项目，引导居民全过程参与公共空间改造，打造基层精细化服务样板。聚焦群众“关键小事”常抓不懈，充分激发居民主体作用，引导群众全程参与、全程监督，加快完整社区建设步伐，推动形成共建共治共享的基层治理格局。</w:t>
      </w:r>
      <w:r>
        <w:rPr>
          <w:rFonts w:hint="eastAsia" w:ascii="仿宋_GB2312" w:hAnsi="仿宋_GB2312" w:eastAsia="仿宋_GB2312" w:cs="仿宋_GB2312"/>
          <w:b/>
          <w:bCs/>
          <w:color w:val="auto"/>
          <w:sz w:val="32"/>
          <w:szCs w:val="32"/>
          <w:highlight w:val="none"/>
          <w:lang w:val="en-US" w:eastAsia="zh-CN"/>
        </w:rPr>
        <w:t>强化基层治理队伍建设。</w:t>
      </w:r>
      <w:r>
        <w:rPr>
          <w:rFonts w:hint="eastAsia" w:ascii="仿宋_GB2312" w:hAnsi="仿宋_GB2312" w:eastAsia="仿宋_GB2312" w:cs="仿宋_GB2312"/>
          <w:color w:val="auto"/>
          <w:sz w:val="32"/>
          <w:szCs w:val="32"/>
          <w:highlight w:val="none"/>
          <w:lang w:val="en-US" w:eastAsia="zh-CN"/>
        </w:rPr>
        <w:t>深入实施基层治理带头人培育工程，按照“老中青”梯次配备要求，选拔政治素质过硬、服务能力突出、群众口碑良好的优秀社区党组织书记，充分发挥“头雁”领航作用，建强基层治理骨干力量。打造高素质“全科社工”队伍，构建“理论+实操”一体化课程体系，常态化开展社会治理、应急救护等专业化技能培训，健全“导师制”传帮带机制，着力培养“一专多能”复合型社工人才，全面提升基层服务治理水平。</w:t>
      </w:r>
    </w:p>
    <w:p w14:paraId="60E565A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（二）多措并举提升信访办理质效</w:t>
      </w:r>
    </w:p>
    <w:p w14:paraId="5C50ED9F">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融入社会工作大局。</w:t>
      </w:r>
      <w:r>
        <w:rPr>
          <w:rFonts w:hint="eastAsia" w:ascii="仿宋_GB2312" w:hAnsi="仿宋_GB2312" w:eastAsia="仿宋_GB2312" w:cs="仿宋_GB2312"/>
          <w:b w:val="0"/>
          <w:bCs w:val="0"/>
          <w:color w:val="auto"/>
          <w:sz w:val="32"/>
          <w:szCs w:val="32"/>
          <w:highlight w:val="none"/>
          <w:lang w:val="en-US" w:eastAsia="zh-CN"/>
        </w:rPr>
        <w:t>发挥“三级书记抓信访”体制优势，推动信访工作深度融入党的社会工作大局。依托信访渠道凝聚服务群众，统筹做好人民建议征集，切实将制度优势转化为社会治理效能。</w:t>
      </w:r>
      <w:r>
        <w:rPr>
          <w:rFonts w:hint="eastAsia" w:ascii="仿宋_GB2312" w:hAnsi="仿宋_GB2312" w:eastAsia="仿宋_GB2312" w:cs="仿宋_GB2312"/>
          <w:b/>
          <w:bCs/>
          <w:color w:val="auto"/>
          <w:sz w:val="32"/>
          <w:szCs w:val="32"/>
          <w:highlight w:val="none"/>
          <w:lang w:val="en-US" w:eastAsia="zh-CN"/>
        </w:rPr>
        <w:t>深入推进信访法治化建设。</w:t>
      </w:r>
      <w:r>
        <w:rPr>
          <w:rFonts w:hint="eastAsia" w:ascii="仿宋_GB2312" w:hAnsi="仿宋_GB2312" w:eastAsia="仿宋_GB2312" w:cs="仿宋_GB2312"/>
          <w:b w:val="0"/>
          <w:bCs w:val="0"/>
          <w:color w:val="auto"/>
          <w:sz w:val="32"/>
          <w:szCs w:val="32"/>
          <w:highlight w:val="none"/>
          <w:lang w:val="en-US" w:eastAsia="zh-CN"/>
        </w:rPr>
        <w:t>依法分类处理信访事项，强化程序推进与实质解决。完善信访事项分类甄别、领导包案、第三方评估、司法确认等工作机制，推进诉讼与非诉讼有机衔接，提高信访事项办理效率与质量。</w:t>
      </w:r>
      <w:r>
        <w:rPr>
          <w:rFonts w:hint="eastAsia" w:ascii="仿宋_GB2312" w:hAnsi="仿宋_GB2312" w:eastAsia="仿宋_GB2312" w:cs="仿宋_GB2312"/>
          <w:b/>
          <w:bCs/>
          <w:color w:val="auto"/>
          <w:sz w:val="32"/>
          <w:szCs w:val="32"/>
          <w:highlight w:val="none"/>
          <w:lang w:val="en-US" w:eastAsia="zh-CN"/>
        </w:rPr>
        <w:t>加强矛盾源头化解。</w:t>
      </w:r>
      <w:r>
        <w:rPr>
          <w:rFonts w:hint="eastAsia" w:ascii="仿宋_GB2312" w:hAnsi="仿宋_GB2312" w:eastAsia="仿宋_GB2312" w:cs="仿宋_GB2312"/>
          <w:b w:val="0"/>
          <w:bCs w:val="0"/>
          <w:color w:val="auto"/>
          <w:sz w:val="32"/>
          <w:szCs w:val="32"/>
          <w:highlight w:val="none"/>
          <w:lang w:val="en-US" w:eastAsia="zh-CN"/>
        </w:rPr>
        <w:t>畅通群众诉求表达渠道，统筹信访与接诉即办，强化领导干部接访下访质效。坚持和发展新时代“枫桥经验”，深化“石时解纷”平台建设，建强矛盾纠纷动态排查化解机制，发挥信访工作联席会议资源整合作用，推动治理重复信访、化解积案常态长效。</w:t>
      </w:r>
    </w:p>
    <w:p w14:paraId="02D1487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default"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（三）构建特色志愿服务品牌体系</w:t>
      </w:r>
    </w:p>
    <w:p w14:paraId="026BC0F7">
      <w:pPr>
        <w:keepNext w:val="0"/>
        <w:keepLines w:val="0"/>
        <w:pageBreakBefore w:val="0"/>
        <w:kinsoku/>
        <w:wordWrap/>
        <w:overflowPunct/>
        <w:topLinePunct w:val="0"/>
        <w:autoSpaceDE/>
        <w:autoSpaceDN/>
        <w:bidi w:val="0"/>
        <w:adjustRightInd w:val="0"/>
        <w:snapToGrid w:val="0"/>
        <w:spacing w:line="560" w:lineRule="exact"/>
        <w:ind w:firstLine="643" w:firstLineChars="200"/>
        <w:outlineLvl w:val="9"/>
        <w:rPr>
          <w:rFonts w:hint="eastAsia"/>
          <w:color w:val="auto"/>
          <w:highlight w:val="none"/>
          <w:lang w:val="en-US" w:eastAsia="zh-CN"/>
        </w:rPr>
      </w:pPr>
      <w:r>
        <w:rPr>
          <w:rFonts w:hint="eastAsia" w:ascii="仿宋_GB2312" w:hAnsi="仿宋_GB2312" w:eastAsia="仿宋_GB2312" w:cs="仿宋_GB2312"/>
          <w:b/>
          <w:bCs/>
          <w:color w:val="auto"/>
          <w:sz w:val="32"/>
          <w:szCs w:val="32"/>
          <w:highlight w:val="none"/>
          <w:lang w:val="en-US" w:eastAsia="zh-CN"/>
        </w:rPr>
        <w:t>打造特色品牌矩阵。</w:t>
      </w:r>
      <w:r>
        <w:rPr>
          <w:rFonts w:hint="eastAsia" w:ascii="仿宋_GB2312" w:hAnsi="仿宋_GB2312" w:eastAsia="仿宋_GB2312" w:cs="仿宋_GB2312"/>
          <w:b w:val="0"/>
          <w:bCs w:val="0"/>
          <w:color w:val="auto"/>
          <w:sz w:val="32"/>
          <w:szCs w:val="32"/>
          <w:highlight w:val="none"/>
          <w:lang w:val="en-US" w:eastAsia="zh-CN"/>
        </w:rPr>
        <w:t>依托“双奥之区”遗产优势，深挖区域文化内涵，基于“微笑北京”打造石景山特色志愿品牌，加强与团委、妇联等部门联动，升级体育赛事服务类志愿品牌，培育邻里互助、社区共治类志愿品牌，聚焦生态保护、文化传承等领域，打造专业化特色志愿品牌，形成多维度品牌集群。</w:t>
      </w:r>
      <w:r>
        <w:rPr>
          <w:rFonts w:hint="eastAsia" w:ascii="仿宋_GB2312" w:hAnsi="仿宋_GB2312" w:eastAsia="仿宋_GB2312" w:cs="仿宋_GB2312"/>
          <w:b/>
          <w:bCs/>
          <w:color w:val="auto"/>
          <w:sz w:val="32"/>
          <w:szCs w:val="32"/>
          <w:highlight w:val="none"/>
          <w:lang w:val="en-US" w:eastAsia="zh-CN"/>
        </w:rPr>
        <w:t>健全品牌培育机制。</w:t>
      </w:r>
      <w:r>
        <w:rPr>
          <w:rFonts w:hint="eastAsia" w:ascii="仿宋_GB2312" w:hAnsi="仿宋_GB2312" w:eastAsia="仿宋_GB2312" w:cs="仿宋_GB2312"/>
          <w:b w:val="0"/>
          <w:bCs w:val="0"/>
          <w:color w:val="auto"/>
          <w:sz w:val="32"/>
          <w:szCs w:val="32"/>
          <w:highlight w:val="none"/>
          <w:lang w:val="en-US" w:eastAsia="zh-CN"/>
        </w:rPr>
        <w:t>建立志愿服务品牌分级培育、动态管理机制，完善志愿者招募、专业化培训、激励保障全链条体系。搭建品牌交流展示平台，推动志愿资源与社区需求精准对接，完善志愿服务保障，提升品牌规范化运营水平。</w:t>
      </w:r>
      <w:r>
        <w:rPr>
          <w:rFonts w:hint="eastAsia" w:ascii="仿宋_GB2312" w:hAnsi="仿宋_GB2312" w:eastAsia="仿宋_GB2312" w:cs="仿宋_GB2312"/>
          <w:b/>
          <w:bCs/>
          <w:color w:val="auto"/>
          <w:sz w:val="32"/>
          <w:szCs w:val="32"/>
          <w:highlight w:val="none"/>
          <w:lang w:val="en-US" w:eastAsia="zh-CN"/>
        </w:rPr>
        <w:t>强化品牌效能转化。</w:t>
      </w:r>
      <w:r>
        <w:rPr>
          <w:rFonts w:hint="eastAsia" w:ascii="仿宋_GB2312" w:hAnsi="仿宋_GB2312" w:eastAsia="仿宋_GB2312" w:cs="仿宋_GB2312"/>
          <w:b w:val="0"/>
          <w:bCs w:val="0"/>
          <w:color w:val="auto"/>
          <w:sz w:val="32"/>
          <w:szCs w:val="32"/>
          <w:highlight w:val="none"/>
          <w:lang w:val="en-US" w:eastAsia="zh-CN"/>
        </w:rPr>
        <w:t>用活用好“石景山老街坊”“青春美景”志愿服务品牌队伍，推动志愿服务与“接诉即办”、基层民主协商等工作深度融合，拓展在民生服务、应急保障、文明创建等场景的应用，以品牌化建设引领志愿服务提质增效，彰显区域社会建设温度。</w:t>
      </w:r>
    </w:p>
    <w:p w14:paraId="43DB50A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（四）深化社会风尚与诚信体系建设</w:t>
      </w:r>
    </w:p>
    <w:p w14:paraId="0B2324CC">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color w:val="auto"/>
          <w:highlight w:val="none"/>
          <w:lang w:val="en-US" w:eastAsia="zh-CN"/>
        </w:rPr>
      </w:pPr>
      <w:r>
        <w:rPr>
          <w:rFonts w:hint="eastAsia" w:ascii="仿宋_GB2312" w:hAnsi="仿宋_GB2312" w:eastAsia="仿宋_GB2312" w:cs="仿宋_GB2312"/>
          <w:b/>
          <w:bCs/>
          <w:color w:val="auto"/>
          <w:sz w:val="32"/>
          <w:szCs w:val="32"/>
          <w:highlight w:val="none"/>
          <w:lang w:val="en-US" w:eastAsia="zh-CN"/>
        </w:rPr>
        <w:t>深化社会风尚建设。</w:t>
      </w:r>
      <w:r>
        <w:rPr>
          <w:rFonts w:hint="eastAsia" w:ascii="仿宋_GB2312" w:hAnsi="仿宋_GB2312" w:eastAsia="仿宋_GB2312" w:cs="仿宋_GB2312"/>
          <w:b w:val="0"/>
          <w:bCs w:val="0"/>
          <w:color w:val="auto"/>
          <w:sz w:val="32"/>
          <w:szCs w:val="32"/>
          <w:highlight w:val="none"/>
          <w:lang w:val="en-US" w:eastAsia="zh-CN"/>
        </w:rPr>
        <w:t>巩固全国文明城区创建成果，</w:t>
      </w:r>
      <w:r>
        <w:rPr>
          <w:rFonts w:hint="eastAsia" w:ascii="仿宋_GB2312" w:hAnsi="仿宋_GB2312" w:eastAsia="仿宋_GB2312" w:cs="仿宋_GB2312"/>
          <w:b w:val="0"/>
          <w:bCs w:val="0"/>
          <w:color w:val="auto"/>
          <w:sz w:val="32"/>
          <w:szCs w:val="32"/>
          <w:highlight w:val="none"/>
          <w:lang w:eastAsia="zh-CN"/>
        </w:rPr>
        <w:t>通过主题活动、公益广告等引导群众树立正确价值道德观，深化文明城区、社区、家庭创建，加强公共文明引导与不文明行为整治。培育“最美家庭”“文明楼门”等典型，构建“家风带民风促社风”的文明共建共享新格局，开创更高水平文明城区新局面。</w:t>
      </w:r>
      <w:r>
        <w:rPr>
          <w:rFonts w:hint="eastAsia" w:ascii="仿宋_GB2312" w:hAnsi="仿宋_GB2312" w:eastAsia="仿宋_GB2312" w:cs="仿宋_GB2312"/>
          <w:b/>
          <w:bCs/>
          <w:color w:val="auto"/>
          <w:sz w:val="32"/>
          <w:szCs w:val="32"/>
          <w:highlight w:val="none"/>
          <w:lang w:eastAsia="zh-CN"/>
        </w:rPr>
        <w:t>加强社会诚信建设。</w:t>
      </w:r>
      <w:r>
        <w:rPr>
          <w:rFonts w:hint="eastAsia" w:ascii="仿宋_GB2312" w:hAnsi="仿宋_GB2312" w:eastAsia="仿宋_GB2312" w:cs="仿宋_GB2312"/>
          <w:b w:val="0"/>
          <w:bCs w:val="0"/>
          <w:color w:val="auto"/>
          <w:sz w:val="32"/>
          <w:szCs w:val="32"/>
          <w:highlight w:val="none"/>
          <w:lang w:eastAsia="zh-CN"/>
        </w:rPr>
        <w:t>健全社会信用体系，</w:t>
      </w:r>
      <w:r>
        <w:rPr>
          <w:rFonts w:hint="eastAsia" w:ascii="仿宋_GB2312" w:hAnsi="仿宋_GB2312" w:eastAsia="仿宋_GB2312" w:cs="仿宋_GB2312"/>
          <w:b w:val="0"/>
          <w:bCs w:val="0"/>
          <w:color w:val="auto"/>
          <w:sz w:val="32"/>
          <w:szCs w:val="32"/>
          <w:highlight w:val="none"/>
          <w:lang w:val="en-US" w:eastAsia="zh-CN"/>
        </w:rPr>
        <w:t>深化政务诚信建设，健全政府诚信履约机制，加强政府机关、事业单位、国有企业信用状况监测，督促及时开展信用修复。实施商务诚信提质行动，构建企业信用分级监管机制，深化“信用修复+容缺受理”服务，建立合同履约、劳动用工等联合奖惩体系，塑造特色信用品牌，弘扬社会诚信文化，形成“守信者处处受益、失信者寸步难行”的治理新格局。</w:t>
      </w:r>
    </w:p>
    <w:p w14:paraId="0A3BA04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1"/>
        <w:rPr>
          <w:rFonts w:hint="eastAsia" w:ascii="黑体" w:hAnsi="黑体" w:eastAsia="黑体" w:cs="黑体"/>
          <w:b w:val="0"/>
          <w:bCs w:val="0"/>
          <w:color w:val="auto"/>
          <w:sz w:val="32"/>
          <w:szCs w:val="32"/>
          <w:highlight w:val="none"/>
          <w:lang w:val="en-US" w:eastAsia="zh-CN"/>
        </w:rPr>
      </w:pPr>
      <w:bookmarkStart w:id="25" w:name="_Toc358705723"/>
      <w:r>
        <w:rPr>
          <w:rFonts w:hint="eastAsia" w:ascii="黑体" w:hAnsi="黑体" w:eastAsia="黑体" w:cs="黑体"/>
          <w:b w:val="0"/>
          <w:bCs w:val="0"/>
          <w:color w:val="auto"/>
          <w:sz w:val="32"/>
          <w:szCs w:val="32"/>
          <w:highlight w:val="none"/>
          <w:lang w:val="en-US" w:eastAsia="zh-CN"/>
        </w:rPr>
        <w:t>五、优化公共服务增进民生新福祉</w:t>
      </w:r>
      <w:bookmarkEnd w:id="25"/>
    </w:p>
    <w:p w14:paraId="5231D26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（一）促进人口高质量发展</w:t>
      </w:r>
    </w:p>
    <w:p w14:paraId="35A2F5B2">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优化人口结构与分布</w:t>
      </w:r>
      <w:r>
        <w:rPr>
          <w:rFonts w:hint="eastAsia" w:ascii="仿宋_GB2312" w:hAnsi="仿宋_GB2312" w:eastAsia="仿宋_GB2312" w:cs="仿宋_GB2312"/>
          <w:b w:val="0"/>
          <w:bCs w:val="0"/>
          <w:color w:val="auto"/>
          <w:sz w:val="32"/>
          <w:szCs w:val="32"/>
          <w:highlight w:val="none"/>
          <w:lang w:val="en-US" w:eastAsia="zh-CN"/>
        </w:rPr>
        <w:t>。构建与区域发展适配的普惠优质、均衡可及人口服务体系，依托产业转型升级吸引高素质高技能人才和青年人口集聚，强化政策对人口分布的引导作用。健全人口服务管理体系，加强动态监测预警，促进人口与经济社会、资源环境协调发展。</w:t>
      </w:r>
      <w:r>
        <w:rPr>
          <w:rFonts w:hint="eastAsia" w:ascii="仿宋_GB2312" w:hAnsi="仿宋_GB2312" w:eastAsia="仿宋_GB2312" w:cs="仿宋_GB2312"/>
          <w:b/>
          <w:bCs/>
          <w:color w:val="auto"/>
          <w:sz w:val="32"/>
          <w:szCs w:val="32"/>
          <w:highlight w:val="none"/>
          <w:lang w:val="en-US" w:eastAsia="zh-CN"/>
        </w:rPr>
        <w:t>强化全周期人口服务。</w:t>
      </w:r>
      <w:r>
        <w:rPr>
          <w:rFonts w:hint="eastAsia" w:ascii="仿宋_GB2312" w:hAnsi="仿宋_GB2312" w:eastAsia="仿宋_GB2312" w:cs="仿宋_GB2312"/>
          <w:b w:val="0"/>
          <w:bCs w:val="0"/>
          <w:color w:val="auto"/>
          <w:sz w:val="32"/>
          <w:szCs w:val="32"/>
          <w:highlight w:val="none"/>
          <w:lang w:val="en-US" w:eastAsia="zh-CN"/>
        </w:rPr>
        <w:t>深化青年发展型城市建设，推进“景贤小镇”青年社区打造、优化安居保障，完善青年创新创业生态。健全生育支持体系，落实相关政策，扩大普惠托育供给，构建“1+N”托育服务网络。</w:t>
      </w:r>
      <w:r>
        <w:rPr>
          <w:rFonts w:hint="eastAsia" w:ascii="仿宋_GB2312" w:hAnsi="仿宋_GB2312" w:eastAsia="仿宋_GB2312" w:cs="仿宋_GB2312"/>
          <w:b/>
          <w:bCs/>
          <w:color w:val="auto"/>
          <w:sz w:val="32"/>
          <w:szCs w:val="32"/>
          <w:highlight w:val="none"/>
          <w:lang w:val="en-US" w:eastAsia="zh-CN"/>
        </w:rPr>
        <w:t>深化儿童友好城市创建。</w:t>
      </w:r>
      <w:r>
        <w:rPr>
          <w:rFonts w:hint="eastAsia" w:ascii="仿宋_GB2312" w:hAnsi="仿宋_GB2312" w:eastAsia="仿宋_GB2312" w:cs="仿宋_GB2312"/>
          <w:b w:val="0"/>
          <w:bCs w:val="0"/>
          <w:color w:val="auto"/>
          <w:sz w:val="32"/>
          <w:szCs w:val="32"/>
          <w:highlight w:val="none"/>
          <w:lang w:val="en-US" w:eastAsia="zh-CN"/>
        </w:rPr>
        <w:t>全面融入“1米高度看城市”理念，推进适儿化改造，健全困境儿童、留守儿童精准保障体系，强化未成年人救助保护机制。</w:t>
      </w:r>
      <w:r>
        <w:rPr>
          <w:rFonts w:hint="eastAsia" w:ascii="仿宋_GB2312" w:hAnsi="仿宋_GB2312" w:eastAsia="仿宋_GB2312" w:cs="仿宋_GB2312"/>
          <w:b/>
          <w:bCs/>
          <w:color w:val="auto"/>
          <w:sz w:val="32"/>
          <w:szCs w:val="32"/>
          <w:highlight w:val="none"/>
          <w:lang w:val="en-US" w:eastAsia="zh-CN"/>
        </w:rPr>
        <w:t>推进老年友好型社会建设。</w:t>
      </w:r>
      <w:r>
        <w:rPr>
          <w:rFonts w:hint="eastAsia" w:ascii="仿宋_GB2312" w:hAnsi="仿宋_GB2312" w:eastAsia="仿宋_GB2312" w:cs="仿宋_GB2312"/>
          <w:b w:val="0"/>
          <w:bCs w:val="0"/>
          <w:color w:val="auto"/>
          <w:sz w:val="32"/>
          <w:szCs w:val="32"/>
          <w:highlight w:val="none"/>
          <w:lang w:val="en-US" w:eastAsia="zh-CN"/>
        </w:rPr>
        <w:t>构建医康养融合的养老服务体系，扩大普惠养老供给，强化养老服务监管，发展银发经济，创建示范性老年友好社区，保障老年人权益。</w:t>
      </w:r>
    </w:p>
    <w:p w14:paraId="2D73070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（二）深入推进就业优先战略</w:t>
      </w:r>
    </w:p>
    <w:p w14:paraId="3141D818">
      <w:pPr>
        <w:pStyle w:val="2"/>
        <w:keepNext w:val="0"/>
        <w:keepLines w:val="0"/>
        <w:pageBreakBefore w:val="0"/>
        <w:kinsoku/>
        <w:wordWrap/>
        <w:overflowPunct/>
        <w:topLinePunct w:val="0"/>
        <w:autoSpaceDE/>
        <w:autoSpaceDN/>
        <w:bidi w:val="0"/>
        <w:adjustRightInd w:val="0"/>
        <w:snapToGrid w:val="0"/>
        <w:spacing w:line="560" w:lineRule="exact"/>
        <w:ind w:firstLine="643" w:firstLineChars="200"/>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强化就业监测与风险防控。</w:t>
      </w:r>
      <w:r>
        <w:rPr>
          <w:rFonts w:hint="eastAsia" w:ascii="仿宋_GB2312" w:hAnsi="仿宋_GB2312" w:eastAsia="仿宋_GB2312" w:cs="仿宋_GB2312"/>
          <w:b w:val="0"/>
          <w:bCs w:val="0"/>
          <w:color w:val="auto"/>
          <w:sz w:val="32"/>
          <w:szCs w:val="32"/>
          <w:highlight w:val="none"/>
          <w:lang w:val="en-US" w:eastAsia="zh-CN"/>
        </w:rPr>
        <w:t>推动跨部门数据共享，建立人口与就业常态化监测机制，研判新兴技术对就业的影响，构建失业风险预警防控体系。健全产业与就业协同机制，在重大政策、产业布局中同步评估岗位创造与失业风险，夯实就业稳定基础。</w:t>
      </w:r>
      <w:r>
        <w:rPr>
          <w:rFonts w:hint="eastAsia" w:ascii="仿宋_GB2312" w:hAnsi="仿宋_GB2312" w:eastAsia="仿宋_GB2312" w:cs="仿宋_GB2312"/>
          <w:b/>
          <w:bCs/>
          <w:color w:val="auto"/>
          <w:sz w:val="32"/>
          <w:szCs w:val="32"/>
          <w:highlight w:val="none"/>
          <w:lang w:val="en-US" w:eastAsia="zh-CN"/>
        </w:rPr>
        <w:t>加大岗位挖潜与重点群体帮扶。</w:t>
      </w:r>
      <w:r>
        <w:rPr>
          <w:rFonts w:hint="eastAsia" w:ascii="仿宋_GB2312" w:hAnsi="仿宋_GB2312" w:eastAsia="仿宋_GB2312" w:cs="仿宋_GB2312"/>
          <w:b w:val="0"/>
          <w:bCs w:val="0"/>
          <w:color w:val="auto"/>
          <w:sz w:val="32"/>
          <w:szCs w:val="32"/>
          <w:highlight w:val="none"/>
          <w:lang w:val="en-US" w:eastAsia="zh-CN"/>
        </w:rPr>
        <w:t>深挖特色领域岗位潜力，培育适配型、技能型及生育友好型岗位，扩大第三产业就业容量。依托政府投资项目和新注册企业，主动对接就业需求；强化重点群体帮扶，落实相关扶持政策，搭建创业孵化平台，激发创业带动就业活力。</w:t>
      </w:r>
      <w:r>
        <w:rPr>
          <w:rFonts w:hint="eastAsia" w:ascii="仿宋_GB2312" w:hAnsi="仿宋_GB2312" w:eastAsia="仿宋_GB2312" w:cs="仿宋_GB2312"/>
          <w:b/>
          <w:bCs/>
          <w:color w:val="auto"/>
          <w:sz w:val="32"/>
          <w:szCs w:val="32"/>
          <w:highlight w:val="none"/>
          <w:lang w:val="en-US" w:eastAsia="zh-CN"/>
        </w:rPr>
        <w:t>优化就业服务与技能培训体系。</w:t>
      </w:r>
      <w:r>
        <w:rPr>
          <w:rFonts w:hint="eastAsia" w:ascii="仿宋_GB2312" w:hAnsi="仿宋_GB2312" w:eastAsia="仿宋_GB2312" w:cs="仿宋_GB2312"/>
          <w:b w:val="0"/>
          <w:bCs w:val="0"/>
          <w:color w:val="auto"/>
          <w:sz w:val="32"/>
          <w:szCs w:val="32"/>
          <w:highlight w:val="none"/>
          <w:lang w:val="en-US" w:eastAsia="zh-CN"/>
        </w:rPr>
        <w:t>升级“4+4+N”服务体系，发布就业服务地图，推进市级试点，提升服务精准度。对接区域产业需求开展订单式，增加新兴领域培训供给，健全技能人才评价激励机制。同时，强化劳动者权益保障，规范企业用工，健全劳动争议调解仲裁机制，构建和谐稳定劳动关系。</w:t>
      </w:r>
    </w:p>
    <w:p w14:paraId="0CAD733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（三）建设高质量教育体系</w:t>
      </w:r>
    </w:p>
    <w:p w14:paraId="711545DA">
      <w:pPr>
        <w:pStyle w:val="2"/>
        <w:keepNext w:val="0"/>
        <w:keepLines w:val="0"/>
        <w:pageBreakBefore w:val="0"/>
        <w:kinsoku/>
        <w:wordWrap/>
        <w:overflowPunct/>
        <w:topLinePunct w:val="0"/>
        <w:autoSpaceDE/>
        <w:autoSpaceDN/>
        <w:bidi w:val="0"/>
        <w:adjustRightInd w:val="0"/>
        <w:snapToGrid w:val="0"/>
        <w:spacing w:line="560" w:lineRule="exact"/>
        <w:ind w:firstLine="643" w:firstLineChars="200"/>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优化教育资源配置。</w:t>
      </w:r>
      <w:r>
        <w:rPr>
          <w:rFonts w:hint="eastAsia" w:ascii="仿宋_GB2312" w:hAnsi="仿宋_GB2312" w:eastAsia="仿宋_GB2312" w:cs="仿宋_GB2312"/>
          <w:b w:val="0"/>
          <w:bCs w:val="0"/>
          <w:color w:val="auto"/>
          <w:sz w:val="32"/>
          <w:szCs w:val="32"/>
          <w:highlight w:val="none"/>
          <w:lang w:val="en-US" w:eastAsia="zh-CN"/>
        </w:rPr>
        <w:t>健全与人口变化相适应的教育资源配置机制，应对学龄人口变化；加强中小学校标准化建设，高起点建设首钢东南区、琅山苗圃、衙门口等配套学校，新增中小学学位4500个。稳步扩大免费教育范围，积极探索延长义务教育年限，推进托幼一体化优质普惠发展；加快创建义务教育优质均衡发展区，实施学校更新提质专项计划，促进高中多样化特色发展；完善特殊教育服务体系，办好十五年制特殊教育学校。</w:t>
      </w:r>
      <w:r>
        <w:rPr>
          <w:rFonts w:hint="eastAsia" w:ascii="仿宋_GB2312" w:hAnsi="仿宋_GB2312" w:eastAsia="仿宋_GB2312" w:cs="仿宋_GB2312"/>
          <w:b/>
          <w:bCs/>
          <w:color w:val="auto"/>
          <w:sz w:val="32"/>
          <w:szCs w:val="32"/>
          <w:highlight w:val="none"/>
          <w:lang w:val="en-US" w:eastAsia="zh-CN"/>
        </w:rPr>
        <w:t>深化教育综合改革。</w:t>
      </w:r>
      <w:r>
        <w:rPr>
          <w:rFonts w:hint="eastAsia" w:ascii="仿宋_GB2312" w:hAnsi="仿宋_GB2312" w:eastAsia="仿宋_GB2312" w:cs="仿宋_GB2312"/>
          <w:b w:val="0"/>
          <w:bCs w:val="0"/>
          <w:color w:val="auto"/>
          <w:sz w:val="32"/>
          <w:szCs w:val="32"/>
          <w:highlight w:val="none"/>
          <w:lang w:val="en-US" w:eastAsia="zh-CN"/>
        </w:rPr>
        <w:t>落实立德树人，深化课程教学改革，创新学习方式，提升学生核心素养。推进教育数字化转型，建设智慧校园与资源共享平台。发展适配区域产业的现代职业教育，优化专业设置，建强“双师型”队伍，深化产教融合、职普融通。</w:t>
      </w:r>
      <w:r>
        <w:rPr>
          <w:rFonts w:hint="eastAsia" w:ascii="仿宋_GB2312" w:hAnsi="仿宋_GB2312" w:eastAsia="仿宋_GB2312" w:cs="仿宋_GB2312"/>
          <w:b/>
          <w:bCs/>
          <w:color w:val="auto"/>
          <w:sz w:val="32"/>
          <w:szCs w:val="32"/>
          <w:highlight w:val="none"/>
          <w:lang w:val="en-US" w:eastAsia="zh-CN"/>
        </w:rPr>
        <w:t>强化协同育人与师资建设。</w:t>
      </w:r>
      <w:r>
        <w:rPr>
          <w:rFonts w:hint="eastAsia" w:ascii="仿宋_GB2312" w:hAnsi="仿宋_GB2312" w:eastAsia="仿宋_GB2312" w:cs="仿宋_GB2312"/>
          <w:b w:val="0"/>
          <w:bCs w:val="0"/>
          <w:color w:val="auto"/>
          <w:sz w:val="32"/>
          <w:szCs w:val="32"/>
          <w:highlight w:val="none"/>
          <w:lang w:val="en-US" w:eastAsia="zh-CN"/>
        </w:rPr>
        <w:t>完善终身学习体系，升级社区教育三级网络与“润学石景山”平台，深化家校社协同育人。健全师德师风建设长效机制，实施“幸福教师”计划，引育高层次教育人才。搭建教师成长阶梯，</w:t>
      </w:r>
      <w:r>
        <w:rPr>
          <w:rFonts w:hint="default" w:ascii="仿宋_GB2312" w:hAnsi="仿宋_GB2312" w:eastAsia="仿宋_GB2312" w:cs="仿宋_GB2312"/>
          <w:b w:val="0"/>
          <w:bCs w:val="0"/>
          <w:color w:val="auto"/>
          <w:sz w:val="32"/>
          <w:szCs w:val="32"/>
          <w:highlight w:val="none"/>
          <w:lang w:val="en-US" w:eastAsia="zh-CN"/>
        </w:rPr>
        <w:t>强化教研培训与名师工作室建设，全面提升育人水平。</w:t>
      </w:r>
    </w:p>
    <w:p w14:paraId="451DB67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（四）提升全民健康水平</w:t>
      </w:r>
    </w:p>
    <w:p w14:paraId="01ED3E5F">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深化医药卫生体制改革。</w:t>
      </w:r>
      <w:r>
        <w:rPr>
          <w:rFonts w:hint="eastAsia" w:ascii="仿宋_GB2312" w:hAnsi="仿宋_GB2312" w:eastAsia="仿宋_GB2312" w:cs="仿宋_GB2312"/>
          <w:b w:val="0"/>
          <w:bCs w:val="0"/>
          <w:color w:val="auto"/>
          <w:sz w:val="32"/>
          <w:szCs w:val="32"/>
          <w:highlight w:val="none"/>
          <w:lang w:val="en-US" w:eastAsia="zh-CN"/>
        </w:rPr>
        <w:t>统筹推进医疗、医保、医药协同治理，落实医保支付方式改革、药品耗材集采等举措，动态调整医疗服务价格。深化公立医院内涵发展，推动区属医院与优质医疗资源融合，打造医院改革石景山模式，做强专科医院，提升诊疗水平。</w:t>
      </w:r>
      <w:r>
        <w:rPr>
          <w:rFonts w:hint="eastAsia" w:ascii="仿宋_GB2312" w:hAnsi="仿宋_GB2312" w:eastAsia="仿宋_GB2312" w:cs="仿宋_GB2312"/>
          <w:b/>
          <w:bCs/>
          <w:color w:val="auto"/>
          <w:sz w:val="32"/>
          <w:szCs w:val="32"/>
          <w:highlight w:val="none"/>
          <w:lang w:val="en-US" w:eastAsia="zh-CN"/>
        </w:rPr>
        <w:t>强化公共卫生服务能力</w:t>
      </w:r>
      <w:r>
        <w:rPr>
          <w:rFonts w:hint="eastAsia" w:ascii="仿宋_GB2312" w:hAnsi="仿宋_GB2312" w:eastAsia="仿宋_GB2312" w:cs="仿宋_GB2312"/>
          <w:b w:val="0"/>
          <w:bCs w:val="0"/>
          <w:color w:val="auto"/>
          <w:sz w:val="32"/>
          <w:szCs w:val="32"/>
          <w:highlight w:val="none"/>
          <w:lang w:val="en-US" w:eastAsia="zh-CN"/>
        </w:rPr>
        <w:t>。完善疾控体系与实验室建设，深化慢性病全链条防控。优化急救网络，提升应急处置能力。均衡布局医疗资源，推进医院改扩建与社区卫生中心建设，织密15分钟社区卫生服务圈，深化分级诊疗与医联体建设。</w:t>
      </w:r>
      <w:r>
        <w:rPr>
          <w:rFonts w:hint="eastAsia" w:ascii="仿宋_GB2312" w:hAnsi="仿宋_GB2312" w:eastAsia="仿宋_GB2312" w:cs="仿宋_GB2312"/>
          <w:b/>
          <w:bCs/>
          <w:color w:val="auto"/>
          <w:sz w:val="32"/>
          <w:szCs w:val="32"/>
          <w:highlight w:val="none"/>
          <w:lang w:val="en-US" w:eastAsia="zh-CN"/>
        </w:rPr>
        <w:t>促进全民身心健康。</w:t>
      </w:r>
      <w:r>
        <w:rPr>
          <w:rFonts w:hint="eastAsia" w:ascii="仿宋_GB2312" w:hAnsi="仿宋_GB2312" w:eastAsia="仿宋_GB2312" w:cs="仿宋_GB2312"/>
          <w:b w:val="0"/>
          <w:bCs w:val="0"/>
          <w:color w:val="auto"/>
          <w:sz w:val="32"/>
          <w:szCs w:val="32"/>
          <w:highlight w:val="none"/>
          <w:lang w:val="en-US" w:eastAsia="zh-CN"/>
        </w:rPr>
        <w:t>开展健康素养提升行动，倡导健康生活方式。完善15分钟健身圈，举办特色赛事，加强青少年体育与心理健康服务。推动中医药传承创新，发展智慧医疗，构建全方位全周期健康服务体系。</w:t>
      </w:r>
    </w:p>
    <w:p w14:paraId="542BB62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（五）兜住兜牢社会民生底线</w:t>
      </w:r>
    </w:p>
    <w:p w14:paraId="6CE902B8">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仿宋_GB2312" w:hAnsi="仿宋_GB2312" w:eastAsia="仿宋_GB2312" w:cs="仿宋_GB2312"/>
          <w:b w:val="0"/>
          <w:bCs w:val="0"/>
          <w:color w:val="auto"/>
          <w:sz w:val="32"/>
          <w:szCs w:val="32"/>
          <w:highlight w:val="none"/>
          <w:lang w:val="en-US" w:eastAsia="zh-CN"/>
        </w:rPr>
      </w:pPr>
      <w:r>
        <w:rPr>
          <w:rFonts w:hint="default" w:ascii="仿宋_GB2312" w:hAnsi="仿宋_GB2312" w:eastAsia="仿宋_GB2312" w:cs="仿宋_GB2312"/>
          <w:b/>
          <w:bCs/>
          <w:color w:val="auto"/>
          <w:sz w:val="32"/>
          <w:szCs w:val="32"/>
          <w:highlight w:val="none"/>
          <w:lang w:val="en-US" w:eastAsia="zh-CN"/>
        </w:rPr>
        <w:t>健全多层次社会保障体系。</w:t>
      </w:r>
      <w:r>
        <w:rPr>
          <w:rFonts w:hint="default" w:ascii="仿宋_GB2312" w:hAnsi="仿宋_GB2312" w:eastAsia="仿宋_GB2312" w:cs="仿宋_GB2312"/>
          <w:b w:val="0"/>
          <w:bCs w:val="0"/>
          <w:color w:val="auto"/>
          <w:sz w:val="32"/>
          <w:szCs w:val="32"/>
          <w:highlight w:val="none"/>
          <w:lang w:val="en-US" w:eastAsia="zh-CN"/>
        </w:rPr>
        <w:t>落实养老、医疗</w:t>
      </w:r>
      <w:r>
        <w:rPr>
          <w:rFonts w:hint="eastAsia" w:ascii="仿宋_GB2312" w:hAnsi="仿宋_GB2312" w:eastAsia="仿宋_GB2312" w:cs="仿宋_GB2312"/>
          <w:b w:val="0"/>
          <w:bCs w:val="0"/>
          <w:color w:val="auto"/>
          <w:sz w:val="32"/>
          <w:szCs w:val="32"/>
          <w:highlight w:val="none"/>
          <w:lang w:val="en-US" w:eastAsia="zh-CN"/>
        </w:rPr>
        <w:t>保障</w:t>
      </w:r>
      <w:r>
        <w:rPr>
          <w:rFonts w:hint="default" w:ascii="仿宋_GB2312" w:hAnsi="仿宋_GB2312" w:eastAsia="仿宋_GB2312" w:cs="仿宋_GB2312"/>
          <w:b w:val="0"/>
          <w:bCs w:val="0"/>
          <w:color w:val="auto"/>
          <w:sz w:val="32"/>
          <w:szCs w:val="32"/>
          <w:highlight w:val="none"/>
          <w:lang w:val="en-US" w:eastAsia="zh-CN"/>
        </w:rPr>
        <w:t>待遇调整机制，扩大保障覆盖面，强化三重保障功能。推动企业年金、个人养老金发展，</w:t>
      </w:r>
      <w:r>
        <w:rPr>
          <w:rFonts w:hint="eastAsia" w:ascii="仿宋_GB2312" w:hAnsi="仿宋_GB2312" w:eastAsia="仿宋_GB2312" w:cs="仿宋_GB2312"/>
          <w:b w:val="0"/>
          <w:bCs w:val="0"/>
          <w:color w:val="auto"/>
          <w:sz w:val="32"/>
          <w:szCs w:val="32"/>
          <w:highlight w:val="none"/>
          <w:lang w:val="en-US" w:eastAsia="zh-CN"/>
        </w:rPr>
        <w:t>衔接</w:t>
      </w:r>
      <w:r>
        <w:rPr>
          <w:rFonts w:hint="default" w:ascii="仿宋_GB2312" w:hAnsi="仿宋_GB2312" w:eastAsia="仿宋_GB2312" w:cs="仿宋_GB2312"/>
          <w:b w:val="0"/>
          <w:bCs w:val="0"/>
          <w:color w:val="auto"/>
          <w:sz w:val="32"/>
          <w:szCs w:val="32"/>
          <w:highlight w:val="none"/>
          <w:lang w:val="en-US" w:eastAsia="zh-CN"/>
        </w:rPr>
        <w:t>延迟退休改革</w:t>
      </w:r>
      <w:r>
        <w:rPr>
          <w:rFonts w:hint="eastAsia" w:ascii="仿宋_GB2312" w:hAnsi="仿宋_GB2312" w:eastAsia="仿宋_GB2312" w:cs="仿宋_GB2312"/>
          <w:b w:val="0"/>
          <w:bCs w:val="0"/>
          <w:color w:val="auto"/>
          <w:sz w:val="32"/>
          <w:szCs w:val="32"/>
          <w:highlight w:val="none"/>
          <w:lang w:val="en-US" w:eastAsia="zh-CN"/>
        </w:rPr>
        <w:t>，</w:t>
      </w:r>
      <w:r>
        <w:rPr>
          <w:rFonts w:hint="default" w:ascii="仿宋_GB2312" w:hAnsi="仿宋_GB2312" w:eastAsia="仿宋_GB2312" w:cs="仿宋_GB2312"/>
          <w:b w:val="0"/>
          <w:bCs w:val="0"/>
          <w:color w:val="auto"/>
          <w:sz w:val="32"/>
          <w:szCs w:val="32"/>
          <w:highlight w:val="none"/>
          <w:lang w:val="en-US" w:eastAsia="zh-CN"/>
        </w:rPr>
        <w:t>扩大工伤保险覆盖范围，推进新就业形态从业人员职业伤害保障试点扩面。优化失业保险相关政策，筑牢社保基金安全防线，提升智慧经办服务水平。</w:t>
      </w:r>
      <w:r>
        <w:rPr>
          <w:rFonts w:hint="default" w:ascii="仿宋_GB2312" w:hAnsi="仿宋_GB2312" w:eastAsia="仿宋_GB2312" w:cs="仿宋_GB2312"/>
          <w:b/>
          <w:bCs/>
          <w:color w:val="auto"/>
          <w:sz w:val="32"/>
          <w:szCs w:val="32"/>
          <w:highlight w:val="none"/>
          <w:lang w:val="en-US" w:eastAsia="zh-CN"/>
        </w:rPr>
        <w:t>提升社会救助与福利水平。</w:t>
      </w:r>
      <w:r>
        <w:rPr>
          <w:rFonts w:hint="default" w:ascii="仿宋_GB2312" w:hAnsi="仿宋_GB2312" w:eastAsia="仿宋_GB2312" w:cs="仿宋_GB2312"/>
          <w:b w:val="0"/>
          <w:bCs w:val="0"/>
          <w:color w:val="auto"/>
          <w:sz w:val="32"/>
          <w:szCs w:val="32"/>
          <w:highlight w:val="none"/>
          <w:lang w:val="en-US" w:eastAsia="zh-CN"/>
        </w:rPr>
        <w:t>健全分层分类救助体系，加强低收入人口动态监测与精准救助，推进“物质+服务”综合救助。强化残疾人、妇女、退役军人等群体保障，完善临时救助机制</w:t>
      </w:r>
      <w:r>
        <w:rPr>
          <w:rFonts w:hint="eastAsia" w:ascii="仿宋_GB2312" w:hAnsi="仿宋_GB2312" w:eastAsia="仿宋_GB2312" w:cs="仿宋_GB2312"/>
          <w:b w:val="0"/>
          <w:bCs w:val="0"/>
          <w:color w:val="auto"/>
          <w:sz w:val="32"/>
          <w:szCs w:val="32"/>
          <w:highlight w:val="none"/>
          <w:lang w:val="en-US" w:eastAsia="zh-CN"/>
        </w:rPr>
        <w:t>，</w:t>
      </w:r>
      <w:r>
        <w:rPr>
          <w:rFonts w:hint="default" w:ascii="仿宋_GB2312" w:hAnsi="仿宋_GB2312" w:eastAsia="仿宋_GB2312" w:cs="仿宋_GB2312"/>
          <w:b w:val="0"/>
          <w:bCs w:val="0"/>
          <w:color w:val="auto"/>
          <w:sz w:val="32"/>
          <w:szCs w:val="32"/>
          <w:highlight w:val="none"/>
          <w:lang w:val="en-US" w:eastAsia="zh-CN"/>
        </w:rPr>
        <w:t>规范慈善事业发展，推动政府救助与慈善帮扶有效衔接，弘扬文明殡葬新风。</w:t>
      </w:r>
    </w:p>
    <w:p w14:paraId="2498D53F">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default" w:ascii="仿宋_GB2312" w:hAnsi="仿宋_GB2312" w:eastAsia="仿宋_GB2312" w:cs="仿宋_GB2312"/>
          <w:b/>
          <w:bCs/>
          <w:color w:val="auto"/>
          <w:sz w:val="32"/>
          <w:szCs w:val="32"/>
          <w:highlight w:val="none"/>
          <w:lang w:val="en-US" w:eastAsia="zh-CN"/>
        </w:rPr>
        <w:t>构建多层次住房保障体系。</w:t>
      </w:r>
      <w:r>
        <w:rPr>
          <w:rFonts w:hint="default" w:ascii="仿宋_GB2312" w:hAnsi="仿宋_GB2312" w:eastAsia="仿宋_GB2312" w:cs="仿宋_GB2312"/>
          <w:b w:val="0"/>
          <w:bCs w:val="0"/>
          <w:color w:val="auto"/>
          <w:sz w:val="32"/>
          <w:szCs w:val="32"/>
          <w:highlight w:val="none"/>
          <w:lang w:val="en-US" w:eastAsia="zh-CN"/>
        </w:rPr>
        <w:t>坚持租购并举，加大公租房、保障性租赁住房供给，多渠道扩充房源。完善住房供应体系，</w:t>
      </w:r>
      <w:r>
        <w:rPr>
          <w:rFonts w:hint="eastAsia" w:ascii="仿宋_GB2312" w:hAnsi="仿宋_GB2312" w:eastAsia="仿宋_GB2312" w:cs="仿宋_GB2312"/>
          <w:b w:val="0"/>
          <w:bCs w:val="0"/>
          <w:color w:val="auto"/>
          <w:sz w:val="32"/>
          <w:szCs w:val="32"/>
          <w:highlight w:val="none"/>
          <w:lang w:val="en-US" w:eastAsia="zh-CN"/>
        </w:rPr>
        <w:t>加强新市民等群体保障，规范住房租赁市场，建立房屋全生命周期安全管理机制，推动从“住有所居”向“住有宜居”转变。</w:t>
      </w:r>
    </w:p>
    <w:p w14:paraId="109A6A3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1"/>
        <w:rPr>
          <w:rFonts w:hint="eastAsia" w:ascii="黑体" w:hAnsi="黑体" w:eastAsia="黑体" w:cs="黑体"/>
          <w:b w:val="0"/>
          <w:bCs w:val="0"/>
          <w:color w:val="auto"/>
          <w:sz w:val="32"/>
          <w:szCs w:val="32"/>
          <w:highlight w:val="none"/>
          <w:lang w:val="en-US" w:eastAsia="zh-CN"/>
        </w:rPr>
      </w:pPr>
      <w:bookmarkStart w:id="26" w:name="_Toc1814920956"/>
      <w:r>
        <w:rPr>
          <w:rFonts w:hint="eastAsia" w:ascii="黑体" w:hAnsi="黑体" w:eastAsia="黑体" w:cs="黑体"/>
          <w:b w:val="0"/>
          <w:bCs w:val="0"/>
          <w:color w:val="auto"/>
          <w:sz w:val="32"/>
          <w:szCs w:val="32"/>
          <w:highlight w:val="none"/>
          <w:lang w:val="en-US" w:eastAsia="zh-CN"/>
        </w:rPr>
        <w:t>六、筑牢城市有序运行安全新屏障</w:t>
      </w:r>
      <w:bookmarkEnd w:id="26"/>
    </w:p>
    <w:p w14:paraId="1DED12A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（一）健全城市公共安全体系</w:t>
      </w:r>
    </w:p>
    <w:p w14:paraId="0BF7E61C">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筑牢政治安全防线。</w:t>
      </w:r>
      <w:r>
        <w:rPr>
          <w:rFonts w:hint="eastAsia" w:ascii="仿宋_GB2312" w:hAnsi="仿宋_GB2312" w:eastAsia="仿宋_GB2312" w:cs="仿宋_GB2312"/>
          <w:b w:val="0"/>
          <w:bCs w:val="0"/>
          <w:color w:val="auto"/>
          <w:sz w:val="32"/>
          <w:szCs w:val="32"/>
          <w:highlight w:val="none"/>
          <w:lang w:val="en-US" w:eastAsia="zh-CN"/>
        </w:rPr>
        <w:t>健全国家安全人民防线组织体系，压实意识形态工作主体责任。推进反恐维稳法治化常态化，加强“低慢小”航空器管理，加快国防动员能力建设，坚决守护首都政治安全。</w:t>
      </w:r>
      <w:r>
        <w:rPr>
          <w:rFonts w:hint="eastAsia" w:ascii="仿宋_GB2312" w:hAnsi="仿宋_GB2312" w:eastAsia="仿宋_GB2312" w:cs="仿宋_GB2312"/>
          <w:b/>
          <w:bCs/>
          <w:color w:val="auto"/>
          <w:sz w:val="32"/>
          <w:szCs w:val="32"/>
          <w:highlight w:val="none"/>
          <w:lang w:val="en-US" w:eastAsia="zh-CN"/>
        </w:rPr>
        <w:t>深化平安石景山建设</w:t>
      </w:r>
      <w:r>
        <w:rPr>
          <w:rFonts w:hint="eastAsia" w:ascii="仿宋_GB2312" w:hAnsi="仿宋_GB2312" w:eastAsia="仿宋_GB2312" w:cs="仿宋_GB2312"/>
          <w:b w:val="0"/>
          <w:bCs w:val="0"/>
          <w:color w:val="auto"/>
          <w:sz w:val="32"/>
          <w:szCs w:val="32"/>
          <w:highlight w:val="none"/>
          <w:lang w:val="en-US" w:eastAsia="zh-CN"/>
        </w:rPr>
        <w:t>。健全立体化、智能化社会治安防控体系，规范综治中心运行，动态排查化解重点领域涉稳风险。持续推进扫黑除恶常态化，依法严厉打击各类违法犯罪，切实维护群众生命财产安全与社会大局稳定。</w:t>
      </w:r>
      <w:r>
        <w:rPr>
          <w:rFonts w:hint="eastAsia" w:ascii="仿宋_GB2312" w:hAnsi="仿宋_GB2312" w:eastAsia="仿宋_GB2312" w:cs="仿宋_GB2312"/>
          <w:b/>
          <w:bCs/>
          <w:color w:val="auto"/>
          <w:sz w:val="32"/>
          <w:szCs w:val="32"/>
          <w:highlight w:val="none"/>
          <w:lang w:val="en-US" w:eastAsia="zh-CN"/>
        </w:rPr>
        <w:t>完善安全生产防护体系。</w:t>
      </w:r>
      <w:r>
        <w:rPr>
          <w:rFonts w:hint="eastAsia" w:ascii="仿宋_GB2312" w:hAnsi="仿宋_GB2312" w:eastAsia="仿宋_GB2312" w:cs="仿宋_GB2312"/>
          <w:b w:val="0"/>
          <w:bCs w:val="0"/>
          <w:color w:val="auto"/>
          <w:sz w:val="32"/>
          <w:szCs w:val="32"/>
          <w:highlight w:val="none"/>
          <w:lang w:val="en-US" w:eastAsia="zh-CN"/>
        </w:rPr>
        <w:t>健全风险排查整治和责任倒查机制，对重大风险源实施精准管控，聚焦交通、建筑、消防、危化品等领域开展专项整治，推动隐患动态清零，提升城市本质安全水平。</w:t>
      </w:r>
      <w:r>
        <w:rPr>
          <w:rFonts w:hint="eastAsia" w:ascii="仿宋_GB2312" w:hAnsi="仿宋_GB2312" w:eastAsia="仿宋_GB2312" w:cs="仿宋_GB2312"/>
          <w:b/>
          <w:bCs/>
          <w:color w:val="auto"/>
          <w:sz w:val="32"/>
          <w:szCs w:val="32"/>
          <w:highlight w:val="none"/>
          <w:lang w:val="en-US" w:eastAsia="zh-CN"/>
        </w:rPr>
        <w:t>严格食药环安全监管。</w:t>
      </w:r>
      <w:r>
        <w:rPr>
          <w:rFonts w:hint="eastAsia" w:ascii="仿宋_GB2312" w:hAnsi="仿宋_GB2312" w:eastAsia="仿宋_GB2312" w:cs="仿宋_GB2312"/>
          <w:b w:val="0"/>
          <w:bCs w:val="0"/>
          <w:color w:val="auto"/>
          <w:sz w:val="32"/>
          <w:szCs w:val="32"/>
          <w:highlight w:val="none"/>
          <w:lang w:val="en-US" w:eastAsia="zh-CN"/>
        </w:rPr>
        <w:t>强化食品安全全链条监管，紧盯校园、养老助餐、网络销售等重点环节。加强药品、医疗器械监管，开展辐射环境安全隐患排查，守牢公共安全底线。</w:t>
      </w:r>
    </w:p>
    <w:p w14:paraId="28DCCBE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default"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（二）提升城市减灾防灾能力</w:t>
      </w:r>
    </w:p>
    <w:p w14:paraId="077C5E1A">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夯实灾害防范防治基础。</w:t>
      </w:r>
      <w:r>
        <w:rPr>
          <w:rFonts w:hint="eastAsia" w:ascii="仿宋_GB2312" w:hAnsi="仿宋_GB2312" w:eastAsia="仿宋_GB2312" w:cs="仿宋_GB2312"/>
          <w:b w:val="0"/>
          <w:bCs w:val="0"/>
          <w:color w:val="auto"/>
          <w:sz w:val="32"/>
          <w:szCs w:val="32"/>
          <w:highlight w:val="none"/>
          <w:lang w:val="en-US" w:eastAsia="zh-CN"/>
        </w:rPr>
        <w:t>构建城市安全风险谱系，强化极端天气、地震等灾害监测预警，推进应急广播（二期）建设，提升数字感知预警效能。落实分布式韧性空间布局。加强浅山区、近山区防灾投入，提升区域抗灾及排水防涝能力，常态化开展重点领域风险监测与隐患治理。</w:t>
      </w:r>
      <w:r>
        <w:rPr>
          <w:rFonts w:hint="eastAsia" w:ascii="仿宋_GB2312" w:hAnsi="仿宋_GB2312" w:eastAsia="仿宋_GB2312" w:cs="仿宋_GB2312"/>
          <w:b/>
          <w:bCs/>
          <w:color w:val="auto"/>
          <w:sz w:val="32"/>
          <w:szCs w:val="32"/>
          <w:highlight w:val="none"/>
          <w:lang w:val="en-US" w:eastAsia="zh-CN"/>
        </w:rPr>
        <w:t>强化应急救援处置效能。</w:t>
      </w:r>
      <w:r>
        <w:rPr>
          <w:rFonts w:hint="eastAsia" w:ascii="仿宋_GB2312" w:hAnsi="仿宋_GB2312" w:eastAsia="仿宋_GB2312" w:cs="仿宋_GB2312"/>
          <w:b w:val="0"/>
          <w:bCs w:val="0"/>
          <w:color w:val="auto"/>
          <w:sz w:val="32"/>
          <w:szCs w:val="32"/>
          <w:highlight w:val="none"/>
          <w:lang w:val="en-US" w:eastAsia="zh-CN"/>
        </w:rPr>
        <w:t>建立协同联动的应急指挥体系，优化应急预案，建强多元救援力量，完善基层网格预警响应机制，深化多方协同联动。构建应急物资全链条保障体系，健全紧急征用补偿机制，提升救灾物资快速投送能力。</w:t>
      </w:r>
      <w:r>
        <w:rPr>
          <w:rFonts w:hint="eastAsia" w:ascii="仿宋_GB2312" w:hAnsi="仿宋_GB2312" w:eastAsia="仿宋_GB2312" w:cs="仿宋_GB2312"/>
          <w:b/>
          <w:bCs/>
          <w:color w:val="auto"/>
          <w:sz w:val="32"/>
          <w:szCs w:val="32"/>
          <w:highlight w:val="none"/>
          <w:lang w:val="en-US" w:eastAsia="zh-CN"/>
        </w:rPr>
        <w:t>筑牢社会韧性防护防线。</w:t>
      </w:r>
      <w:r>
        <w:rPr>
          <w:rFonts w:hint="eastAsia" w:ascii="仿宋_GB2312" w:hAnsi="仿宋_GB2312" w:eastAsia="仿宋_GB2312" w:cs="仿宋_GB2312"/>
          <w:b w:val="0"/>
          <w:bCs w:val="0"/>
          <w:color w:val="auto"/>
          <w:sz w:val="32"/>
          <w:szCs w:val="32"/>
          <w:highlight w:val="none"/>
          <w:lang w:val="en-US" w:eastAsia="zh-CN"/>
        </w:rPr>
        <w:t>推进消防救援站建设，完善消防站点网络，严控火灾死亡率。常态化开展防汛抗旱、森林防火工作，完善相关防护设施。将防灾减灾纳入各类培训，通过科普宣传、场景体验，提升公众防灾避险和自救互救能力。</w:t>
      </w:r>
    </w:p>
    <w:p w14:paraId="5393FB7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default"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（三）提升城市精细化治理品质</w:t>
      </w:r>
    </w:p>
    <w:p w14:paraId="10C57FB5">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提高智慧化治理服务水平。</w:t>
      </w:r>
      <w:r>
        <w:rPr>
          <w:rFonts w:hint="eastAsia" w:ascii="仿宋_GB2312" w:hAnsi="仿宋_GB2312" w:eastAsia="仿宋_GB2312" w:cs="仿宋_GB2312"/>
          <w:b w:val="0"/>
          <w:bCs w:val="0"/>
          <w:color w:val="auto"/>
          <w:sz w:val="32"/>
          <w:szCs w:val="32"/>
          <w:highlight w:val="none"/>
          <w:lang w:val="en-US" w:eastAsia="zh-CN"/>
        </w:rPr>
        <w:t>积极融入“数智北京”建设，迭代升级城市大脑，完善区、街道、社区三级数智治理体系，优化“一网通办”“一网统管”“一网慧治”，完善“云上综治”数智化综合治理平台，打造多跨协同应用场景。</w:t>
      </w:r>
      <w:r>
        <w:rPr>
          <w:rFonts w:hint="eastAsia" w:ascii="仿宋_GB2312" w:hAnsi="仿宋_GB2312" w:eastAsia="仿宋_GB2312" w:cs="仿宋_GB2312"/>
          <w:b/>
          <w:bCs/>
          <w:color w:val="auto"/>
          <w:sz w:val="32"/>
          <w:szCs w:val="32"/>
          <w:highlight w:val="none"/>
          <w:lang w:val="en-US" w:eastAsia="zh-CN"/>
        </w:rPr>
        <w:t>推进城市更新提升城区品质。</w:t>
      </w:r>
      <w:r>
        <w:rPr>
          <w:rFonts w:hint="default" w:ascii="仿宋_GB2312" w:hAnsi="仿宋_GB2312" w:eastAsia="仿宋_GB2312" w:cs="仿宋_GB2312"/>
          <w:color w:val="auto"/>
          <w:sz w:val="32"/>
          <w:szCs w:val="32"/>
          <w:highlight w:val="none"/>
          <w:lang w:val="en-US" w:eastAsia="zh-CN"/>
        </w:rPr>
        <w:t>持续实施城市更新行动，</w:t>
      </w:r>
      <w:r>
        <w:rPr>
          <w:rFonts w:hint="eastAsia" w:ascii="仿宋_GB2312" w:hAnsi="仿宋_GB2312" w:eastAsia="仿宋_GB2312" w:cs="仿宋_GB2312"/>
          <w:color w:val="auto"/>
          <w:sz w:val="32"/>
          <w:szCs w:val="32"/>
          <w:highlight w:val="none"/>
          <w:lang w:val="en-US" w:eastAsia="zh-CN"/>
        </w:rPr>
        <w:t>开展微空间、微景观、微更新专项行动，推进老旧小区菜单式改造，规划建设</w:t>
      </w:r>
      <w:r>
        <w:rPr>
          <w:rFonts w:hint="default" w:ascii="仿宋_GB2312" w:hAnsi="仿宋_GB2312" w:eastAsia="仿宋_GB2312" w:cs="仿宋_GB2312"/>
          <w:color w:val="auto"/>
          <w:sz w:val="32"/>
          <w:szCs w:val="32"/>
          <w:highlight w:val="none"/>
          <w:lang w:val="en-US" w:eastAsia="zh-CN"/>
        </w:rPr>
        <w:t>口袋公园等共享空间</w:t>
      </w:r>
      <w:r>
        <w:rPr>
          <w:rFonts w:hint="eastAsia" w:ascii="仿宋_GB2312" w:hAnsi="仿宋_GB2312" w:eastAsia="仿宋_GB2312" w:cs="仿宋_GB2312"/>
          <w:color w:val="auto"/>
          <w:sz w:val="32"/>
          <w:szCs w:val="32"/>
          <w:highlight w:val="none"/>
          <w:lang w:val="en-US" w:eastAsia="zh-CN"/>
        </w:rPr>
        <w:t>，不断改善人居环境质量</w:t>
      </w:r>
      <w:r>
        <w:rPr>
          <w:rFonts w:hint="default"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b/>
          <w:bCs/>
          <w:color w:val="auto"/>
          <w:sz w:val="32"/>
          <w:szCs w:val="32"/>
          <w:highlight w:val="none"/>
          <w:lang w:val="en-US" w:eastAsia="zh-CN"/>
        </w:rPr>
        <w:t>推进</w:t>
      </w:r>
      <w:r>
        <w:rPr>
          <w:rFonts w:hint="eastAsia" w:ascii="仿宋_GB2312" w:hAnsi="仿宋_GB2312" w:eastAsia="仿宋_GB2312" w:cs="仿宋_GB2312"/>
          <w:b/>
          <w:bCs/>
          <w:color w:val="auto"/>
          <w:sz w:val="32"/>
          <w:szCs w:val="32"/>
          <w:highlight w:val="none"/>
          <w:lang w:val="en-US" w:eastAsia="zh-CN"/>
        </w:rPr>
        <w:t>韧性</w:t>
      </w:r>
      <w:r>
        <w:rPr>
          <w:rFonts w:hint="default" w:ascii="仿宋_GB2312" w:hAnsi="仿宋_GB2312" w:eastAsia="仿宋_GB2312" w:cs="仿宋_GB2312"/>
          <w:b/>
          <w:bCs/>
          <w:color w:val="auto"/>
          <w:sz w:val="32"/>
          <w:szCs w:val="32"/>
          <w:highlight w:val="none"/>
          <w:lang w:val="en-US" w:eastAsia="zh-CN"/>
        </w:rPr>
        <w:t>智慧</w:t>
      </w:r>
      <w:r>
        <w:rPr>
          <w:rFonts w:hint="eastAsia" w:ascii="仿宋_GB2312" w:hAnsi="仿宋_GB2312" w:eastAsia="仿宋_GB2312" w:cs="仿宋_GB2312"/>
          <w:b/>
          <w:bCs/>
          <w:color w:val="auto"/>
          <w:sz w:val="32"/>
          <w:szCs w:val="32"/>
          <w:highlight w:val="none"/>
          <w:lang w:val="en-US" w:eastAsia="zh-CN"/>
        </w:rPr>
        <w:t>城区</w:t>
      </w:r>
      <w:r>
        <w:rPr>
          <w:rFonts w:hint="default" w:ascii="仿宋_GB2312" w:hAnsi="仿宋_GB2312" w:eastAsia="仿宋_GB2312" w:cs="仿宋_GB2312"/>
          <w:b/>
          <w:bCs/>
          <w:color w:val="auto"/>
          <w:sz w:val="32"/>
          <w:szCs w:val="32"/>
          <w:highlight w:val="none"/>
          <w:lang w:val="en-US" w:eastAsia="zh-CN"/>
        </w:rPr>
        <w:t>建设</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推进</w:t>
      </w:r>
      <w:r>
        <w:rPr>
          <w:rFonts w:hint="default" w:ascii="仿宋_GB2312" w:hAnsi="仿宋_GB2312" w:eastAsia="仿宋_GB2312" w:cs="仿宋_GB2312"/>
          <w:color w:val="auto"/>
          <w:sz w:val="32"/>
          <w:szCs w:val="32"/>
          <w:highlight w:val="none"/>
          <w:lang w:val="en-US" w:eastAsia="zh-CN"/>
        </w:rPr>
        <w:t>市政设施智能监测、应急事件</w:t>
      </w:r>
      <w:r>
        <w:rPr>
          <w:rFonts w:hint="eastAsia" w:ascii="仿宋_GB2312" w:hAnsi="仿宋_GB2312" w:eastAsia="仿宋_GB2312" w:cs="仿宋_GB2312"/>
          <w:color w:val="auto"/>
          <w:sz w:val="32"/>
          <w:szCs w:val="32"/>
          <w:highlight w:val="none"/>
          <w:lang w:val="en-US" w:eastAsia="zh-CN"/>
        </w:rPr>
        <w:t>快速</w:t>
      </w:r>
      <w:r>
        <w:rPr>
          <w:rFonts w:hint="default" w:ascii="仿宋_GB2312" w:hAnsi="仿宋_GB2312" w:eastAsia="仿宋_GB2312" w:cs="仿宋_GB2312"/>
          <w:color w:val="auto"/>
          <w:sz w:val="32"/>
          <w:szCs w:val="32"/>
          <w:highlight w:val="none"/>
          <w:lang w:val="en-US" w:eastAsia="zh-CN"/>
        </w:rPr>
        <w:t>响应，</w:t>
      </w:r>
      <w:r>
        <w:rPr>
          <w:rFonts w:hint="eastAsia" w:ascii="仿宋_GB2312" w:hAnsi="仿宋_GB2312" w:eastAsia="仿宋_GB2312" w:cs="仿宋_GB2312"/>
          <w:color w:val="auto"/>
          <w:sz w:val="32"/>
          <w:szCs w:val="32"/>
          <w:highlight w:val="none"/>
          <w:lang w:val="en-US" w:eastAsia="zh-CN"/>
        </w:rPr>
        <w:t>实现</w:t>
      </w:r>
      <w:r>
        <w:rPr>
          <w:rFonts w:hint="default" w:ascii="仿宋_GB2312" w:hAnsi="仿宋_GB2312" w:eastAsia="仿宋_GB2312" w:cs="仿宋_GB2312"/>
          <w:color w:val="auto"/>
          <w:sz w:val="32"/>
          <w:szCs w:val="32"/>
          <w:highlight w:val="none"/>
          <w:lang w:val="en-US" w:eastAsia="zh-CN"/>
        </w:rPr>
        <w:t>智慧安防社区全覆盖，</w:t>
      </w:r>
      <w:r>
        <w:rPr>
          <w:rFonts w:hint="eastAsia" w:ascii="仿宋_GB2312" w:hAnsi="仿宋_GB2312" w:eastAsia="仿宋_GB2312" w:cs="仿宋_GB2312"/>
          <w:color w:val="auto"/>
          <w:sz w:val="32"/>
          <w:szCs w:val="32"/>
          <w:highlight w:val="none"/>
          <w:lang w:val="en-US" w:eastAsia="zh-CN"/>
        </w:rPr>
        <w:t>全面提升城市安全韧性与治理效能，</w:t>
      </w:r>
      <w:r>
        <w:rPr>
          <w:rFonts w:hint="default" w:ascii="仿宋_GB2312" w:hAnsi="仿宋_GB2312" w:eastAsia="仿宋_GB2312" w:cs="仿宋_GB2312"/>
          <w:color w:val="auto"/>
          <w:sz w:val="32"/>
          <w:szCs w:val="32"/>
          <w:highlight w:val="none"/>
          <w:lang w:val="en-US" w:eastAsia="zh-CN"/>
        </w:rPr>
        <w:t>推动城市全域数字化转型、公共服务智慧化升级</w:t>
      </w:r>
      <w:r>
        <w:rPr>
          <w:rFonts w:hint="eastAsia" w:ascii="仿宋_GB2312" w:hAnsi="仿宋_GB2312" w:eastAsia="仿宋_GB2312" w:cs="仿宋_GB2312"/>
          <w:color w:val="auto"/>
          <w:sz w:val="32"/>
          <w:szCs w:val="32"/>
          <w:highlight w:val="none"/>
          <w:lang w:val="en-US" w:eastAsia="zh-CN"/>
        </w:rPr>
        <w:t>。</w:t>
      </w:r>
    </w:p>
    <w:p w14:paraId="52A45E0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（四）防范化解城市运行风险</w:t>
      </w:r>
    </w:p>
    <w:p w14:paraId="583692C3">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left"/>
        <w:textAlignment w:val="auto"/>
        <w:outlineLvl w:val="9"/>
        <w:rPr>
          <w:rFonts w:hint="eastAsia" w:ascii="黑体" w:hAnsi="黑体" w:eastAsia="黑体" w:cs="黑体"/>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深化城市运行风险排查化解。</w:t>
      </w:r>
      <w:r>
        <w:rPr>
          <w:rFonts w:hint="eastAsia" w:ascii="仿宋_GB2312" w:hAnsi="仿宋_GB2312" w:eastAsia="仿宋_GB2312" w:cs="仿宋_GB2312"/>
          <w:b w:val="0"/>
          <w:bCs w:val="0"/>
          <w:color w:val="auto"/>
          <w:sz w:val="32"/>
          <w:szCs w:val="32"/>
          <w:highlight w:val="none"/>
          <w:lang w:val="en-US" w:eastAsia="zh-CN"/>
        </w:rPr>
        <w:t>健全</w:t>
      </w:r>
      <w:r>
        <w:rPr>
          <w:rFonts w:hint="eastAsia" w:ascii="仿宋_GB2312" w:hAnsi="仿宋_GB2312" w:eastAsia="仿宋_GB2312" w:cs="仿宋_GB2312"/>
          <w:b w:val="0"/>
          <w:bCs w:val="0"/>
          <w:color w:val="auto"/>
          <w:sz w:val="32"/>
          <w:szCs w:val="32"/>
          <w:highlight w:val="none"/>
          <w:lang w:eastAsia="zh-CN"/>
        </w:rPr>
        <w:t>社会领域风险排查、预警、处置机制，加强房地产、劳资纠纷、新兴业态等重点领域风险监测</w:t>
      </w:r>
      <w:r>
        <w:rPr>
          <w:rFonts w:hint="eastAsia" w:ascii="仿宋_GB2312" w:hAnsi="仿宋_GB2312" w:eastAsia="仿宋_GB2312" w:cs="仿宋_GB2312"/>
          <w:b w:val="0"/>
          <w:bCs w:val="0"/>
          <w:color w:val="auto"/>
          <w:sz w:val="32"/>
          <w:szCs w:val="32"/>
          <w:highlight w:val="none"/>
          <w:lang w:val="en-US" w:eastAsia="zh-CN"/>
        </w:rPr>
        <w:t>研判</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深化</w:t>
      </w:r>
      <w:r>
        <w:rPr>
          <w:rFonts w:hint="eastAsia" w:ascii="仿宋_GB2312" w:hAnsi="仿宋_GB2312" w:eastAsia="仿宋_GB2312" w:cs="仿宋_GB2312"/>
          <w:b w:val="0"/>
          <w:bCs w:val="0"/>
          <w:color w:val="auto"/>
          <w:sz w:val="32"/>
          <w:szCs w:val="32"/>
          <w:highlight w:val="none"/>
          <w:lang w:eastAsia="zh-CN"/>
        </w:rPr>
        <w:t>矛盾纠纷预防化解，实现小事不出网格、大事不出社区、难事不出街道。</w:t>
      </w:r>
      <w:r>
        <w:rPr>
          <w:rFonts w:hint="eastAsia" w:ascii="仿宋_GB2312" w:hAnsi="仿宋_GB2312" w:eastAsia="仿宋_GB2312" w:cs="仿宋_GB2312"/>
          <w:b/>
          <w:bCs/>
          <w:color w:val="auto"/>
          <w:sz w:val="32"/>
          <w:szCs w:val="32"/>
          <w:highlight w:val="none"/>
          <w:lang w:eastAsia="zh-CN"/>
        </w:rPr>
        <w:t>守牢经济金融安全底线。</w:t>
      </w:r>
      <w:r>
        <w:rPr>
          <w:rFonts w:hint="eastAsia" w:ascii="仿宋_GB2312" w:hAnsi="仿宋_GB2312" w:eastAsia="仿宋_GB2312" w:cs="仿宋_GB2312"/>
          <w:color w:val="auto"/>
          <w:sz w:val="32"/>
          <w:szCs w:val="32"/>
          <w:highlight w:val="none"/>
          <w:lang w:val="en-US" w:eastAsia="zh-CN"/>
        </w:rPr>
        <w:t>健全</w:t>
      </w:r>
      <w:r>
        <w:rPr>
          <w:rFonts w:hint="eastAsia" w:ascii="仿宋_GB2312" w:hAnsi="仿宋_GB2312" w:eastAsia="仿宋_GB2312" w:cs="仿宋_GB2312"/>
          <w:color w:val="auto"/>
          <w:sz w:val="32"/>
          <w:szCs w:val="32"/>
          <w:highlight w:val="none"/>
          <w:lang w:eastAsia="zh-CN"/>
        </w:rPr>
        <w:t>非法集资智能监测平台，开展虚拟货币交易等专项整治，完善企业债务风险</w:t>
      </w:r>
      <w:r>
        <w:rPr>
          <w:rFonts w:hint="eastAsia" w:ascii="仿宋_GB2312" w:hAnsi="仿宋_GB2312" w:eastAsia="仿宋_GB2312" w:cs="仿宋_GB2312"/>
          <w:color w:val="auto"/>
          <w:sz w:val="32"/>
          <w:szCs w:val="32"/>
          <w:highlight w:val="none"/>
          <w:lang w:val="en-US" w:eastAsia="zh-CN"/>
        </w:rPr>
        <w:t>闭环</w:t>
      </w:r>
      <w:r>
        <w:rPr>
          <w:rFonts w:hint="eastAsia" w:ascii="仿宋_GB2312" w:hAnsi="仿宋_GB2312" w:eastAsia="仿宋_GB2312" w:cs="仿宋_GB2312"/>
          <w:color w:val="auto"/>
          <w:sz w:val="32"/>
          <w:szCs w:val="32"/>
          <w:highlight w:val="none"/>
          <w:lang w:eastAsia="zh-CN"/>
        </w:rPr>
        <w:t>处置机制，严控规模性失业风险。</w:t>
      </w:r>
      <w:r>
        <w:rPr>
          <w:rFonts w:hint="eastAsia" w:ascii="仿宋_GB2312" w:hAnsi="仿宋_GB2312" w:eastAsia="仿宋_GB2312" w:cs="仿宋_GB2312"/>
          <w:b/>
          <w:bCs/>
          <w:color w:val="auto"/>
          <w:sz w:val="32"/>
          <w:szCs w:val="32"/>
          <w:highlight w:val="none"/>
          <w:lang w:val="en-US" w:eastAsia="zh-CN"/>
        </w:rPr>
        <w:t>强化新技术新应用风险防控。</w:t>
      </w:r>
      <w:r>
        <w:rPr>
          <w:rFonts w:hint="eastAsia" w:ascii="仿宋_GB2312" w:hAnsi="仿宋_GB2312" w:eastAsia="仿宋_GB2312" w:cs="仿宋_GB2312"/>
          <w:color w:val="auto"/>
          <w:sz w:val="32"/>
          <w:szCs w:val="32"/>
          <w:highlight w:val="none"/>
          <w:lang w:val="en-US" w:eastAsia="zh-CN"/>
        </w:rPr>
        <w:t>完善数据安全管理，保障个人信息安全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积极防范人工智能应用风险，推动合规可控发展。健全生物安全应急预案，提升新兴领域风险防范处置能力，筑牢城市安全稳定屏障。</w:t>
      </w:r>
    </w:p>
    <w:p w14:paraId="37FE24D2">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outlineLvl w:val="0"/>
        <w:rPr>
          <w:rFonts w:hint="eastAsia" w:ascii="方正小标宋简体" w:hAnsi="方正小标宋简体" w:eastAsia="方正小标宋简体" w:cs="方正小标宋简体"/>
          <w:b w:val="0"/>
          <w:bCs w:val="0"/>
          <w:color w:val="auto"/>
          <w:sz w:val="44"/>
          <w:szCs w:val="44"/>
          <w:highlight w:val="none"/>
          <w:lang w:val="en-US" w:eastAsia="zh-CN"/>
        </w:rPr>
      </w:pPr>
      <w:bookmarkStart w:id="27" w:name="_Toc1495379068"/>
    </w:p>
    <w:p w14:paraId="40EBC28D">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outlineLvl w:val="0"/>
        <w:rPr>
          <w:rFonts w:hint="eastAsia" w:ascii="方正小标宋简体" w:hAnsi="方正小标宋简体" w:eastAsia="方正小标宋简体" w:cs="方正小标宋简体"/>
          <w:b w:val="0"/>
          <w:bCs w:val="0"/>
          <w:color w:val="auto"/>
          <w:sz w:val="44"/>
          <w:szCs w:val="44"/>
          <w:highlight w:val="none"/>
          <w:lang w:val="en-US" w:eastAsia="zh-CN"/>
        </w:rPr>
      </w:pPr>
      <w:r>
        <w:rPr>
          <w:rFonts w:hint="eastAsia" w:ascii="方正小标宋简体" w:hAnsi="方正小标宋简体" w:eastAsia="方正小标宋简体" w:cs="方正小标宋简体"/>
          <w:b w:val="0"/>
          <w:bCs w:val="0"/>
          <w:color w:val="auto"/>
          <w:sz w:val="44"/>
          <w:szCs w:val="44"/>
          <w:highlight w:val="none"/>
          <w:lang w:val="en-US" w:eastAsia="zh-CN"/>
        </w:rPr>
        <w:t>第五部分 保障措施</w:t>
      </w:r>
      <w:bookmarkEnd w:id="27"/>
    </w:p>
    <w:p w14:paraId="57537F7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1"/>
        <w:rPr>
          <w:rFonts w:hint="eastAsia" w:ascii="黑体" w:hAnsi="黑体" w:eastAsia="黑体" w:cs="黑体"/>
          <w:b w:val="0"/>
          <w:bCs w:val="0"/>
          <w:color w:val="auto"/>
          <w:sz w:val="32"/>
          <w:szCs w:val="32"/>
          <w:highlight w:val="none"/>
          <w:lang w:val="en-US" w:eastAsia="zh-CN"/>
        </w:rPr>
      </w:pPr>
      <w:bookmarkStart w:id="28" w:name="_Toc725455594"/>
      <w:bookmarkStart w:id="29" w:name="_Toc19597"/>
      <w:r>
        <w:rPr>
          <w:rFonts w:hint="eastAsia" w:ascii="黑体" w:hAnsi="黑体" w:eastAsia="黑体" w:cs="黑体"/>
          <w:b w:val="0"/>
          <w:bCs w:val="0"/>
          <w:color w:val="auto"/>
          <w:sz w:val="32"/>
          <w:szCs w:val="32"/>
          <w:highlight w:val="none"/>
          <w:lang w:val="en-US" w:eastAsia="zh-CN"/>
        </w:rPr>
        <w:t>一、强化组织协调，凝聚工作合力</w:t>
      </w:r>
      <w:bookmarkEnd w:id="28"/>
      <w:bookmarkEnd w:id="29"/>
    </w:p>
    <w:p w14:paraId="0477E58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color w:val="auto"/>
          <w:sz w:val="32"/>
          <w:szCs w:val="32"/>
          <w:highlight w:val="none"/>
          <w:lang w:val="en-US" w:eastAsia="zh-CN"/>
        </w:rPr>
        <w:t>坚持和加强党对社会工作的全面领导，充分发挥党委总揽全局、协调各方的领导核心作用，增强基层党组织的政治功能和组织功能，整合各方资源，激发工作活力。组织和动员广大职工、青年等群体积极参与社会建设。</w:t>
      </w:r>
      <w:r>
        <w:rPr>
          <w:rFonts w:hint="eastAsia" w:ascii="仿宋_GB2312" w:hAnsi="仿宋_GB2312" w:eastAsia="仿宋_GB2312" w:cs="仿宋_GB2312"/>
          <w:b w:val="0"/>
          <w:bCs w:val="0"/>
          <w:color w:val="auto"/>
          <w:sz w:val="32"/>
          <w:szCs w:val="32"/>
          <w:highlight w:val="none"/>
        </w:rPr>
        <w:t>明确责任分工，将规划目标任务分解，确保规划落地见效。</w:t>
      </w:r>
    </w:p>
    <w:p w14:paraId="004B268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1"/>
        <w:rPr>
          <w:rFonts w:hint="eastAsia" w:ascii="黑体" w:hAnsi="黑体" w:eastAsia="黑体" w:cs="黑体"/>
          <w:b w:val="0"/>
          <w:bCs w:val="0"/>
          <w:color w:val="auto"/>
          <w:sz w:val="32"/>
          <w:szCs w:val="32"/>
          <w:highlight w:val="none"/>
          <w:lang w:val="en-US" w:eastAsia="zh-CN"/>
        </w:rPr>
      </w:pPr>
      <w:bookmarkStart w:id="30" w:name="_Toc22210"/>
      <w:bookmarkStart w:id="31" w:name="_Toc734146573"/>
      <w:r>
        <w:rPr>
          <w:rFonts w:hint="eastAsia" w:ascii="黑体" w:hAnsi="黑体" w:eastAsia="黑体" w:cs="黑体"/>
          <w:b w:val="0"/>
          <w:bCs w:val="0"/>
          <w:color w:val="auto"/>
          <w:sz w:val="32"/>
          <w:szCs w:val="32"/>
          <w:highlight w:val="none"/>
          <w:lang w:val="en-US" w:eastAsia="zh-CN"/>
        </w:rPr>
        <w:t>二、夯实要素保障，筑牢发展根基</w:t>
      </w:r>
      <w:bookmarkEnd w:id="30"/>
      <w:bookmarkEnd w:id="31"/>
    </w:p>
    <w:p w14:paraId="4B8FFD5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建立稳定的社会建设规划资金财政保障机制，理顺事权关系，加快构建权责清晰、财力协调、区域均衡的社会建设财政支撑体制，提高财政资金使用效益。加强专家智库建设，集聚社会工作领域专业人才，为政策制定、项目实施等提供智力支持，提升工作的科学化、专业化水平。</w:t>
      </w:r>
    </w:p>
    <w:p w14:paraId="44B4E42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1"/>
        <w:rPr>
          <w:rFonts w:hint="eastAsia" w:ascii="黑体" w:hAnsi="黑体" w:eastAsia="黑体" w:cs="黑体"/>
          <w:b w:val="0"/>
          <w:bCs w:val="0"/>
          <w:color w:val="auto"/>
          <w:sz w:val="32"/>
          <w:szCs w:val="32"/>
          <w:highlight w:val="none"/>
          <w:lang w:val="en-US" w:eastAsia="zh-CN"/>
        </w:rPr>
      </w:pPr>
      <w:bookmarkStart w:id="32" w:name="_Toc1327728408"/>
      <w:bookmarkStart w:id="33" w:name="_Toc20740"/>
      <w:r>
        <w:rPr>
          <w:rFonts w:hint="eastAsia" w:ascii="黑体" w:hAnsi="黑体" w:eastAsia="黑体" w:cs="黑体"/>
          <w:b w:val="0"/>
          <w:bCs w:val="0"/>
          <w:color w:val="auto"/>
          <w:sz w:val="32"/>
          <w:szCs w:val="32"/>
          <w:highlight w:val="none"/>
          <w:lang w:val="en-US" w:eastAsia="zh-CN"/>
        </w:rPr>
        <w:t>三、注重舆论引导，营造良好氛围</w:t>
      </w:r>
      <w:bookmarkEnd w:id="32"/>
      <w:bookmarkEnd w:id="33"/>
    </w:p>
    <w:p w14:paraId="7685E0B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加大宣传力度，充分利用各类媒体平台，广泛宣传社会建设的理念、方法和成效，提高人民群众对社会建设的认知度和认同感。组织开展多样化的宣传活动，深入社区、学校、企业等基层一线，普及社会知识，展示社会工作者风采，营造全社会关心、支持、参与社会建设的良好氛围。</w:t>
      </w:r>
    </w:p>
    <w:p w14:paraId="1BAC7A1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1"/>
        <w:rPr>
          <w:rFonts w:hint="eastAsia" w:ascii="黑体" w:hAnsi="黑体" w:eastAsia="黑体" w:cs="黑体"/>
          <w:b w:val="0"/>
          <w:bCs w:val="0"/>
          <w:color w:val="auto"/>
          <w:sz w:val="32"/>
          <w:szCs w:val="32"/>
          <w:highlight w:val="none"/>
          <w:lang w:val="en-US" w:eastAsia="zh-CN"/>
        </w:rPr>
      </w:pPr>
      <w:bookmarkStart w:id="34" w:name="_Toc2054431476"/>
      <w:bookmarkStart w:id="35" w:name="_Toc21452"/>
      <w:r>
        <w:rPr>
          <w:rFonts w:hint="eastAsia" w:ascii="黑体" w:hAnsi="黑体" w:eastAsia="黑体" w:cs="黑体"/>
          <w:b w:val="0"/>
          <w:bCs w:val="0"/>
          <w:color w:val="auto"/>
          <w:sz w:val="32"/>
          <w:szCs w:val="32"/>
          <w:highlight w:val="none"/>
          <w:lang w:val="en-US" w:eastAsia="zh-CN"/>
        </w:rPr>
        <w:t>四、完善监督评估，确保规划落地</w:t>
      </w:r>
      <w:bookmarkEnd w:id="34"/>
      <w:bookmarkEnd w:id="35"/>
    </w:p>
    <w:p w14:paraId="7BC2527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结合区域特点和发展实际，构建科学合理的评价体系。建立健全规划实施的监督评估机制，定期对规划执行情况进行跟踪分析和监督检查，及时发现和解决规划实施过程中出现的问题，确保石景山区“十五五”时期社会建设规划各项目标任务如期完成，推动社会建设高质量发展。</w:t>
      </w:r>
    </w:p>
    <w:sectPr>
      <w:footerReference r:id="rId3" w:type="default"/>
      <w:pgSz w:w="11906" w:h="16838"/>
      <w:pgMar w:top="2098" w:right="1474" w:bottom="1587" w:left="198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公文小标宋">
    <w:altName w:val="宋体"/>
    <w:panose1 w:val="02000500000000000000"/>
    <w:charset w:val="86"/>
    <w:family w:val="auto"/>
    <w:pitch w:val="default"/>
    <w:sig w:usb0="00000000" w:usb1="00000000" w:usb2="00000016" w:usb3="00000000" w:csb0="00040001" w:csb1="00000000"/>
  </w:font>
  <w:font w:name="Noto Sans CJK JP Bold">
    <w:panose1 w:val="020B0800000000000000"/>
    <w:charset w:val="86"/>
    <w:family w:val="auto"/>
    <w:pitch w:val="default"/>
    <w:sig w:usb0="30000003" w:usb1="2BDF3C10" w:usb2="00000016" w:usb3="00000000" w:csb0="602E0107" w:csb1="00000000"/>
  </w:font>
  <w:font w:name="国标宋体-超大字符集扩">
    <w:panose1 w:val="000005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50462">
    <w:pPr>
      <w:pStyle w:val="7"/>
      <w:jc w:val="center"/>
      <w:rPr>
        <w:rFonts w:hint="eastAsia" w:ascii="宋体" w:hAnsi="宋体" w:eastAsia="宋体" w:cs="宋体"/>
        <w:sz w:val="28"/>
        <w:szCs w:val="44"/>
        <w:lang w:eastAsia="zh-CN"/>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9E92F2">
                          <w:pPr>
                            <w:pStyle w:val="7"/>
                            <w:jc w:val="cente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39E92F2">
                    <w:pPr>
                      <w:pStyle w:val="7"/>
                      <w:jc w:val="cente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F5500"/>
    <w:rsid w:val="00F83472"/>
    <w:rsid w:val="01EE19B6"/>
    <w:rsid w:val="022B3295"/>
    <w:rsid w:val="0356298E"/>
    <w:rsid w:val="048212C4"/>
    <w:rsid w:val="05107E95"/>
    <w:rsid w:val="051D7B7B"/>
    <w:rsid w:val="05321120"/>
    <w:rsid w:val="0559183C"/>
    <w:rsid w:val="065F65D7"/>
    <w:rsid w:val="06F2019A"/>
    <w:rsid w:val="07451240"/>
    <w:rsid w:val="078D7EC3"/>
    <w:rsid w:val="07F63E15"/>
    <w:rsid w:val="095813E4"/>
    <w:rsid w:val="099A0675"/>
    <w:rsid w:val="09AF4121"/>
    <w:rsid w:val="0A1B3564"/>
    <w:rsid w:val="0A965A23"/>
    <w:rsid w:val="0AFF2E86"/>
    <w:rsid w:val="0BE05078"/>
    <w:rsid w:val="0C1002D8"/>
    <w:rsid w:val="0C1E733C"/>
    <w:rsid w:val="0CFE4883"/>
    <w:rsid w:val="0D38267F"/>
    <w:rsid w:val="0D3A1F53"/>
    <w:rsid w:val="0D847313"/>
    <w:rsid w:val="0DBA1BB1"/>
    <w:rsid w:val="0DF50570"/>
    <w:rsid w:val="0E0D58BA"/>
    <w:rsid w:val="0E3F1A20"/>
    <w:rsid w:val="0E7D2A40"/>
    <w:rsid w:val="0EB74D33"/>
    <w:rsid w:val="0F035845"/>
    <w:rsid w:val="103435D2"/>
    <w:rsid w:val="105B3BBF"/>
    <w:rsid w:val="10A2678D"/>
    <w:rsid w:val="10E8616A"/>
    <w:rsid w:val="11B30526"/>
    <w:rsid w:val="11F12DFD"/>
    <w:rsid w:val="12B57253"/>
    <w:rsid w:val="12C624DB"/>
    <w:rsid w:val="13661A6E"/>
    <w:rsid w:val="13737F6D"/>
    <w:rsid w:val="13EF69D2"/>
    <w:rsid w:val="140B464A"/>
    <w:rsid w:val="14123C2A"/>
    <w:rsid w:val="146D0E60"/>
    <w:rsid w:val="14A40F8F"/>
    <w:rsid w:val="14B545B5"/>
    <w:rsid w:val="15063063"/>
    <w:rsid w:val="157035C4"/>
    <w:rsid w:val="16E327A5"/>
    <w:rsid w:val="172A4DE7"/>
    <w:rsid w:val="17894583"/>
    <w:rsid w:val="17CD1C16"/>
    <w:rsid w:val="17DD9F34"/>
    <w:rsid w:val="17FF5DB5"/>
    <w:rsid w:val="18DA0FE8"/>
    <w:rsid w:val="193A152D"/>
    <w:rsid w:val="19E33D5B"/>
    <w:rsid w:val="1A746473"/>
    <w:rsid w:val="1AA50C28"/>
    <w:rsid w:val="1ADC2AAA"/>
    <w:rsid w:val="1B9B4505"/>
    <w:rsid w:val="1BB60F3D"/>
    <w:rsid w:val="1BCF2401"/>
    <w:rsid w:val="1C191539"/>
    <w:rsid w:val="1D232A04"/>
    <w:rsid w:val="1D3F68CA"/>
    <w:rsid w:val="1D5A219E"/>
    <w:rsid w:val="1D7414B2"/>
    <w:rsid w:val="1E0839A8"/>
    <w:rsid w:val="1E3E386E"/>
    <w:rsid w:val="1E9B28AF"/>
    <w:rsid w:val="1F3E991C"/>
    <w:rsid w:val="20B61DE1"/>
    <w:rsid w:val="20E24984"/>
    <w:rsid w:val="21026DD4"/>
    <w:rsid w:val="211A411E"/>
    <w:rsid w:val="2191432E"/>
    <w:rsid w:val="21BC3427"/>
    <w:rsid w:val="21E309B4"/>
    <w:rsid w:val="21FC3E2F"/>
    <w:rsid w:val="224C4FF7"/>
    <w:rsid w:val="22E03145"/>
    <w:rsid w:val="230E665F"/>
    <w:rsid w:val="234B6811"/>
    <w:rsid w:val="23846A30"/>
    <w:rsid w:val="23887A65"/>
    <w:rsid w:val="23897339"/>
    <w:rsid w:val="23946991"/>
    <w:rsid w:val="24F8758B"/>
    <w:rsid w:val="25076E4C"/>
    <w:rsid w:val="255A1523"/>
    <w:rsid w:val="255C0620"/>
    <w:rsid w:val="25B706A6"/>
    <w:rsid w:val="26B50445"/>
    <w:rsid w:val="273E668C"/>
    <w:rsid w:val="283B0DA8"/>
    <w:rsid w:val="29361D11"/>
    <w:rsid w:val="29684863"/>
    <w:rsid w:val="299D769A"/>
    <w:rsid w:val="29FD638B"/>
    <w:rsid w:val="2A1262DA"/>
    <w:rsid w:val="2ADC41F2"/>
    <w:rsid w:val="2AED63FF"/>
    <w:rsid w:val="2AF43C32"/>
    <w:rsid w:val="2C093F05"/>
    <w:rsid w:val="2C2C2444"/>
    <w:rsid w:val="2C701096"/>
    <w:rsid w:val="2C8763E0"/>
    <w:rsid w:val="2CBE77B7"/>
    <w:rsid w:val="2D407709"/>
    <w:rsid w:val="2DA059AB"/>
    <w:rsid w:val="2DFE430E"/>
    <w:rsid w:val="2DFFE1FE"/>
    <w:rsid w:val="2E2B3FD5"/>
    <w:rsid w:val="2F57478F"/>
    <w:rsid w:val="2FF72875"/>
    <w:rsid w:val="30DA5678"/>
    <w:rsid w:val="314A7761"/>
    <w:rsid w:val="31750EFD"/>
    <w:rsid w:val="31774C75"/>
    <w:rsid w:val="32AB72CC"/>
    <w:rsid w:val="32C71C2C"/>
    <w:rsid w:val="34072A01"/>
    <w:rsid w:val="348E47AF"/>
    <w:rsid w:val="34E003CD"/>
    <w:rsid w:val="35F206FD"/>
    <w:rsid w:val="36121410"/>
    <w:rsid w:val="37623CD1"/>
    <w:rsid w:val="3764396F"/>
    <w:rsid w:val="37F72BA4"/>
    <w:rsid w:val="37F96285"/>
    <w:rsid w:val="38C67525"/>
    <w:rsid w:val="394A774E"/>
    <w:rsid w:val="39825EE7"/>
    <w:rsid w:val="39EB26A4"/>
    <w:rsid w:val="3A1C829D"/>
    <w:rsid w:val="3A577D39"/>
    <w:rsid w:val="3B181276"/>
    <w:rsid w:val="3B64270E"/>
    <w:rsid w:val="3BA64AD4"/>
    <w:rsid w:val="3BBF2EE0"/>
    <w:rsid w:val="3BD31399"/>
    <w:rsid w:val="3BDA5A5F"/>
    <w:rsid w:val="3BE86656"/>
    <w:rsid w:val="3BFFF733"/>
    <w:rsid w:val="3C0B6506"/>
    <w:rsid w:val="3D6C3AFB"/>
    <w:rsid w:val="3D8349C4"/>
    <w:rsid w:val="3DE511B8"/>
    <w:rsid w:val="3E083824"/>
    <w:rsid w:val="3E9C5D1B"/>
    <w:rsid w:val="3F5B7984"/>
    <w:rsid w:val="3FC75446"/>
    <w:rsid w:val="3FD55665"/>
    <w:rsid w:val="3FFFDBAD"/>
    <w:rsid w:val="41540B2E"/>
    <w:rsid w:val="417411D1"/>
    <w:rsid w:val="41E12FD0"/>
    <w:rsid w:val="421F113C"/>
    <w:rsid w:val="42B75819"/>
    <w:rsid w:val="42E3660E"/>
    <w:rsid w:val="434C6557"/>
    <w:rsid w:val="43B92ECB"/>
    <w:rsid w:val="43D61CCF"/>
    <w:rsid w:val="43F3462F"/>
    <w:rsid w:val="447D039C"/>
    <w:rsid w:val="44CA3909"/>
    <w:rsid w:val="4541586E"/>
    <w:rsid w:val="45F873AB"/>
    <w:rsid w:val="462D194E"/>
    <w:rsid w:val="471054F8"/>
    <w:rsid w:val="47AE4B81"/>
    <w:rsid w:val="48217291"/>
    <w:rsid w:val="48B63E7D"/>
    <w:rsid w:val="4953791E"/>
    <w:rsid w:val="49EE4781"/>
    <w:rsid w:val="4A58168F"/>
    <w:rsid w:val="4B4E4840"/>
    <w:rsid w:val="4BB96734"/>
    <w:rsid w:val="4BE062C5"/>
    <w:rsid w:val="4C9D6BAE"/>
    <w:rsid w:val="4CCC3C6F"/>
    <w:rsid w:val="4D452868"/>
    <w:rsid w:val="4E1A4EAE"/>
    <w:rsid w:val="4E1A6C5C"/>
    <w:rsid w:val="4E4A12EF"/>
    <w:rsid w:val="4E9072C5"/>
    <w:rsid w:val="4EDE5A43"/>
    <w:rsid w:val="4F2E6E63"/>
    <w:rsid w:val="4F846F62"/>
    <w:rsid w:val="4FBC621D"/>
    <w:rsid w:val="4FC92BE5"/>
    <w:rsid w:val="4FDF015D"/>
    <w:rsid w:val="4FE74845"/>
    <w:rsid w:val="4FF0236A"/>
    <w:rsid w:val="51E11F6A"/>
    <w:rsid w:val="528F5E6A"/>
    <w:rsid w:val="52A511EA"/>
    <w:rsid w:val="52D675F5"/>
    <w:rsid w:val="53B51901"/>
    <w:rsid w:val="53E67D0C"/>
    <w:rsid w:val="54C40786"/>
    <w:rsid w:val="54D0296F"/>
    <w:rsid w:val="5559450E"/>
    <w:rsid w:val="55A559A5"/>
    <w:rsid w:val="570E7925"/>
    <w:rsid w:val="571B5F1F"/>
    <w:rsid w:val="57996E43"/>
    <w:rsid w:val="57B7B7BB"/>
    <w:rsid w:val="57F7B98B"/>
    <w:rsid w:val="587C29ED"/>
    <w:rsid w:val="58C3162E"/>
    <w:rsid w:val="59284923"/>
    <w:rsid w:val="59D81EA5"/>
    <w:rsid w:val="5AB31D61"/>
    <w:rsid w:val="5B2F01EA"/>
    <w:rsid w:val="5B5C08B4"/>
    <w:rsid w:val="5B796D57"/>
    <w:rsid w:val="5B9718EC"/>
    <w:rsid w:val="5B9E1759"/>
    <w:rsid w:val="5BBE331C"/>
    <w:rsid w:val="5BE61EB5"/>
    <w:rsid w:val="5C163158"/>
    <w:rsid w:val="5CEF2652"/>
    <w:rsid w:val="5D07484F"/>
    <w:rsid w:val="5D4A130C"/>
    <w:rsid w:val="5DA12EF6"/>
    <w:rsid w:val="5DB744C7"/>
    <w:rsid w:val="5DDF1ACC"/>
    <w:rsid w:val="5E6463FD"/>
    <w:rsid w:val="5E7A5C21"/>
    <w:rsid w:val="5EEB4968"/>
    <w:rsid w:val="5EFBF557"/>
    <w:rsid w:val="5F3B15DB"/>
    <w:rsid w:val="5F610B8F"/>
    <w:rsid w:val="5F6DD591"/>
    <w:rsid w:val="5FC1162D"/>
    <w:rsid w:val="5FD4310E"/>
    <w:rsid w:val="5FDFAF37"/>
    <w:rsid w:val="5FE22FDD"/>
    <w:rsid w:val="5FFF3E9A"/>
    <w:rsid w:val="60793CB6"/>
    <w:rsid w:val="60854F18"/>
    <w:rsid w:val="617A1A94"/>
    <w:rsid w:val="619D55B4"/>
    <w:rsid w:val="61CF4A23"/>
    <w:rsid w:val="61E82EA1"/>
    <w:rsid w:val="623954AB"/>
    <w:rsid w:val="62C27B96"/>
    <w:rsid w:val="62E21FE6"/>
    <w:rsid w:val="636C365E"/>
    <w:rsid w:val="64373C6C"/>
    <w:rsid w:val="647933E3"/>
    <w:rsid w:val="648C7D15"/>
    <w:rsid w:val="64C00105"/>
    <w:rsid w:val="64DB0996"/>
    <w:rsid w:val="655D7702"/>
    <w:rsid w:val="656FC54D"/>
    <w:rsid w:val="659770B8"/>
    <w:rsid w:val="659A2704"/>
    <w:rsid w:val="65AE4402"/>
    <w:rsid w:val="6727446C"/>
    <w:rsid w:val="678127DB"/>
    <w:rsid w:val="67C021CA"/>
    <w:rsid w:val="67F4D1D2"/>
    <w:rsid w:val="683D6A64"/>
    <w:rsid w:val="6865349E"/>
    <w:rsid w:val="6913623F"/>
    <w:rsid w:val="69222AC7"/>
    <w:rsid w:val="69D02B99"/>
    <w:rsid w:val="69F50851"/>
    <w:rsid w:val="6A1862EE"/>
    <w:rsid w:val="6A8F4802"/>
    <w:rsid w:val="6AB51D8E"/>
    <w:rsid w:val="6BB81B36"/>
    <w:rsid w:val="6BE95E45"/>
    <w:rsid w:val="6C726189"/>
    <w:rsid w:val="6D836174"/>
    <w:rsid w:val="6E1E55BC"/>
    <w:rsid w:val="6EBD1D86"/>
    <w:rsid w:val="6EDB48A4"/>
    <w:rsid w:val="6F0836AD"/>
    <w:rsid w:val="6F617C3E"/>
    <w:rsid w:val="6FA01808"/>
    <w:rsid w:val="6FADD6E4"/>
    <w:rsid w:val="6FBACEF5"/>
    <w:rsid w:val="6FBF49AE"/>
    <w:rsid w:val="6FC9104A"/>
    <w:rsid w:val="6FD34AE9"/>
    <w:rsid w:val="70E909E4"/>
    <w:rsid w:val="7137174F"/>
    <w:rsid w:val="71997D14"/>
    <w:rsid w:val="71BD41FE"/>
    <w:rsid w:val="71E73175"/>
    <w:rsid w:val="72074D8E"/>
    <w:rsid w:val="72563E57"/>
    <w:rsid w:val="727A7ECB"/>
    <w:rsid w:val="728564EA"/>
    <w:rsid w:val="734E2D80"/>
    <w:rsid w:val="73540906"/>
    <w:rsid w:val="73826BCB"/>
    <w:rsid w:val="73AD7AA7"/>
    <w:rsid w:val="73EF4563"/>
    <w:rsid w:val="75297601"/>
    <w:rsid w:val="752B15CB"/>
    <w:rsid w:val="75407DB9"/>
    <w:rsid w:val="75E654F2"/>
    <w:rsid w:val="7671125F"/>
    <w:rsid w:val="76F67485"/>
    <w:rsid w:val="771A5453"/>
    <w:rsid w:val="772C5186"/>
    <w:rsid w:val="779FAA50"/>
    <w:rsid w:val="77F24622"/>
    <w:rsid w:val="77FE7FA0"/>
    <w:rsid w:val="77FF8A37"/>
    <w:rsid w:val="78767001"/>
    <w:rsid w:val="78886D34"/>
    <w:rsid w:val="795310F0"/>
    <w:rsid w:val="79C43D9C"/>
    <w:rsid w:val="79DFD9BD"/>
    <w:rsid w:val="79EF460C"/>
    <w:rsid w:val="79F1ABAE"/>
    <w:rsid w:val="7A37631C"/>
    <w:rsid w:val="7A556362"/>
    <w:rsid w:val="7A6648DE"/>
    <w:rsid w:val="7A765096"/>
    <w:rsid w:val="7A807CC3"/>
    <w:rsid w:val="7AF6B16E"/>
    <w:rsid w:val="7B3FB8EB"/>
    <w:rsid w:val="7B5F5B2A"/>
    <w:rsid w:val="7B7A2964"/>
    <w:rsid w:val="7B8D65B7"/>
    <w:rsid w:val="7BB673E7"/>
    <w:rsid w:val="7BC1F8D9"/>
    <w:rsid w:val="7C224DAA"/>
    <w:rsid w:val="7C771AA9"/>
    <w:rsid w:val="7C817AED"/>
    <w:rsid w:val="7CFFF204"/>
    <w:rsid w:val="7D0D7808"/>
    <w:rsid w:val="7D692C90"/>
    <w:rsid w:val="7DFE25DA"/>
    <w:rsid w:val="7EBB83B2"/>
    <w:rsid w:val="7EFAFD01"/>
    <w:rsid w:val="7EFF4EAC"/>
    <w:rsid w:val="7F2738CD"/>
    <w:rsid w:val="7F7DFC8C"/>
    <w:rsid w:val="7FD3EAAD"/>
    <w:rsid w:val="7FF07699"/>
    <w:rsid w:val="976FAF57"/>
    <w:rsid w:val="9DF1B9AF"/>
    <w:rsid w:val="9ECE751C"/>
    <w:rsid w:val="9F14B98C"/>
    <w:rsid w:val="ACB9E9BC"/>
    <w:rsid w:val="AF6FA754"/>
    <w:rsid w:val="AFF9D5EC"/>
    <w:rsid w:val="AFFB2EC9"/>
    <w:rsid w:val="B02E4A3B"/>
    <w:rsid w:val="BBB9F78A"/>
    <w:rsid w:val="BD7F3B3B"/>
    <w:rsid w:val="BE39965B"/>
    <w:rsid w:val="BF3D17C5"/>
    <w:rsid w:val="BFC34064"/>
    <w:rsid w:val="BFEF61FB"/>
    <w:rsid w:val="BFFF6C71"/>
    <w:rsid w:val="C74F9ADB"/>
    <w:rsid w:val="CE3CD656"/>
    <w:rsid w:val="D33F61F3"/>
    <w:rsid w:val="D3F5CDED"/>
    <w:rsid w:val="D3FDCC0D"/>
    <w:rsid w:val="DCFFD7B8"/>
    <w:rsid w:val="DDBDFC7D"/>
    <w:rsid w:val="DEFF7ACB"/>
    <w:rsid w:val="E37BF168"/>
    <w:rsid w:val="EB76138D"/>
    <w:rsid w:val="EDEA141D"/>
    <w:rsid w:val="EDF25DCA"/>
    <w:rsid w:val="EDFFC85D"/>
    <w:rsid w:val="EFB17ABB"/>
    <w:rsid w:val="EFBBAC18"/>
    <w:rsid w:val="F3762B5C"/>
    <w:rsid w:val="F5B7BAC9"/>
    <w:rsid w:val="F7F7B9BB"/>
    <w:rsid w:val="F7FA4F0B"/>
    <w:rsid w:val="FBF32C0F"/>
    <w:rsid w:val="FBFED12B"/>
    <w:rsid w:val="FC6EE158"/>
    <w:rsid w:val="FD7FB8C4"/>
    <w:rsid w:val="FDDA4CBE"/>
    <w:rsid w:val="FEF7C073"/>
    <w:rsid w:val="FF2FB51A"/>
    <w:rsid w:val="FF6F867C"/>
    <w:rsid w:val="FFB39B5F"/>
    <w:rsid w:val="FFB7F28F"/>
    <w:rsid w:val="FFBD0C04"/>
    <w:rsid w:val="FFBD2E70"/>
    <w:rsid w:val="FFE62C58"/>
    <w:rsid w:val="FFEF4C01"/>
    <w:rsid w:val="FFFD3D2F"/>
    <w:rsid w:val="FFFF77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Plain Text"/>
    <w:basedOn w:val="1"/>
    <w:next w:val="1"/>
    <w:qFormat/>
    <w:uiPriority w:val="0"/>
    <w:pPr>
      <w:widowControl w:val="0"/>
      <w:jc w:val="both"/>
    </w:pPr>
    <w:rPr>
      <w:rFonts w:ascii="宋体" w:hAnsi="Courier New" w:eastAsiaTheme="minorEastAsia" w:cstheme="minorBidi"/>
      <w:kern w:val="2"/>
      <w:sz w:val="21"/>
      <w:szCs w:val="24"/>
      <w:lang w:val="en-US" w:eastAsia="zh-CN" w:bidi="ar-SA"/>
    </w:rPr>
  </w:style>
  <w:style w:type="paragraph" w:styleId="6">
    <w:name w:val="Body Text"/>
    <w:basedOn w:val="1"/>
    <w:next w:val="1"/>
    <w:qFormat/>
    <w:uiPriority w:val="0"/>
    <w:pPr>
      <w:adjustRightInd w:val="0"/>
      <w:snapToGrid w:val="0"/>
      <w:spacing w:line="580" w:lineRule="exact"/>
    </w:pPr>
    <w:rPr>
      <w:rFonts w:ascii="仿宋_GB2312" w:eastAsia="仿宋_GB2312"/>
      <w:sz w:val="32"/>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next w:val="1"/>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10">
    <w:name w:val="toc 2"/>
    <w:basedOn w:val="1"/>
    <w:next w:val="1"/>
    <w:qFormat/>
    <w:uiPriority w:val="0"/>
    <w:pPr>
      <w:ind w:left="420" w:leftChars="200"/>
    </w:p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table" w:customStyle="1" w:styleId="16">
    <w:name w:val="Table Normal"/>
    <w:semiHidden/>
    <w:unhideWhenUsed/>
    <w:qFormat/>
    <w:uiPriority w:val="0"/>
    <w:tblPr>
      <w:tblCellMar>
        <w:top w:w="0" w:type="dxa"/>
        <w:left w:w="0" w:type="dxa"/>
        <w:bottom w:w="0" w:type="dxa"/>
        <w:right w:w="0" w:type="dxa"/>
      </w:tblCellMar>
    </w:tblPr>
  </w:style>
  <w:style w:type="paragraph" w:customStyle="1" w:styleId="17">
    <w:name w:val="Table Text"/>
    <w:basedOn w:val="1"/>
    <w:semiHidden/>
    <w:qFormat/>
    <w:uiPriority w:val="0"/>
    <w:rPr>
      <w:rFonts w:ascii="宋体" w:hAnsi="宋体" w:eastAsia="宋体" w:cs="宋体"/>
      <w:sz w:val="18"/>
      <w:szCs w:val="18"/>
      <w:lang w:val="en-US" w:eastAsia="en-US" w:bidi="ar-SA"/>
    </w:rPr>
  </w:style>
  <w:style w:type="character" w:customStyle="1" w:styleId="18">
    <w:name w:val="font21"/>
    <w:basedOn w:val="14"/>
    <w:qFormat/>
    <w:uiPriority w:val="0"/>
    <w:rPr>
      <w:rFonts w:hint="eastAsia" w:ascii="仿宋_GB2312" w:eastAsia="仿宋_GB2312" w:cs="仿宋_GB2312"/>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10027</Words>
  <Characters>10120</Characters>
  <Lines>0</Lines>
  <Paragraphs>0</Paragraphs>
  <TotalTime>9</TotalTime>
  <ScaleCrop>false</ScaleCrop>
  <LinksUpToDate>false</LinksUpToDate>
  <CharactersWithSpaces>10206</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2025-09-15T12:01:00Z</dcterms:created>
  <dc:creator>86188</dc:creator>
  <cp:lastModifiedBy>huawei</cp:lastModifiedBy>
  <cp:lastPrinted>2026-05-15T07:29:00Z</cp:lastPrinted>
  <dcterms:modified xsi:type="dcterms:W3CDTF">2026-06-01T16:12:24Z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KSOTemplateDocerSaveRecord">
    <vt:lpwstr>eyJoZGlkIjoiNzkwMWVkMjRkODY1YTVjZGU4OWYyZTUyMTUzM2ZkOWUiLCJ1c2VySWQiOiIxNDA2MDkyOTI2In0=</vt:lpwstr>
  </property>
  <property fmtid="{D5CDD505-2E9C-101B-9397-08002B2CF9AE}" pid="4" name="ICV">
    <vt:lpwstr>10B80016B3F3C89B2BAF176A7C54804D_43</vt:lpwstr>
  </property>
</Properties>
</file>