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仿宋_GB2312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u w:val="none"/>
          <w:lang w:bidi="ar-SA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u w:val="none"/>
          <w:lang w:val="en-US" w:eastAsia="zh-CN" w:bidi="ar-SA"/>
        </w:rPr>
        <w:t>1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方正小标宋简体" w:hAnsi="Calibri" w:eastAsia="方正小标宋简体" w:cs="Times New Roman"/>
          <w:color w:val="000000"/>
          <w:sz w:val="44"/>
          <w:szCs w:val="44"/>
          <w:u w:val="none"/>
          <w:lang w:val="en-US" w:eastAsia="zh-CN" w:bidi="ar-SA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bidi="ar-SA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val="en-US" w:eastAsia="zh-CN" w:bidi="ar-SA"/>
        </w:rPr>
        <w:t>2026年北京市延庆区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bidi="ar-SA"/>
        </w:rPr>
        <w:t>耕地地力保护补贴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eastAsia="zh-CN" w:bidi="ar-SA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bidi="ar-SA"/>
        </w:rPr>
        <w:t>实施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u w:val="none"/>
          <w:lang w:eastAsia="zh-CN" w:bidi="ar-SA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  <w:lang w:eastAsia="zh-CN" w:bidi="ar-SA"/>
        </w:rPr>
        <w:t>（征求意见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  <w:lang w:val="en-US" w:eastAsia="zh-CN" w:bidi="ar-SA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根据《北京市农业农村局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 xml:space="preserve"> 关于印发&lt;2026年北京市耕地地力保护补贴实施方案&gt;的通知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》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(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京政农发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〔202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〕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22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号)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有关要求，切实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保护耕地、提升地力，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有力促进农业发展和农民增收，结合实际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制定本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bidi="ar-SA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eastAsia="zh-CN" w:bidi="ar-SA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贯彻落实党中央强农惠农政策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以保障国家粮食安全为总目标，以严守耕地保护红线为底线，以维护农民群众利益为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坚持公开、公平、公正原则，加强组织管理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规范发放程序，做到应补尽补，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充分调动广大农民群众保护耕地、提升地力的积极性和主动性，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保障粮食和重要农产品稳定安全供给。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bidi="ar-SA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  <w:t>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对象原则上为本区拥有耕地承包权的种地农民，具体包括以下情形：一是拥有耕地承包权的承包方自行耕种本户家庭承包耕地的，补贴对象为承包方；二是农村集体经济组织经营自有耕地的，补贴对象为农村集体经济组织；三是耕地通过土地流转、其他方式承包、土地托管、代耕代种等方式耕种的，依据合同（协议、证明）约定确定补贴对象；未约定的，补贴对象原则上为承包方或农村集体经济组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本区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国有农场经营国有耕地的，补贴对象为国有农场，向属地镇政府申报补贴。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bidi="ar-SA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  <w:t>补贴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bidi="ar-SA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2025年8月至2026年7月，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本区种植粮食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作物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、经济作物的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耕地（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参考最新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国土变更调查成果，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综合考虑实际种植情况确定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。对存在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情形的耕地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不予补贴：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" w:eastAsia="zh-CN"/>
        </w:rPr>
        <w:t>已批准转为建设用地未按规划实施或移交、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已作为畜牧养殖场使用、转为设施农业用地、非农业征（占）用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退耕还林、与果（林）间作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等改变用途或性质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）占补平衡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“补”的面积和质量达不到耕种条件的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故意毁坏种植的粮食作物青苗、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发生农产品质量安全事故、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露天焚烧秸秆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、未按规定及时回收农用薄膜、“非农化”、“非粮化”、撂荒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一年以上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等违法违规行为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因生产管理不到位，造成粮食作物或经济作物绝产绝收的耕地。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bidi="ar-SA"/>
        </w:rPr>
        <w:t>补贴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标准为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每亩300元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同一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按种植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粮食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作物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、经济作物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的占地面积申报耕地地力保护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补贴，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不能按照不同农作物播种面积核算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同一地块已经申报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耕地地力保护补贴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的，不可再申报蔬菜生产补贴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eastAsia="zh-CN" w:bidi="ar-SA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  <w:t>申报发放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（一）如实申报补贴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坚持农户自愿原则，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在北京市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乡村振兴大数据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种植业综合管理系统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上，填报申报信息，上传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zh-TW"/>
        </w:rPr>
        <w:t>土地经营权流转合同（协议、证明）等材料，按要求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完成补贴申报。本年度申报信息较上一年度无变化且已全部种植的，直接在系统上确认信息完成填报，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zh-TW"/>
        </w:rPr>
        <w:t>如有变化须按系统要求如实填报。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在申报时还未种植的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zh-TW"/>
        </w:rPr>
        <w:t>，按系统要求先承诺填报，实际种植后须及时上传现场种植照片。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6月10日前，各镇（乡）完成本镇（乡）审核批准程序，并将镇（乡）认可汇总表报送区农业农村局。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（二）及时发放补贴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按照《北京市延庆区耕地地力保护补贴资金发放管理办法》（见附件）有关要求，加强补贴发放管理，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提升补贴发放的规范性、精准性和时效性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综合判断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补贴对象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信息、国土变更调查成果、土地流转合同等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eastAsia="zh-CN" w:bidi="ar-SA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村级公示情况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，做到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申报信息一致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做好与有关部门、金融机构的沟通衔接，畅通补贴发放渠道，提高补贴发放效率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确保补贴资金在6月30日前发放到位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（三）规范补贴程序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根据市财政局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关于进一步推进提升惠民惠农财政补贴资金“一卡通”管理工作的通知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》（京财监督〔2025〕123号）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要求，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在“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北京市惠民惠农财政补贴‘一卡通’发放监管服务平台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”完成区级农业农村部门数据录入审核、市级农业农村部门复核、区级农业农村部门资金确认等流程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执行平台审核校验功能，对录入平台数据的完整性、真实性、准确性负责。代发金融机构在收到确认数据后，将补贴资金直接发放到补贴对象指定的银行账户中。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eastAsia="zh-CN" w:bidi="ar-SA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区级各相关部门要高度重视，压实耕地保护和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粮食安全责任，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探索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耕地地力保护补贴发放与耕地地力保护行为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、粮食生产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挂钩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推进高标准农田建设，广泛采取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秸秆还田、深松整地、科学施肥用药、病虫害绿色防控等措施，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全面提升耕地质量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粮食生产能力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区农业农村局指导开展耕地地力保护补贴工作。区财政局督促项目单位严格落实“一卡通”发放管理要求。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（二）加强资金管理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补贴资金支付按照国库集中支付制度有关规定执行，要确保资金足额、及时、准确使用，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不得以任何理由滞拨滞留资金。发放失败的补贴资金，由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级农业农村部门核实修正数据后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对接代发金融机构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再次发放；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需要退回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的补贴资金按原渠道返还；结存的补贴资金统筹用于下一年度发放。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补贴申报截止时，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无法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确定补贴对象或补贴范围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的，暂时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不予申报；在明确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补贴对象或补贴范围并通过属地乡镇政府审核符合申报要求后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，可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补发或随下一年度补贴发放时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补发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补贴资金发放到位后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，及时填报农业农村部转移支付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（三）加强监督检查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区农业农村局对各镇（乡）耕地地力保护补贴政策实施情况进行督导，建立自查机制。区财政局指导加强耕地地力保护补贴资金监督管理。各镇（乡）应加强监督管理，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zh-TW"/>
        </w:rPr>
        <w:t>强化补贴申报信息核查，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在补贴发放后及时开展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监督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，纠正补贴政策实施过程中出现的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不符合申报条件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超范围发放、多发放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等问题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。对虚报冒领、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骗取套取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补贴资金等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，依法依规依纪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追究相应责任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 w:bidi="ar-SA"/>
        </w:rPr>
        <w:t>（四）加强政策宣传</w:t>
      </w:r>
    </w:p>
    <w:p>
      <w:pPr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关部门和各镇</w:t>
      </w:r>
      <w:r>
        <w:rPr>
          <w:rFonts w:hint="eastAsia" w:hAnsi="Calibri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hAnsi="Calibri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要利用多种媒体渠道广泛宣传耕地地力保护补贴政策，向广大农民群众做好政策解读，加强基层干部业务培训，及时回应解决农民群众诉求。在区政府网站公开本区实施方案、政策解读及补贴发放结果，主动接受人民群众和社会各界监督。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spacing w:line="560" w:lineRule="exact"/>
        <w:ind w:left="1918" w:leftChars="304" w:hanging="1280" w:hangingChars="400"/>
        <w:rPr>
          <w:rFonts w:hint="eastAsia" w:ascii="仿宋_GB2312" w:hAnsi="微软雅黑" w:eastAsia="仿宋_GB2312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附件：1-1.</w:t>
      </w:r>
      <w:r>
        <w:rPr>
          <w:rFonts w:hint="eastAsia" w:ascii="仿宋_GB2312" w:hAnsi="微软雅黑" w:eastAsia="仿宋_GB2312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北京市延庆区耕地地力保护补贴资金发放管理办法</w:t>
      </w:r>
    </w:p>
    <w:p>
      <w:pPr>
        <w:spacing w:line="560" w:lineRule="exac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仿宋_GB2312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u w:val="none"/>
          <w:lang w:bidi="ar-SA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u w:val="none"/>
          <w:lang w:val="en-US" w:eastAsia="zh-CN" w:bidi="ar-SA"/>
        </w:rPr>
        <w:t>1-1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eastAsia="zh-CN" w:bidi="ar-SA"/>
        </w:rPr>
      </w:pPr>
    </w:p>
    <w:p>
      <w:pPr>
        <w:adjustRightInd w:val="0"/>
        <w:snapToGrid w:val="0"/>
        <w:spacing w:line="540" w:lineRule="exact"/>
        <w:ind w:left="0" w:leftChars="0" w:firstLine="0" w:firstLineChars="0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北京市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eastAsia="zh-CN" w:bidi="ar-SA"/>
        </w:rPr>
        <w:t>延庆区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耕地地力保护</w:t>
      </w:r>
      <w:r>
        <w:rPr>
          <w:rFonts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补贴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eastAsia="zh-CN" w:bidi="ar-SA"/>
        </w:rPr>
        <w:t>资金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发放</w:t>
      </w:r>
    </w:p>
    <w:p>
      <w:pPr>
        <w:adjustRightInd w:val="0"/>
        <w:snapToGrid w:val="0"/>
        <w:spacing w:line="540" w:lineRule="exact"/>
        <w:ind w:left="0" w:leftChars="0" w:firstLine="0" w:firstLineChars="0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u w:val="none"/>
          <w:lang w:bidi="ar-SA"/>
        </w:rPr>
        <w:t>管理办法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为切实落实耕地地力保护补贴政策，确保补贴程序公开、透明，补贴资金按时发放到位，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根据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北京市农业农村局 北京市财政局关于进一步规范惠农财政补贴资金“一卡通”管理的通知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-SA"/>
        </w:rPr>
        <w:t>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相关要求，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结合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本区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实际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一、补贴程序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（一）</w:t>
      </w:r>
      <w:r>
        <w:rPr>
          <w:rFonts w:hint="eastAsia" w:ascii="楷体_GB2312" w:hAnsi="仿宋_GB2312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补贴对象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自愿申请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22"/>
          <w:u w:val="none"/>
          <w:lang w:val="en-US" w:eastAsia="zh-CN" w:bidi="ar-SA"/>
        </w:rPr>
        <w:t>补贴采取自愿申请的方式。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2"/>
          <w:highlight w:val="none"/>
          <w:u w:val="none"/>
          <w:lang w:val="en-US" w:eastAsia="zh-CN" w:bidi="ar-SA"/>
        </w:rPr>
        <w:t>补贴对象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登录“北京市农业农村综合管理平台”进行申报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22"/>
          <w:u w:val="none"/>
          <w:lang w:val="en-US" w:eastAsia="zh-CN" w:bidi="ar-SA"/>
        </w:rPr>
        <w:t>，由所在村村委会核实后，导出并打印《北京市耕地地力保护补贴申请表》，一式三份。经申请人签字确认，报送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村委会两份，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申请人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楷体_GB2312" w:hAnsi="Calibri" w:eastAsia="楷体_GB2312" w:cs="Times New Roman"/>
          <w:bCs/>
          <w:color w:val="FF0000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（二）村委会（股份经济合作社等）公示确认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>6月5日前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确认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填报信息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真实有效，张榜公布补贴申请者姓名、补贴面积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补贴金额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等，公示期为7天，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公示内容须留档（复印件或影像资料）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。出现争议的，由村委会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负责协调解决。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公示结束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确认无异议后，导出并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《北京市耕地地力保护补贴村级汇总确认表》，一式三份，村委会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存档一份，上报所在镇（乡）政府两份。同时上报所在镇（乡）政府《北京市耕地地力保护补贴申请表》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公示留档资料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各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一套。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FF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三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）镇（乡）政府审核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>6月10日前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镇（乡）政府负责审核工作。镇（乡）农业部门逐村审核申报资料无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误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后，导出并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《北京市耕地地力保护补贴镇（乡）级汇总审核表》，一式三份，报区农业农村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两份，镇（乡）农业部门存档一份。同时上报区农业农村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级汇总确认表》一套。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四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）区政府批准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val="en-US" w:eastAsia="zh-CN" w:bidi="ar-SA"/>
        </w:rPr>
        <w:t>6月15日前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区农业农村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逐镇（乡）核实申报资料无误后，导出并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《北京市耕地地力保护补贴区级认可汇总表》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报区政府批准；区政府批复同意后，由区农业农村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将批复的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《北京市耕地地力保护补贴区级认可汇总表》报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送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市农业农村局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（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eastAsia="zh-CN" w:bidi="ar-SA"/>
        </w:rPr>
        <w:t>五</w:t>
      </w:r>
      <w:r>
        <w:rPr>
          <w:rFonts w:hint="eastAsia" w:ascii="楷体_GB2312" w:hAnsi="Calibri" w:eastAsia="楷体_GB2312" w:cs="Times New Roman"/>
          <w:bCs/>
          <w:color w:val="000000"/>
          <w:sz w:val="32"/>
          <w:szCs w:val="22"/>
          <w:u w:val="none"/>
          <w:lang w:bidi="ar-SA"/>
        </w:rPr>
        <w:t>）补贴资金发放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根据国库集中支付制度有关规定，补贴资金由市级财政转移支付区级财政后，拨付至区级农业农村部门。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“北京市惠民惠农财政补贴‘一卡通’发放监管服务平台”上，完成区级农业农村部门数据录入审核、市级农业农村部门复核、区级农业农村部门资金确认等流程，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代发金融机构在收到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确认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将补贴资金直接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发放到补贴对象指定的银行账户中。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二、职责分工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工作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落实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属地管理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责任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区农业农村局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负责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的组织实施，要建立健全工作机制、做好审核、监督和检查工作，确保补贴政策落到实处。对于政策执行中出现的问题，要及时向市有关部门报告。镇（乡）政府负责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的审核工作，逐村审核申请资料，监督检查村委会严格执行申请程序。补贴申报截止时，存在权属纠纷、涉法涉诉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争议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或不确定问题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地块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，暂时不列入补贴范围，待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问题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解决后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予以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补发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。村委会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负责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耕地地力保护补贴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的申请、确认工作，做好公示、留档等，接受群众的监督检查。</w:t>
      </w:r>
    </w:p>
    <w:p>
      <w:pPr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eastAsia="zh-CN"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三、</w:t>
      </w: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eastAsia="zh-CN" w:bidi="ar-SA"/>
        </w:rPr>
        <w:t>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补贴资金支付按照国库集中支付制度有关规定执行，要确保资金足额、及时、准确使用，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不得以任何理由滞拨滞留资金。发放失败的补贴资金，由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级农业农村部门核实修正数据后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对接代发金融机构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再次发放；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需要退回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的补贴资金按原渠道返还；结存的补贴资金统筹用于下一年度发放。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补贴申报截止时，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无法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确定补贴对象或补贴范围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的，暂时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不予申报；在明确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-SA"/>
        </w:rPr>
        <w:t>补贴对象或补贴范围并通过属地乡镇政府审核符合申报要求后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，可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补发或随下一年度补贴发放时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补发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22"/>
          <w:highlight w:val="none"/>
          <w:u w:val="none"/>
          <w:lang w:val="en-US" w:eastAsia="zh-CN" w:bidi="ar-SA"/>
        </w:rPr>
        <w:t>四、</w:t>
      </w:r>
      <w:r>
        <w:rPr>
          <w:rFonts w:hint="eastAsia" w:ascii="黑体" w:hAnsi="Calibri" w:eastAsia="黑体" w:cs="Times New Roman"/>
          <w:bCs/>
          <w:color w:val="000000"/>
          <w:sz w:val="32"/>
          <w:szCs w:val="22"/>
          <w:u w:val="none"/>
          <w:lang w:bidi="ar-SA"/>
        </w:rPr>
        <w:t>面积核算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同一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按种植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粮食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作物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 w:bidi="ar-SA"/>
        </w:rPr>
        <w:t>、经济作物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的占地面积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进行补贴，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不能按照不同</w:t>
      </w:r>
      <w:r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农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作物播种面积核算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5F9B93"/>
    <w:rsid w:val="0FF7A709"/>
    <w:rsid w:val="11BA6C93"/>
    <w:rsid w:val="1AFBE47B"/>
    <w:rsid w:val="1BFEA405"/>
    <w:rsid w:val="1F75FA6A"/>
    <w:rsid w:val="29FEF8AA"/>
    <w:rsid w:val="2BF770E0"/>
    <w:rsid w:val="2DC85AF7"/>
    <w:rsid w:val="2DF93902"/>
    <w:rsid w:val="2F798017"/>
    <w:rsid w:val="2FBFFC5F"/>
    <w:rsid w:val="3BE5DCF9"/>
    <w:rsid w:val="3CB79F4C"/>
    <w:rsid w:val="3FFB2078"/>
    <w:rsid w:val="3FFF2F04"/>
    <w:rsid w:val="43EE4218"/>
    <w:rsid w:val="4A1C0316"/>
    <w:rsid w:val="4A77DDED"/>
    <w:rsid w:val="4AF5142F"/>
    <w:rsid w:val="4CF69D7E"/>
    <w:rsid w:val="4DBB2CAE"/>
    <w:rsid w:val="4EF97A04"/>
    <w:rsid w:val="4F4BFC01"/>
    <w:rsid w:val="5645FB2B"/>
    <w:rsid w:val="57FB8810"/>
    <w:rsid w:val="5BEDAB91"/>
    <w:rsid w:val="5DB70097"/>
    <w:rsid w:val="5E1FDA91"/>
    <w:rsid w:val="5EDBAF08"/>
    <w:rsid w:val="5EFB2507"/>
    <w:rsid w:val="5F3B22BE"/>
    <w:rsid w:val="5F994213"/>
    <w:rsid w:val="5FCE77AA"/>
    <w:rsid w:val="5FDFE7CC"/>
    <w:rsid w:val="5FFE07DB"/>
    <w:rsid w:val="66E79014"/>
    <w:rsid w:val="67BB58F8"/>
    <w:rsid w:val="67FD9D17"/>
    <w:rsid w:val="67FE5165"/>
    <w:rsid w:val="6CE34F69"/>
    <w:rsid w:val="6DED6ECC"/>
    <w:rsid w:val="6DFAA063"/>
    <w:rsid w:val="6EBEAE45"/>
    <w:rsid w:val="6F7E2473"/>
    <w:rsid w:val="73BAC7B4"/>
    <w:rsid w:val="76F59ABA"/>
    <w:rsid w:val="77E98B6F"/>
    <w:rsid w:val="793E1E08"/>
    <w:rsid w:val="79BF6D9D"/>
    <w:rsid w:val="79EBDFEC"/>
    <w:rsid w:val="79FF5FB3"/>
    <w:rsid w:val="7B6FB55B"/>
    <w:rsid w:val="7B7F3912"/>
    <w:rsid w:val="7BFB9E70"/>
    <w:rsid w:val="7BFFA1CB"/>
    <w:rsid w:val="7DFA98F2"/>
    <w:rsid w:val="7EFF516A"/>
    <w:rsid w:val="7F6815AA"/>
    <w:rsid w:val="7F7F54B3"/>
    <w:rsid w:val="7FAD46EB"/>
    <w:rsid w:val="7FDB91FE"/>
    <w:rsid w:val="7FFB6D2D"/>
    <w:rsid w:val="7FFD9114"/>
    <w:rsid w:val="7FFDF95D"/>
    <w:rsid w:val="7FFFFFB7"/>
    <w:rsid w:val="8DEE444F"/>
    <w:rsid w:val="8F5BE5D4"/>
    <w:rsid w:val="97EE831B"/>
    <w:rsid w:val="9D4DE021"/>
    <w:rsid w:val="ABF63448"/>
    <w:rsid w:val="AF7B1B9A"/>
    <w:rsid w:val="BBDB2038"/>
    <w:rsid w:val="BBED2E18"/>
    <w:rsid w:val="BD5FD635"/>
    <w:rsid w:val="BD7FE36B"/>
    <w:rsid w:val="BDD6196E"/>
    <w:rsid w:val="BEEE3367"/>
    <w:rsid w:val="BEFF019E"/>
    <w:rsid w:val="BF4F5CE0"/>
    <w:rsid w:val="BF4F614D"/>
    <w:rsid w:val="BF629A60"/>
    <w:rsid w:val="D0B58179"/>
    <w:rsid w:val="D9FE74E5"/>
    <w:rsid w:val="DBFD6AB6"/>
    <w:rsid w:val="DCFF0AA8"/>
    <w:rsid w:val="DF1F9266"/>
    <w:rsid w:val="DF4FCD1A"/>
    <w:rsid w:val="DF8E3FF2"/>
    <w:rsid w:val="DF9F2344"/>
    <w:rsid w:val="DFDF9909"/>
    <w:rsid w:val="DFF1F727"/>
    <w:rsid w:val="DFF8EB22"/>
    <w:rsid w:val="E3EE8C53"/>
    <w:rsid w:val="E7660290"/>
    <w:rsid w:val="E7FB9F80"/>
    <w:rsid w:val="E7FF8444"/>
    <w:rsid w:val="EAFD906A"/>
    <w:rsid w:val="EB76C164"/>
    <w:rsid w:val="EDBFB1D7"/>
    <w:rsid w:val="EDC9C230"/>
    <w:rsid w:val="EDDF9AD1"/>
    <w:rsid w:val="EE4BA213"/>
    <w:rsid w:val="EFF947E3"/>
    <w:rsid w:val="F207F69E"/>
    <w:rsid w:val="F2F7B0B3"/>
    <w:rsid w:val="F735BED3"/>
    <w:rsid w:val="F7ED561C"/>
    <w:rsid w:val="F7EDDC81"/>
    <w:rsid w:val="F7FBB308"/>
    <w:rsid w:val="F8D7AED8"/>
    <w:rsid w:val="FAB1AE67"/>
    <w:rsid w:val="FB7D1A4E"/>
    <w:rsid w:val="FBEA8F55"/>
    <w:rsid w:val="FBED6861"/>
    <w:rsid w:val="FBFE5670"/>
    <w:rsid w:val="FBFFC0F2"/>
    <w:rsid w:val="FC5F9B93"/>
    <w:rsid w:val="FCED9E62"/>
    <w:rsid w:val="FD584F22"/>
    <w:rsid w:val="FD7D4781"/>
    <w:rsid w:val="FDD78E71"/>
    <w:rsid w:val="FE3BB34E"/>
    <w:rsid w:val="FECCCC5D"/>
    <w:rsid w:val="FEDFF884"/>
    <w:rsid w:val="FEE5F023"/>
    <w:rsid w:val="FEF9A71C"/>
    <w:rsid w:val="FF3EB176"/>
    <w:rsid w:val="FF4C3EBD"/>
    <w:rsid w:val="FF4E1121"/>
    <w:rsid w:val="FF7D77EE"/>
    <w:rsid w:val="FFDE86FF"/>
    <w:rsid w:val="FFEC4A32"/>
    <w:rsid w:val="FFF6C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 w:cstheme="minorBidi"/>
      <w:b/>
      <w:kern w:val="44"/>
      <w:sz w:val="44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b/>
      <w:kern w:val="2"/>
      <w:sz w:val="32"/>
      <w:szCs w:val="22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 w:cstheme="minorBidi"/>
      <w:b/>
      <w:kern w:val="2"/>
      <w:sz w:val="32"/>
      <w:szCs w:val="22"/>
      <w:lang w:val="en-US" w:eastAsia="zh-CN" w:bidi="ar-SA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theme="minorBidi"/>
      <w:b/>
      <w:kern w:val="2"/>
      <w:sz w:val="32"/>
      <w:szCs w:val="22"/>
      <w:lang w:val="en-US" w:eastAsia="zh-CN" w:bidi="ar-SA"/>
    </w:rPr>
  </w:style>
  <w:style w:type="character" w:default="1" w:styleId="16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next w:val="1"/>
    <w:qFormat/>
    <w:uiPriority w:val="0"/>
    <w:pPr>
      <w:spacing w:before="0" w:line="560" w:lineRule="exact"/>
      <w:ind w:firstLine="880" w:firstLineChars="200"/>
    </w:pPr>
  </w:style>
  <w:style w:type="paragraph" w:styleId="9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itle"/>
    <w:basedOn w:val="1"/>
    <w:qFormat/>
    <w:uiPriority w:val="0"/>
    <w:pPr>
      <w:widowControl w:val="0"/>
      <w:adjustRightInd w:val="0"/>
      <w:snapToGrid w:val="0"/>
      <w:spacing w:line="560" w:lineRule="exact"/>
      <w:ind w:firstLine="1560" w:firstLineChars="200"/>
      <w:jc w:val="both"/>
      <w:outlineLvl w:val="0"/>
    </w:pPr>
    <w:rPr>
      <w:rFonts w:ascii="Cambria" w:hAnsi="Cambria" w:eastAsia="仿宋_GB2312" w:cs="Cambria"/>
      <w:sz w:val="32"/>
      <w:szCs w:val="44"/>
    </w:rPr>
  </w:style>
  <w:style w:type="paragraph" w:styleId="14">
    <w:name w:val="Body Text First Indent 2"/>
    <w:basedOn w:val="3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2026-05-09T17:30:00Z</dcterms:created>
  <dc:creator>nyncj</dc:creator>
  <cp:lastModifiedBy>WPS_1751935726</cp:lastModifiedBy>
  <cp:lastPrinted>2026-05-13T00:59:00Z</cp:lastPrinted>
  <dcterms:modified xsi:type="dcterms:W3CDTF">2026-05-13T01:09:59Z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73EE335051554952A10B29E425992696</vt:lpwstr>
  </property>
</Properties>
</file>