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0" w:line="560" w:lineRule="exact"/>
        <w:contextualSpacing/>
        <w:jc w:val="center"/>
        <w:rPr>
          <w:rFonts w:hint="eastAsia" w:ascii="方正小标宋简体" w:eastAsia="方正小标宋简体"/>
          <w:sz w:val="44"/>
          <w:szCs w:val="44"/>
        </w:rPr>
      </w:pPr>
      <w:bookmarkStart w:id="4" w:name="_GoBack"/>
      <w:r>
        <w:rPr>
          <w:rFonts w:hint="eastAsia" w:ascii="方正小标宋简体" w:eastAsia="方正小标宋简体"/>
          <w:sz w:val="44"/>
          <w:szCs w:val="44"/>
        </w:rPr>
        <w:t>关于《关于北京城市副中心推动金融业高质量发展的实施细则（修订稿）》的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起草</w:t>
      </w:r>
      <w:r>
        <w:rPr>
          <w:rFonts w:hint="eastAsia" w:ascii="方正小标宋简体" w:eastAsia="方正小标宋简体"/>
          <w:sz w:val="44"/>
          <w:szCs w:val="44"/>
        </w:rPr>
        <w:t>说明</w:t>
      </w:r>
    </w:p>
    <w:bookmarkEnd w:id="4"/>
    <w:p>
      <w:pPr>
        <w:adjustRightInd w:val="0"/>
        <w:snapToGrid w:val="0"/>
        <w:spacing w:after="0" w:line="560" w:lineRule="exact"/>
        <w:contextualSpacing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after="0" w:line="560" w:lineRule="exact"/>
        <w:ind w:firstLine="640" w:firstLineChars="200"/>
        <w:contextualSpacing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一、修订背景</w:t>
      </w:r>
    </w:p>
    <w:p>
      <w:pPr>
        <w:adjustRightInd w:val="0"/>
        <w:snapToGrid w:val="0"/>
        <w:spacing w:after="0" w:line="560" w:lineRule="exact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为贯彻落实《国务院关于支持北京城市副中心高质量发展的意见》《关于推进北京全球财富管理中心建设的意见》等相关文件精神，加快建设“全球财富管理中心”“绿色金融和可持续金融中心”，促进副中心金融业高质量发展，区发改委对《关于北京城市副中心推动金融业高质量发展的实施细则》（通发改〔2024〕17号）进行了修订，形成了《关于北京城市副中心推动金融业高质量发展的实施细则（修订稿）》(以下简称修订稿)。</w:t>
      </w:r>
    </w:p>
    <w:p>
      <w:pPr>
        <w:adjustRightInd w:val="0"/>
        <w:snapToGrid w:val="0"/>
        <w:spacing w:after="0" w:line="560" w:lineRule="exact"/>
        <w:ind w:firstLine="640" w:firstLineChars="200"/>
        <w:contextualSpacing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二、修订内容</w:t>
      </w:r>
    </w:p>
    <w:p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（一）删减内容</w:t>
      </w:r>
    </w:p>
    <w:p>
      <w:pPr>
        <w:adjustRightInd w:val="0"/>
        <w:snapToGrid w:val="0"/>
        <w:spacing w:after="0" w:line="560" w:lineRule="exact"/>
        <w:ind w:firstLine="640" w:firstLineChars="200"/>
        <w:contextualSpacing/>
        <w:jc w:val="both"/>
        <w:rPr>
          <w:rFonts w:hint="eastAsia" w:ascii="仿宋_GB2312" w:eastAsia="仿宋_GB2312"/>
          <w:sz w:val="32"/>
          <w:szCs w:val="32"/>
        </w:rPr>
      </w:pPr>
      <w:bookmarkStart w:id="0" w:name="OLE_LINK4"/>
      <w:r>
        <w:rPr>
          <w:rFonts w:hint="eastAsia" w:ascii="仿宋_GB2312" w:eastAsia="仿宋_GB2312"/>
          <w:sz w:val="32"/>
          <w:szCs w:val="32"/>
        </w:rPr>
        <w:t>修订稿中删除了《关于北京城市副中心推动金融业高质量发展的实施细则》</w:t>
      </w:r>
      <w:bookmarkEnd w:id="0"/>
      <w:r>
        <w:rPr>
          <w:rFonts w:hint="eastAsia" w:ascii="仿宋_GB2312" w:eastAsia="仿宋_GB2312"/>
          <w:sz w:val="32"/>
          <w:szCs w:val="32"/>
        </w:rPr>
        <w:t>中第一条“重点培育‘十百千工程’独立法人金融类企业和金融科技企业”、第二条“鼓励开展金融技术、产品、服务、模式等创新”、第三条“</w:t>
      </w:r>
      <w:r>
        <w:rPr>
          <w:rFonts w:hint="eastAsia" w:ascii="仿宋_GB2312" w:hAnsi="仿宋_GB2312" w:eastAsia="仿宋_GB2312" w:cs="仿宋_GB2312"/>
          <w:sz w:val="32"/>
          <w:szCs w:val="32"/>
        </w:rPr>
        <w:t>鼓励发展数字人民币业务</w:t>
      </w:r>
      <w:r>
        <w:rPr>
          <w:rFonts w:hint="eastAsia" w:ascii="仿宋_GB2312" w:eastAsia="仿宋_GB2312"/>
          <w:sz w:val="32"/>
          <w:szCs w:val="32"/>
        </w:rPr>
        <w:t>”、第四条“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支持成长性企业业务发展</w:t>
      </w:r>
      <w:r>
        <w:rPr>
          <w:rFonts w:hint="eastAsia" w:ascii="仿宋_GB2312" w:eastAsia="仿宋_GB2312"/>
          <w:sz w:val="32"/>
          <w:szCs w:val="32"/>
        </w:rPr>
        <w:t>”、第十三条“</w:t>
      </w:r>
      <w:r>
        <w:rPr>
          <w:rFonts w:hint="eastAsia" w:ascii="仿宋_GB2312" w:hAnsi="仿宋_GB2312" w:eastAsia="仿宋_GB2312" w:cs="仿宋_GB2312"/>
          <w:sz w:val="32"/>
          <w:szCs w:val="32"/>
        </w:rPr>
        <w:t>对符合条件的优质金融机构提供</w:t>
      </w:r>
      <w:r>
        <w:rPr>
          <w:rFonts w:ascii="仿宋_GB2312" w:hAnsi="仿宋_GB2312" w:eastAsia="仿宋_GB2312" w:cs="仿宋_GB2312"/>
          <w:sz w:val="32"/>
          <w:szCs w:val="32"/>
        </w:rPr>
        <w:t>生活后勤</w:t>
      </w:r>
      <w:r>
        <w:rPr>
          <w:rFonts w:hint="eastAsia" w:ascii="仿宋_GB2312" w:hAnsi="仿宋_GB2312" w:eastAsia="仿宋_GB2312" w:cs="仿宋_GB2312"/>
          <w:sz w:val="32"/>
          <w:szCs w:val="32"/>
        </w:rPr>
        <w:t>保障等‘一对一’专项对接服务</w:t>
      </w:r>
      <w:r>
        <w:rPr>
          <w:rFonts w:ascii="仿宋_GB2312" w:hAnsi="仿宋_GB2312" w:eastAsia="仿宋_GB2312" w:cs="仿宋_GB2312"/>
          <w:sz w:val="32"/>
          <w:szCs w:val="32"/>
        </w:rPr>
        <w:t>及配套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资金支持</w:t>
      </w:r>
      <w:r>
        <w:rPr>
          <w:rFonts w:hint="eastAsia" w:ascii="仿宋_GB2312" w:eastAsia="仿宋_GB2312"/>
          <w:sz w:val="32"/>
          <w:szCs w:val="32"/>
        </w:rPr>
        <w:t>”。</w:t>
      </w:r>
    </w:p>
    <w:p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（二）新增内容</w:t>
      </w:r>
    </w:p>
    <w:p>
      <w:pPr>
        <w:adjustRightInd w:val="0"/>
        <w:snapToGrid w:val="0"/>
        <w:spacing w:after="0" w:line="560" w:lineRule="exact"/>
        <w:ind w:firstLine="642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一是</w:t>
      </w:r>
      <w:r>
        <w:rPr>
          <w:rFonts w:hint="eastAsia" w:ascii="仿宋_GB2312" w:eastAsia="仿宋_GB2312"/>
          <w:sz w:val="32"/>
          <w:szCs w:val="32"/>
        </w:rPr>
        <w:t>新增“（一）持续丰富和优化金融机构体系。对经国家金融监管部门批准成立的持牌法人金融机构，依据实收资本规模最高支持5000万元。对银行专营机构、金融机构二级（含）以上分支机构给予提级发展支持，最高支持500万元。持牌法人金融机构及财富管理、绿色金融领域符合副中心‘两大中心’定位的重点金融企业，增资1亿元以上的最高支持2000万元。对获得‘绿色金融特色机构’‘科技金融领军机构’称号的品牌特色金融机构，最高支持50万元。”</w:t>
      </w:r>
    </w:p>
    <w:p>
      <w:pPr>
        <w:adjustRightInd w:val="0"/>
        <w:snapToGrid w:val="0"/>
        <w:spacing w:after="0" w:line="560" w:lineRule="exact"/>
        <w:ind w:firstLine="642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新增“（二）推动资本要素创新流动。依托副中心要素市场化配置综合改革试点，鼓励开展资本要素创新举措‘揭榜挂帅’。在信托、商业共保体、投贷联动等领域积极承接、落地创新举措的金融机构，结合企业实际产生社会经济效益，最高支持200万元。”</w:t>
      </w:r>
    </w:p>
    <w:p>
      <w:pPr>
        <w:adjustRightInd w:val="0"/>
        <w:snapToGrid w:val="0"/>
        <w:spacing w:after="0" w:line="560" w:lineRule="exact"/>
        <w:ind w:firstLine="642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新增“（四）支持信托公司落地特殊需要信托、股权信托等资产服务信托业务。对成功设立的特殊需要信托计划，给予受托信托公司每单一次性10万元支持，单家公司年度最高支持100万元。对作为受托人设立并完成股权信托财产登记的信托公司，按登记信托财产规模（股权评估价值）单笔业务最高支持50万元。”</w:t>
      </w:r>
    </w:p>
    <w:p>
      <w:pPr>
        <w:adjustRightInd w:val="0"/>
        <w:snapToGrid w:val="0"/>
        <w:spacing w:after="0" w:line="560" w:lineRule="exact"/>
        <w:ind w:firstLine="642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四是</w:t>
      </w:r>
      <w:r>
        <w:rPr>
          <w:rFonts w:hint="eastAsia" w:ascii="仿宋_GB2312" w:eastAsia="仿宋_GB2312"/>
          <w:sz w:val="32"/>
          <w:szCs w:val="32"/>
        </w:rPr>
        <w:t>新增“（五）大力发展私募股权基金。经中基协登记备案的私募股权、创业投资基金管理人，在管基金规模合计达到1亿元（含）以上的，按实缴货币资本规模最高支持300万元。对获批北京市合格境内有限合伙人（QDLP）境外投资试点资格或北京市合格境外有限合伙人（QFLP）境内投资试点资格，依法完成中国证券投资基金业协会备案的私募基金管理人，一次性支持150万元。”</w:t>
      </w:r>
    </w:p>
    <w:p>
      <w:pPr>
        <w:adjustRightInd w:val="0"/>
        <w:snapToGrid w:val="0"/>
        <w:spacing w:after="0" w:line="560" w:lineRule="exact"/>
        <w:ind w:firstLine="640" w:firstLineChars="200"/>
        <w:jc w:val="both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（三）修订内容</w:t>
      </w:r>
    </w:p>
    <w:p>
      <w:pPr>
        <w:adjustRightInd w:val="0"/>
        <w:snapToGrid w:val="0"/>
        <w:spacing w:after="0" w:line="560" w:lineRule="exact"/>
        <w:ind w:firstLine="640" w:firstLineChars="200"/>
        <w:contextualSpacing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一是将</w:t>
      </w:r>
      <w:r>
        <w:rPr>
          <w:rFonts w:hint="eastAsia" w:ascii="仿宋_GB2312" w:eastAsia="仿宋_GB2312"/>
          <w:sz w:val="32"/>
          <w:szCs w:val="32"/>
        </w:rPr>
        <w:t>《关于北京城市副中心推动金融业高质量发展的实施细则》第五条、第六条合并修订为“（三）</w:t>
      </w:r>
      <w:bookmarkStart w:id="1" w:name="OLE_LINK2"/>
      <w:r>
        <w:rPr>
          <w:rFonts w:hint="eastAsia" w:ascii="仿宋_GB2312" w:eastAsia="仿宋_GB2312"/>
          <w:sz w:val="32"/>
          <w:szCs w:val="32"/>
        </w:rPr>
        <w:t>鼓励银行、信托、证券、基金、期货、保险资产管理机构，金融资产投资公司以及实缴注册资本不低于5000万元的优质第三方财富管理公司等机构</w:t>
      </w:r>
      <w:bookmarkEnd w:id="1"/>
      <w:r>
        <w:rPr>
          <w:rFonts w:hint="eastAsia" w:ascii="仿宋_GB2312" w:eastAsia="仿宋_GB2312"/>
          <w:sz w:val="32"/>
          <w:szCs w:val="32"/>
        </w:rPr>
        <w:t>拓宽业务规模。资产管理规模（AUM）突破5000亿元的，一次性支持1000万元，突破10000亿元的，一次性支持2000万元。年度新增资产管理规模达50亿元（含）以上的，最高支持1000万元。”</w:t>
      </w:r>
    </w:p>
    <w:p>
      <w:pPr>
        <w:adjustRightInd w:val="0"/>
        <w:snapToGrid w:val="0"/>
        <w:spacing w:after="0" w:line="560" w:lineRule="exact"/>
        <w:ind w:firstLine="642" w:firstLineChars="200"/>
        <w:contextualSpacing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二是</w:t>
      </w:r>
      <w:r>
        <w:rPr>
          <w:rFonts w:hint="eastAsia" w:ascii="仿宋_GB2312" w:eastAsia="仿宋_GB2312"/>
          <w:sz w:val="32"/>
          <w:szCs w:val="32"/>
        </w:rPr>
        <w:t>将《关于北京城市副中心推动金融业高质量发展的实施细则》第七条、第八条、第十条、第十一条合并修订为“（六）鼓励各类型金融机构持续拓宽绿色业务。在绿色贷款、绿色保险、绿色资管、绿色债券等金融业务领域年度新增达到一定规模的，最高支持500万元。”</w:t>
      </w:r>
    </w:p>
    <w:p>
      <w:pPr>
        <w:adjustRightInd w:val="0"/>
        <w:snapToGrid w:val="0"/>
        <w:spacing w:after="0" w:line="560" w:lineRule="exact"/>
        <w:ind w:firstLine="642" w:firstLineChars="200"/>
        <w:contextualSpacing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</w:rPr>
        <w:t>将《关于北京城市副中心推动金融业高质量发展的实施细则》第九条修订为“（七）鼓励各类型金融机构、绿色金融研究机构和地方金融组织积极参与制定绿色金融标准、认定绿色项目库、开展国家核证自愿减排（CCER）等绿色交易，最高支持100万元。”</w:t>
      </w:r>
    </w:p>
    <w:p>
      <w:pPr>
        <w:adjustRightInd w:val="0"/>
        <w:snapToGrid w:val="0"/>
        <w:spacing w:after="0" w:line="560" w:lineRule="exact"/>
        <w:ind w:firstLine="642" w:firstLineChars="200"/>
        <w:contextualSpacing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四是</w:t>
      </w:r>
      <w:r>
        <w:rPr>
          <w:rFonts w:hint="eastAsia" w:ascii="仿宋_GB2312" w:eastAsia="仿宋_GB2312"/>
          <w:sz w:val="32"/>
          <w:szCs w:val="32"/>
        </w:rPr>
        <w:t>将</w:t>
      </w:r>
      <w:bookmarkStart w:id="2" w:name="OLE_LINK9"/>
      <w:r>
        <w:rPr>
          <w:rFonts w:hint="eastAsia" w:ascii="仿宋_GB2312" w:eastAsia="仿宋_GB2312"/>
          <w:sz w:val="32"/>
          <w:szCs w:val="32"/>
        </w:rPr>
        <w:t>《关于北京城市副中心推动金融业高质量发展的实施细则》第十二条</w:t>
      </w:r>
      <w:bookmarkEnd w:id="2"/>
      <w:r>
        <w:rPr>
          <w:rFonts w:hint="eastAsia" w:ascii="仿宋_GB2312" w:eastAsia="仿宋_GB2312"/>
          <w:sz w:val="32"/>
          <w:szCs w:val="32"/>
        </w:rPr>
        <w:t>修订为“（八）支持各类型金融企业联接副中心重大项目、重点领域。支持各类型金融产品、服务拓宽场景应用。支持各类型金融企业整合业务资源，促进行业集聚，通过企业联动或业务整合形成显著行业带动效应的，给予一定支持。鼓励企业在副中心举办金融交流活动、论坛，最高支持100万元。”</w:t>
      </w:r>
    </w:p>
    <w:p>
      <w:pPr>
        <w:adjustRightInd w:val="0"/>
        <w:snapToGrid w:val="0"/>
        <w:spacing w:after="0" w:line="560" w:lineRule="exact"/>
        <w:ind w:firstLine="642" w:firstLineChars="200"/>
        <w:contextualSpacing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五是</w:t>
      </w:r>
      <w:r>
        <w:rPr>
          <w:rFonts w:hint="eastAsia" w:ascii="仿宋_GB2312" w:eastAsia="仿宋_GB2312"/>
          <w:sz w:val="32"/>
          <w:szCs w:val="32"/>
        </w:rPr>
        <w:t>将《关于北京城市副中心推动金融业高质量发展的实施细则》第十三条修订为“（九）</w:t>
      </w:r>
      <w:bookmarkStart w:id="3" w:name="OLE_LINK6"/>
      <w:r>
        <w:rPr>
          <w:rFonts w:hint="eastAsia" w:ascii="仿宋_GB2312" w:eastAsia="仿宋_GB2312"/>
          <w:sz w:val="32"/>
          <w:szCs w:val="32"/>
        </w:rPr>
        <w:t>支持高层次金融人才在副中心集聚发展。配合开展金融领域“运河英才计划”“青年后备人才”年度评选和服务，对高级金融管理人才、专业技术人才及核心业务骨干在引进培育、人才评选、职住平衡、发展支持等方面开展多维度服务。</w:t>
      </w:r>
      <w:bookmarkEnd w:id="3"/>
      <w:r>
        <w:rPr>
          <w:rFonts w:hint="eastAsia" w:ascii="仿宋_GB2312" w:eastAsia="仿宋_GB2312"/>
          <w:sz w:val="32"/>
          <w:szCs w:val="32"/>
        </w:rPr>
        <w:t>”</w:t>
      </w:r>
    </w:p>
    <w:p>
      <w:pPr>
        <w:adjustRightInd w:val="0"/>
        <w:snapToGrid w:val="0"/>
        <w:spacing w:after="0" w:line="560" w:lineRule="exact"/>
        <w:ind w:firstLine="640" w:firstLineChars="200"/>
        <w:contextualSpacing/>
        <w:jc w:val="both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after="0" w:line="560" w:lineRule="exact"/>
        <w:ind w:firstLine="640" w:firstLineChars="200"/>
        <w:contextualSpacing/>
        <w:jc w:val="right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adjustRightInd w:val="0"/>
        <w:snapToGrid w:val="0"/>
        <w:spacing w:after="0" w:line="560" w:lineRule="exact"/>
        <w:ind w:firstLine="640" w:firstLineChars="200"/>
        <w:contextualSpacing/>
        <w:jc w:val="righ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仿宋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264"/>
    <w:rsid w:val="00007257"/>
    <w:rsid w:val="000B12B7"/>
    <w:rsid w:val="0012607C"/>
    <w:rsid w:val="00490010"/>
    <w:rsid w:val="007C23A9"/>
    <w:rsid w:val="007D1264"/>
    <w:rsid w:val="008B3223"/>
    <w:rsid w:val="00914C25"/>
    <w:rsid w:val="00993CA4"/>
    <w:rsid w:val="009C0B35"/>
    <w:rsid w:val="00AA0435"/>
    <w:rsid w:val="00AD0E7C"/>
    <w:rsid w:val="00CD5CFD"/>
    <w:rsid w:val="00DD60B9"/>
    <w:rsid w:val="00F847F0"/>
    <w:rsid w:val="6DD7E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284</Words>
  <Characters>1625</Characters>
  <Lines>13</Lines>
  <Paragraphs>3</Paragraphs>
  <TotalTime>20</TotalTime>
  <ScaleCrop>false</ScaleCrop>
  <LinksUpToDate>false</LinksUpToDate>
  <CharactersWithSpaces>1906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2026-04-03T11:26:00Z</dcterms:created>
  <dc:creator>wenwen gao</dc:creator>
  <cp:lastModifiedBy>user</cp:lastModifiedBy>
  <dcterms:modified xsi:type="dcterms:W3CDTF">2026-04-08T09:46:37Z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