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4249" w14:textId="77777777" w:rsidR="00A36B4D" w:rsidRDefault="00A36B4D" w:rsidP="00A36B4D">
      <w:pPr>
        <w:adjustRightInd w:val="0"/>
        <w:snapToGrid w:val="0"/>
        <w:spacing w:after="0" w:line="560" w:lineRule="exact"/>
        <w:contextualSpacing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A36B4D">
        <w:rPr>
          <w:rFonts w:ascii="方正小标宋简体" w:eastAsia="方正小标宋简体" w:hint="eastAsia"/>
          <w:bCs/>
          <w:sz w:val="44"/>
          <w:szCs w:val="44"/>
        </w:rPr>
        <w:t>关于北京城市副中心推动金融业高质量发展</w:t>
      </w:r>
    </w:p>
    <w:p w14:paraId="096AEB52" w14:textId="53FA2DCF" w:rsidR="00A36B4D" w:rsidRPr="00A36B4D" w:rsidRDefault="00A36B4D" w:rsidP="00A36B4D">
      <w:pPr>
        <w:adjustRightInd w:val="0"/>
        <w:snapToGrid w:val="0"/>
        <w:spacing w:after="0" w:line="560" w:lineRule="exact"/>
        <w:contextualSpacing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A36B4D">
        <w:rPr>
          <w:rFonts w:ascii="方正小标宋简体" w:eastAsia="方正小标宋简体" w:hint="eastAsia"/>
          <w:bCs/>
          <w:sz w:val="44"/>
          <w:szCs w:val="44"/>
        </w:rPr>
        <w:t>的实施细则（</w:t>
      </w:r>
      <w:r w:rsidRPr="00A36B4D">
        <w:rPr>
          <w:rFonts w:ascii="方正小标宋简体" w:eastAsia="方正小标宋简体" w:hint="eastAsia"/>
          <w:sz w:val="44"/>
          <w:szCs w:val="44"/>
        </w:rPr>
        <w:t>修订</w:t>
      </w:r>
      <w:r w:rsidR="00356435">
        <w:rPr>
          <w:rFonts w:ascii="方正小标宋简体" w:eastAsia="方正小标宋简体" w:hint="eastAsia"/>
          <w:sz w:val="44"/>
          <w:szCs w:val="44"/>
        </w:rPr>
        <w:t>稿</w:t>
      </w:r>
      <w:r w:rsidRPr="00A36B4D">
        <w:rPr>
          <w:rFonts w:ascii="方正小标宋简体" w:eastAsia="方正小标宋简体" w:hint="eastAsia"/>
          <w:sz w:val="44"/>
          <w:szCs w:val="44"/>
        </w:rPr>
        <w:t>）</w:t>
      </w:r>
    </w:p>
    <w:p w14:paraId="65D257EB" w14:textId="77777777" w:rsidR="00A36B4D" w:rsidRPr="00A36B4D" w:rsidRDefault="00A36B4D" w:rsidP="00A36B4D">
      <w:pPr>
        <w:adjustRightInd w:val="0"/>
        <w:snapToGrid w:val="0"/>
        <w:spacing w:after="0" w:line="56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</w:p>
    <w:p w14:paraId="5183B5E0" w14:textId="277FC004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为加快建设</w:t>
      </w:r>
      <w:r w:rsidR="00C650E7">
        <w:rPr>
          <w:rFonts w:ascii="仿宋_GB2312" w:eastAsia="仿宋_GB2312" w:hint="eastAsia"/>
          <w:sz w:val="32"/>
          <w:szCs w:val="32"/>
        </w:rPr>
        <w:t>“</w:t>
      </w:r>
      <w:r w:rsidRPr="00A36B4D">
        <w:rPr>
          <w:rFonts w:ascii="仿宋_GB2312" w:eastAsia="仿宋_GB2312" w:hint="eastAsia"/>
          <w:sz w:val="32"/>
          <w:szCs w:val="32"/>
        </w:rPr>
        <w:t>全球财富管理中心</w:t>
      </w:r>
      <w:r w:rsidR="00C650E7">
        <w:rPr>
          <w:rFonts w:ascii="仿宋_GB2312" w:eastAsia="仿宋_GB2312" w:hint="eastAsia"/>
          <w:sz w:val="32"/>
          <w:szCs w:val="32"/>
        </w:rPr>
        <w:t>”“</w:t>
      </w:r>
      <w:r w:rsidRPr="00A36B4D">
        <w:rPr>
          <w:rFonts w:ascii="仿宋_GB2312" w:eastAsia="仿宋_GB2312" w:hint="eastAsia"/>
          <w:sz w:val="32"/>
          <w:szCs w:val="32"/>
        </w:rPr>
        <w:t>绿色金融和</w:t>
      </w:r>
      <w:proofErr w:type="gramStart"/>
      <w:r w:rsidRPr="00A36B4D">
        <w:rPr>
          <w:rFonts w:ascii="仿宋_GB2312" w:eastAsia="仿宋_GB2312" w:hint="eastAsia"/>
          <w:sz w:val="32"/>
          <w:szCs w:val="32"/>
        </w:rPr>
        <w:t>可</w:t>
      </w:r>
      <w:proofErr w:type="gramEnd"/>
      <w:r w:rsidRPr="00A36B4D">
        <w:rPr>
          <w:rFonts w:ascii="仿宋_GB2312" w:eastAsia="仿宋_GB2312" w:hint="eastAsia"/>
          <w:sz w:val="32"/>
          <w:szCs w:val="32"/>
        </w:rPr>
        <w:t>持续金融中心</w:t>
      </w:r>
      <w:r w:rsidR="00C650E7">
        <w:rPr>
          <w:rFonts w:ascii="仿宋_GB2312" w:eastAsia="仿宋_GB2312" w:hint="eastAsia"/>
          <w:sz w:val="32"/>
          <w:szCs w:val="32"/>
        </w:rPr>
        <w:t>”</w:t>
      </w:r>
      <w:r w:rsidRPr="00A36B4D">
        <w:rPr>
          <w:rFonts w:ascii="仿宋_GB2312" w:eastAsia="仿宋_GB2312" w:hint="eastAsia"/>
          <w:sz w:val="32"/>
          <w:szCs w:val="32"/>
        </w:rPr>
        <w:t>，</w:t>
      </w:r>
      <w:bookmarkStart w:id="0" w:name="OLE_LINK7"/>
      <w:r w:rsidRPr="00A36B4D">
        <w:rPr>
          <w:rFonts w:ascii="仿宋_GB2312" w:eastAsia="仿宋_GB2312" w:hint="eastAsia"/>
          <w:sz w:val="32"/>
          <w:szCs w:val="32"/>
        </w:rPr>
        <w:t>全方位支持金融企业</w:t>
      </w:r>
      <w:proofErr w:type="gramStart"/>
      <w:r w:rsidRPr="00A36B4D">
        <w:rPr>
          <w:rFonts w:ascii="仿宋_GB2312" w:eastAsia="仿宋_GB2312" w:hint="eastAsia"/>
          <w:sz w:val="32"/>
          <w:szCs w:val="32"/>
        </w:rPr>
        <w:t>做优做</w:t>
      </w:r>
      <w:proofErr w:type="gramEnd"/>
      <w:r w:rsidRPr="00A36B4D">
        <w:rPr>
          <w:rFonts w:ascii="仿宋_GB2312" w:eastAsia="仿宋_GB2312" w:hint="eastAsia"/>
          <w:sz w:val="32"/>
          <w:szCs w:val="32"/>
        </w:rPr>
        <w:t>强，促进副中心金融业高质量发展，</w:t>
      </w:r>
      <w:bookmarkEnd w:id="0"/>
      <w:r w:rsidRPr="00A36B4D">
        <w:rPr>
          <w:rFonts w:ascii="仿宋_GB2312" w:eastAsia="仿宋_GB2312" w:hint="eastAsia"/>
          <w:sz w:val="32"/>
          <w:szCs w:val="32"/>
        </w:rPr>
        <w:t>特制定本细则。</w:t>
      </w:r>
    </w:p>
    <w:p w14:paraId="44E5349B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黑体" w:eastAsia="黑体" w:hAnsi="黑体" w:hint="eastAsia"/>
          <w:sz w:val="32"/>
          <w:szCs w:val="32"/>
        </w:rPr>
      </w:pPr>
      <w:r w:rsidRPr="00A36B4D">
        <w:rPr>
          <w:rFonts w:ascii="黑体" w:eastAsia="黑体" w:hAnsi="黑体" w:hint="eastAsia"/>
          <w:sz w:val="32"/>
          <w:szCs w:val="32"/>
        </w:rPr>
        <w:t>一、助力金融机构加速展业，鼓励金融业务创新</w:t>
      </w:r>
    </w:p>
    <w:p w14:paraId="281FFD2B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（一）</w:t>
      </w:r>
      <w:bookmarkStart w:id="1" w:name="OLE_LINK3"/>
      <w:r w:rsidRPr="00A36B4D">
        <w:rPr>
          <w:rFonts w:ascii="仿宋_GB2312" w:eastAsia="仿宋_GB2312" w:hint="eastAsia"/>
          <w:sz w:val="32"/>
          <w:szCs w:val="32"/>
        </w:rPr>
        <w:t>持续丰富和优化金融机构体系。对经国家金融监管部门批准成立的持牌法人金融机构，依据实收资本规模最高支持5000万元。对银行专营机构、金融机构二级（含）以上分支机构给予提级发展支持，最高支持500万元。持牌法人金融机构及财富管理、绿色金融领域符合副中心“两大中心”定位的重点金融企业，增资1亿元以上的最高支持2000万元。对获得“绿色金融特色机构”“科技金融领军机构”称号的品牌特色金融机构，最高支持50万元。</w:t>
      </w:r>
    </w:p>
    <w:bookmarkEnd w:id="1"/>
    <w:p w14:paraId="6E4032CF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二）推动资本要素创新流动。依托副中心要素市场化配置综合改革试点，鼓励开展资本要素创新举措“揭榜挂帅”。在信托、商业共保体、投贷联动等领域积极承接、落地创新举措的金融机构，结合企业实际产生社会经济效益，最高支持200万元。</w:t>
      </w:r>
    </w:p>
    <w:p w14:paraId="2FEA2763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黑体" w:eastAsia="黑体" w:hAnsi="黑体" w:hint="eastAsia"/>
          <w:sz w:val="32"/>
          <w:szCs w:val="32"/>
        </w:rPr>
      </w:pPr>
      <w:r w:rsidRPr="00A36B4D">
        <w:rPr>
          <w:rFonts w:ascii="黑体" w:eastAsia="黑体" w:hAnsi="黑体" w:hint="eastAsia"/>
          <w:sz w:val="32"/>
          <w:szCs w:val="32"/>
        </w:rPr>
        <w:t>二、加快建设全球财富管理中心，打造全球财富管理新高地</w:t>
      </w:r>
    </w:p>
    <w:p w14:paraId="44F5C1ED" w14:textId="7A02D37B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（三）</w:t>
      </w:r>
      <w:bookmarkStart w:id="2" w:name="OLE_LINK2"/>
      <w:r w:rsidRPr="00A36B4D">
        <w:rPr>
          <w:rFonts w:ascii="仿宋_GB2312" w:eastAsia="仿宋_GB2312" w:hint="eastAsia"/>
          <w:sz w:val="32"/>
          <w:szCs w:val="32"/>
        </w:rPr>
        <w:t>鼓励银行、信托、证券、期货、保险资产管理机构，金融资产投资公司以及实缴注册资本不低于5000万元的</w:t>
      </w:r>
      <w:proofErr w:type="gramStart"/>
      <w:r w:rsidRPr="00A36B4D">
        <w:rPr>
          <w:rFonts w:ascii="仿宋_GB2312" w:eastAsia="仿宋_GB2312" w:hint="eastAsia"/>
          <w:sz w:val="32"/>
          <w:szCs w:val="32"/>
        </w:rPr>
        <w:t>优质第</w:t>
      </w:r>
      <w:r w:rsidRPr="00A36B4D">
        <w:rPr>
          <w:rFonts w:ascii="仿宋_GB2312" w:eastAsia="仿宋_GB2312" w:hint="eastAsia"/>
          <w:sz w:val="32"/>
          <w:szCs w:val="32"/>
        </w:rPr>
        <w:lastRenderedPageBreak/>
        <w:t>三</w:t>
      </w:r>
      <w:proofErr w:type="gramEnd"/>
      <w:r w:rsidRPr="00A36B4D">
        <w:rPr>
          <w:rFonts w:ascii="仿宋_GB2312" w:eastAsia="仿宋_GB2312" w:hint="eastAsia"/>
          <w:sz w:val="32"/>
          <w:szCs w:val="32"/>
        </w:rPr>
        <w:t>方财富管理公司等机构</w:t>
      </w:r>
      <w:bookmarkEnd w:id="2"/>
      <w:r w:rsidRPr="00A36B4D">
        <w:rPr>
          <w:rFonts w:ascii="仿宋_GB2312" w:eastAsia="仿宋_GB2312" w:hint="eastAsia"/>
          <w:sz w:val="32"/>
          <w:szCs w:val="32"/>
        </w:rPr>
        <w:t>拓宽业务规模。资产管理规模（AUM）突破5000亿元的，一次性支持1000万元，突破10000亿元的，一次性支持2000万元。年度新增资产管理规模达50亿元（含）以上的，最高支持1000万元。</w:t>
      </w:r>
    </w:p>
    <w:p w14:paraId="231D8D72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四）支持信托公司落地特殊需要信托、股权信托等资产服务信托业务。对成功设立的特殊需要信托计划，给予受托信托公司每单一次性10万元支持，单家公司年度最高支持100万元。对作为受托人设立并完成股权信托财产登记的信托公司，按登记信托财产规模（股权评估价值）单笔业务最高支持50万元。</w:t>
      </w:r>
    </w:p>
    <w:p w14:paraId="3FC81AEB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bookmarkStart w:id="3" w:name="OLE_LINK8"/>
      <w:r w:rsidRPr="00A36B4D">
        <w:rPr>
          <w:rFonts w:ascii="仿宋_GB2312" w:eastAsia="仿宋_GB2312" w:hint="eastAsia"/>
          <w:sz w:val="32"/>
          <w:szCs w:val="32"/>
        </w:rPr>
        <w:t>（五）大力发展私</w:t>
      </w:r>
      <w:proofErr w:type="gramStart"/>
      <w:r w:rsidRPr="00A36B4D">
        <w:rPr>
          <w:rFonts w:ascii="仿宋_GB2312" w:eastAsia="仿宋_GB2312" w:hint="eastAsia"/>
          <w:sz w:val="32"/>
          <w:szCs w:val="32"/>
        </w:rPr>
        <w:t>募股权基金</w:t>
      </w:r>
      <w:proofErr w:type="gramEnd"/>
      <w:r w:rsidRPr="00A36B4D">
        <w:rPr>
          <w:rFonts w:ascii="仿宋_GB2312" w:eastAsia="仿宋_GB2312" w:hint="eastAsia"/>
          <w:sz w:val="32"/>
          <w:szCs w:val="32"/>
        </w:rPr>
        <w:t>。</w:t>
      </w:r>
      <w:bookmarkStart w:id="4" w:name="OLE_LINK10"/>
      <w:r w:rsidRPr="00A36B4D">
        <w:rPr>
          <w:rFonts w:ascii="仿宋_GB2312" w:eastAsia="仿宋_GB2312" w:hint="eastAsia"/>
          <w:sz w:val="32"/>
          <w:szCs w:val="32"/>
        </w:rPr>
        <w:t>经中</w:t>
      </w:r>
      <w:proofErr w:type="gramStart"/>
      <w:r w:rsidRPr="00A36B4D">
        <w:rPr>
          <w:rFonts w:ascii="仿宋_GB2312" w:eastAsia="仿宋_GB2312" w:hint="eastAsia"/>
          <w:sz w:val="32"/>
          <w:szCs w:val="32"/>
        </w:rPr>
        <w:t>基协登记</w:t>
      </w:r>
      <w:proofErr w:type="gramEnd"/>
      <w:r w:rsidRPr="00A36B4D">
        <w:rPr>
          <w:rFonts w:ascii="仿宋_GB2312" w:eastAsia="仿宋_GB2312" w:hint="eastAsia"/>
          <w:sz w:val="32"/>
          <w:szCs w:val="32"/>
        </w:rPr>
        <w:t>备案的私募股权、创业投资基金管理人，</w:t>
      </w:r>
      <w:bookmarkEnd w:id="4"/>
      <w:r w:rsidRPr="00A36B4D">
        <w:rPr>
          <w:rFonts w:ascii="仿宋_GB2312" w:eastAsia="仿宋_GB2312" w:hint="eastAsia"/>
          <w:sz w:val="32"/>
          <w:szCs w:val="32"/>
        </w:rPr>
        <w:t>在管基金规模合计达到1亿元（含）以上的，按实缴货币资本规模最高支持300万元。对获批北京市合格境内有限合伙人（QDLP）境外投资试点资格或北京市合格境外有限合伙人（QFLP）境内投资试点资格，依法完成中国证券投资基金业协会备案的私募基金管理人，一次性支持150万元。</w:t>
      </w:r>
    </w:p>
    <w:bookmarkEnd w:id="3"/>
    <w:p w14:paraId="7ABD6E4D" w14:textId="1EED7B8E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黑体" w:eastAsia="黑体" w:hAnsi="黑体" w:hint="eastAsia"/>
          <w:sz w:val="32"/>
          <w:szCs w:val="32"/>
        </w:rPr>
      </w:pPr>
      <w:r w:rsidRPr="00A36B4D">
        <w:rPr>
          <w:rFonts w:ascii="黑体" w:eastAsia="黑体" w:hAnsi="黑体" w:hint="eastAsia"/>
          <w:sz w:val="32"/>
          <w:szCs w:val="32"/>
        </w:rPr>
        <w:t>三、加快建设绿色金融和</w:t>
      </w:r>
      <w:proofErr w:type="gramStart"/>
      <w:r w:rsidRPr="00A36B4D">
        <w:rPr>
          <w:rFonts w:ascii="黑体" w:eastAsia="黑体" w:hAnsi="黑体" w:hint="eastAsia"/>
          <w:sz w:val="32"/>
          <w:szCs w:val="32"/>
        </w:rPr>
        <w:t>可</w:t>
      </w:r>
      <w:proofErr w:type="gramEnd"/>
      <w:r w:rsidRPr="00A36B4D">
        <w:rPr>
          <w:rFonts w:ascii="黑体" w:eastAsia="黑体" w:hAnsi="黑体" w:hint="eastAsia"/>
          <w:sz w:val="32"/>
          <w:szCs w:val="32"/>
        </w:rPr>
        <w:t>持续金融中心，强化绿色集约发展模式</w:t>
      </w:r>
    </w:p>
    <w:p w14:paraId="503D845F" w14:textId="18B95486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（六）鼓励各类型金融机构持续拓宽绿色业务。在绿色贷款、绿色保险、</w:t>
      </w:r>
      <w:r w:rsidR="00BC5589">
        <w:rPr>
          <w:rFonts w:ascii="仿宋_GB2312" w:eastAsia="仿宋_GB2312" w:hint="eastAsia"/>
          <w:sz w:val="32"/>
          <w:szCs w:val="32"/>
        </w:rPr>
        <w:t>绿色资管、</w:t>
      </w:r>
      <w:r w:rsidRPr="00A36B4D">
        <w:rPr>
          <w:rFonts w:ascii="仿宋_GB2312" w:eastAsia="仿宋_GB2312" w:hint="eastAsia"/>
          <w:sz w:val="32"/>
          <w:szCs w:val="32"/>
        </w:rPr>
        <w:t>绿色债券等金融业务领域年度新增达到一定规模的，最高支持500万元。</w:t>
      </w:r>
    </w:p>
    <w:p w14:paraId="630C08DA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（七）鼓励各类型金融机构、绿色金融研究机构和地方金融组织积极参与制定绿色金融标准、认定绿色项目库、开展国家核</w:t>
      </w:r>
      <w:r w:rsidRPr="00A36B4D">
        <w:rPr>
          <w:rFonts w:ascii="仿宋_GB2312" w:eastAsia="仿宋_GB2312" w:hint="eastAsia"/>
          <w:sz w:val="32"/>
          <w:szCs w:val="32"/>
        </w:rPr>
        <w:lastRenderedPageBreak/>
        <w:t>证自愿减排（CCER）等绿色交易，最高支持100万元。</w:t>
      </w:r>
    </w:p>
    <w:p w14:paraId="5FBC72F4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黑体" w:eastAsia="黑体" w:hAnsi="黑体" w:hint="eastAsia"/>
          <w:sz w:val="32"/>
          <w:szCs w:val="32"/>
        </w:rPr>
      </w:pPr>
      <w:r w:rsidRPr="00A36B4D">
        <w:rPr>
          <w:rFonts w:ascii="黑体" w:eastAsia="黑体" w:hAnsi="黑体" w:hint="eastAsia"/>
          <w:sz w:val="32"/>
          <w:szCs w:val="32"/>
        </w:rPr>
        <w:t>四、优化发展要素支持，构建卓越营商环境</w:t>
      </w:r>
    </w:p>
    <w:p w14:paraId="5B92D9B9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（八）</w:t>
      </w:r>
      <w:bookmarkStart w:id="5" w:name="OLE_LINK5"/>
      <w:r w:rsidRPr="00A36B4D">
        <w:rPr>
          <w:rFonts w:ascii="仿宋_GB2312" w:eastAsia="仿宋_GB2312" w:hint="eastAsia"/>
          <w:sz w:val="32"/>
          <w:szCs w:val="32"/>
        </w:rPr>
        <w:t>支持各类型金融企业联接副中心重大项目、重点领域。支持各类型金融产品、服务拓宽场景应用。支持各类型金融企业整合业务资源，促进行业集聚，通过企业联动或业务整合形成显著行业带动效应的，给予一定支持。鼓励企业在副中心举办金融交流活动、论坛，最高支持100万元。</w:t>
      </w:r>
    </w:p>
    <w:bookmarkEnd w:id="5"/>
    <w:p w14:paraId="2BB77B4E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（九）</w:t>
      </w:r>
      <w:bookmarkStart w:id="6" w:name="OLE_LINK6"/>
      <w:r w:rsidRPr="00A36B4D">
        <w:rPr>
          <w:rFonts w:ascii="仿宋_GB2312" w:eastAsia="仿宋_GB2312" w:hint="eastAsia"/>
          <w:sz w:val="32"/>
          <w:szCs w:val="32"/>
        </w:rPr>
        <w:t>支持高层次金融人才在副中心集聚发展。配合开展金融领域“运河英才计划”“青年后备人才”年度评选和服务，对高级金融管理人才、专业技术人才及核心业务骨干在</w:t>
      </w:r>
      <w:bookmarkStart w:id="7" w:name="OLE_LINK9"/>
      <w:r w:rsidRPr="00A36B4D">
        <w:rPr>
          <w:rFonts w:ascii="仿宋_GB2312" w:eastAsia="仿宋_GB2312" w:hint="eastAsia"/>
          <w:sz w:val="32"/>
          <w:szCs w:val="32"/>
        </w:rPr>
        <w:t>引进培育、人才评选、职住平衡、</w:t>
      </w:r>
      <w:bookmarkEnd w:id="7"/>
      <w:r w:rsidRPr="00A36B4D">
        <w:rPr>
          <w:rFonts w:ascii="仿宋_GB2312" w:eastAsia="仿宋_GB2312" w:hint="eastAsia"/>
          <w:sz w:val="32"/>
          <w:szCs w:val="32"/>
        </w:rPr>
        <w:t>发展支持等方面开展多维度服务。</w:t>
      </w:r>
      <w:bookmarkEnd w:id="6"/>
    </w:p>
    <w:p w14:paraId="390224CC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黑体" w:eastAsia="黑体" w:hAnsi="黑体" w:hint="eastAsia"/>
          <w:sz w:val="32"/>
          <w:szCs w:val="32"/>
        </w:rPr>
      </w:pPr>
      <w:r w:rsidRPr="00A36B4D">
        <w:rPr>
          <w:rFonts w:ascii="黑体" w:eastAsia="黑体" w:hAnsi="黑体" w:hint="eastAsia"/>
          <w:sz w:val="32"/>
          <w:szCs w:val="32"/>
        </w:rPr>
        <w:t>五、附则</w:t>
      </w:r>
    </w:p>
    <w:p w14:paraId="224A6833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（十）本细则适用于国务院、国家及北京市金融管理部门批准设立，符合城市副中心发展定位的金融类企业及金融研究机构。</w:t>
      </w:r>
    </w:p>
    <w:p w14:paraId="1B8C27F3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（十一）本细则各支持条款中企业同时符合市级政策条件的，支持同步申请。同时符合副中心其他同类型支持政策的,按照“择优不重复”原则开展支持。</w:t>
      </w:r>
    </w:p>
    <w:p w14:paraId="6AE54A53" w14:textId="77777777" w:rsidR="00A36B4D" w:rsidRPr="00A36B4D" w:rsidRDefault="00A36B4D" w:rsidP="00240066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A36B4D">
        <w:rPr>
          <w:rFonts w:ascii="仿宋_GB2312" w:eastAsia="仿宋_GB2312" w:hint="eastAsia"/>
          <w:sz w:val="32"/>
          <w:szCs w:val="32"/>
        </w:rPr>
        <w:t>（十二）本细则由通州区发展和改革委员会负责解释，自发布之日起实施，有效期三年。执行期间，法律、法规、规章另有规定或</w:t>
      </w:r>
      <w:proofErr w:type="gramStart"/>
      <w:r w:rsidRPr="00A36B4D">
        <w:rPr>
          <w:rFonts w:ascii="仿宋_GB2312" w:eastAsia="仿宋_GB2312" w:hint="eastAsia"/>
          <w:sz w:val="32"/>
          <w:szCs w:val="32"/>
        </w:rPr>
        <w:t>遇政策</w:t>
      </w:r>
      <w:proofErr w:type="gramEnd"/>
      <w:r w:rsidRPr="00A36B4D">
        <w:rPr>
          <w:rFonts w:ascii="仿宋_GB2312" w:eastAsia="仿宋_GB2312" w:hint="eastAsia"/>
          <w:sz w:val="32"/>
          <w:szCs w:val="32"/>
        </w:rPr>
        <w:t>调整的，从其规定。</w:t>
      </w:r>
    </w:p>
    <w:p w14:paraId="79909545" w14:textId="77777777" w:rsidR="00AD0E7C" w:rsidRPr="00A36B4D" w:rsidRDefault="00AD0E7C" w:rsidP="00A36B4D">
      <w:pPr>
        <w:adjustRightInd w:val="0"/>
        <w:snapToGrid w:val="0"/>
        <w:spacing w:after="0" w:line="56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</w:p>
    <w:sectPr w:rsidR="00AD0E7C" w:rsidRPr="00A36B4D" w:rsidSect="008C2E3D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B1EF" w14:textId="77777777" w:rsidR="00232C72" w:rsidRDefault="00232C72" w:rsidP="008C2E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7CF7760" w14:textId="77777777" w:rsidR="00232C72" w:rsidRDefault="00232C72" w:rsidP="008C2E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7819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4F96349" w14:textId="0967E8B9" w:rsidR="008C2E3D" w:rsidRPr="008C2E3D" w:rsidRDefault="008C2E3D">
        <w:pPr>
          <w:pStyle w:val="af0"/>
          <w:jc w:val="center"/>
          <w:rPr>
            <w:rFonts w:ascii="宋体" w:eastAsia="宋体" w:hAnsi="宋体" w:hint="eastAsia"/>
            <w:sz w:val="28"/>
            <w:szCs w:val="28"/>
          </w:rPr>
        </w:pPr>
        <w:r w:rsidRPr="008C2E3D">
          <w:rPr>
            <w:rFonts w:ascii="宋体" w:eastAsia="宋体" w:hAnsi="宋体"/>
            <w:sz w:val="28"/>
            <w:szCs w:val="28"/>
          </w:rPr>
          <w:fldChar w:fldCharType="begin"/>
        </w:r>
        <w:r w:rsidRPr="008C2E3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2E3D">
          <w:rPr>
            <w:rFonts w:ascii="宋体" w:eastAsia="宋体" w:hAnsi="宋体"/>
            <w:sz w:val="28"/>
            <w:szCs w:val="28"/>
          </w:rPr>
          <w:fldChar w:fldCharType="separate"/>
        </w:r>
        <w:r w:rsidRPr="008C2E3D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8C2E3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CE7ADA6" w14:textId="77777777" w:rsidR="008C2E3D" w:rsidRDefault="008C2E3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3329" w14:textId="77777777" w:rsidR="00232C72" w:rsidRDefault="00232C72" w:rsidP="008C2E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B8AA3D" w14:textId="77777777" w:rsidR="00232C72" w:rsidRDefault="00232C72" w:rsidP="008C2E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EA"/>
    <w:rsid w:val="00007257"/>
    <w:rsid w:val="0012607C"/>
    <w:rsid w:val="00232C72"/>
    <w:rsid w:val="00240066"/>
    <w:rsid w:val="00356435"/>
    <w:rsid w:val="0051053B"/>
    <w:rsid w:val="00774511"/>
    <w:rsid w:val="00842361"/>
    <w:rsid w:val="008C2E3D"/>
    <w:rsid w:val="00914168"/>
    <w:rsid w:val="00993CA4"/>
    <w:rsid w:val="00A03557"/>
    <w:rsid w:val="00A36B4D"/>
    <w:rsid w:val="00AD0E7C"/>
    <w:rsid w:val="00AD641B"/>
    <w:rsid w:val="00B76CAA"/>
    <w:rsid w:val="00BA43EA"/>
    <w:rsid w:val="00BC5589"/>
    <w:rsid w:val="00C650E7"/>
    <w:rsid w:val="00E655B4"/>
    <w:rsid w:val="00F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9905C"/>
  <w15:chartTrackingRefBased/>
  <w15:docId w15:val="{103C4B30-9E7C-4548-A620-3D66F763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3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3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3E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3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3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3E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3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3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3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43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2E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2E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2E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2E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wenwen gao</dc:creator>
  <cp:keywords/>
  <dc:description/>
  <cp:lastModifiedBy>wenwen gao</cp:lastModifiedBy>
  <cp:revision>10</cp:revision>
  <dcterms:created xsi:type="dcterms:W3CDTF">2026-04-03T03:00:00Z</dcterms:created>
  <dcterms:modified xsi:type="dcterms:W3CDTF">2026-04-03T06:40:00Z</dcterms:modified>
</cp:coreProperties>
</file>