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2F95" w14:textId="77777777" w:rsidR="00B85DED" w:rsidRDefault="00000000" w:rsidP="00B85DED">
      <w:pPr>
        <w:widowControl/>
        <w:snapToGrid w:val="0"/>
        <w:spacing w:after="0" w:line="560" w:lineRule="exact"/>
        <w:contextualSpacing/>
        <w:jc w:val="center"/>
        <w:rPr>
          <w:rFonts w:ascii="方正小标宋简体" w:eastAsia="方正小标宋简体" w:hAnsi="宋体" w:hint="eastAsia"/>
          <w:bCs/>
          <w:sz w:val="44"/>
          <w:szCs w:val="44"/>
        </w:rPr>
      </w:pPr>
      <w:r>
        <w:rPr>
          <w:rFonts w:ascii="方正小标宋简体" w:eastAsia="方正小标宋简体" w:hAnsi="宋体" w:hint="eastAsia"/>
          <w:bCs/>
          <w:sz w:val="44"/>
          <w:szCs w:val="44"/>
        </w:rPr>
        <w:t>关于北京城市副中心促进金融服务实体经济</w:t>
      </w:r>
    </w:p>
    <w:p w14:paraId="0F9DC199" w14:textId="38451F89" w:rsidR="0032586D" w:rsidRPr="00B85DED" w:rsidRDefault="00000000" w:rsidP="00B85DED">
      <w:pPr>
        <w:widowControl/>
        <w:snapToGrid w:val="0"/>
        <w:spacing w:after="0" w:line="560" w:lineRule="exact"/>
        <w:contextualSpacing/>
        <w:jc w:val="center"/>
        <w:rPr>
          <w:rFonts w:ascii="仿宋_GB2312" w:eastAsia="仿宋_GB2312" w:hint="eastAsia"/>
          <w:b/>
          <w:bCs/>
          <w:sz w:val="32"/>
          <w:szCs w:val="32"/>
        </w:rPr>
      </w:pPr>
      <w:r>
        <w:rPr>
          <w:rFonts w:ascii="方正小标宋简体" w:eastAsia="方正小标宋简体" w:hAnsi="宋体" w:hint="eastAsia"/>
          <w:bCs/>
          <w:sz w:val="44"/>
          <w:szCs w:val="44"/>
        </w:rPr>
        <w:t>的实施细则</w:t>
      </w:r>
      <w:r w:rsidR="00B85DED">
        <w:rPr>
          <w:rFonts w:ascii="方正小标宋简体" w:eastAsia="方正小标宋简体" w:hAnsi="宋体" w:hint="eastAsia"/>
          <w:bCs/>
          <w:sz w:val="44"/>
          <w:szCs w:val="44"/>
        </w:rPr>
        <w:t>（</w:t>
      </w:r>
      <w:r w:rsidRPr="00B85DED">
        <w:rPr>
          <w:rFonts w:ascii="方正小标宋简体" w:eastAsia="方正小标宋简体" w:hAnsi="宋体" w:hint="eastAsia"/>
          <w:bCs/>
          <w:sz w:val="44"/>
          <w:szCs w:val="44"/>
        </w:rPr>
        <w:t>修订</w:t>
      </w:r>
      <w:r w:rsidR="00BF7536">
        <w:rPr>
          <w:rFonts w:ascii="方正小标宋简体" w:eastAsia="方正小标宋简体" w:hAnsi="宋体" w:hint="eastAsia"/>
          <w:bCs/>
          <w:sz w:val="44"/>
          <w:szCs w:val="44"/>
        </w:rPr>
        <w:t>稿</w:t>
      </w:r>
      <w:r w:rsidR="00B85DED" w:rsidRPr="00B85DED">
        <w:rPr>
          <w:rFonts w:ascii="方正小标宋简体" w:eastAsia="方正小标宋简体" w:hAnsi="宋体" w:hint="eastAsia"/>
          <w:bCs/>
          <w:sz w:val="44"/>
          <w:szCs w:val="44"/>
        </w:rPr>
        <w:t>）</w:t>
      </w:r>
    </w:p>
    <w:p w14:paraId="3218BEA9" w14:textId="77777777" w:rsidR="0032586D" w:rsidRDefault="0032586D" w:rsidP="00692D80">
      <w:pPr>
        <w:pStyle w:val="a3"/>
        <w:snapToGrid w:val="0"/>
        <w:spacing w:after="0" w:line="560" w:lineRule="exact"/>
        <w:ind w:firstLine="640"/>
        <w:contextualSpacing/>
        <w:rPr>
          <w:rFonts w:ascii="仿宋_GB2312" w:eastAsia="仿宋_GB2312"/>
          <w:sz w:val="32"/>
          <w:szCs w:val="32"/>
        </w:rPr>
      </w:pPr>
    </w:p>
    <w:p w14:paraId="69A45CAA" w14:textId="762C7237" w:rsidR="00351CD7" w:rsidRDefault="00351CD7" w:rsidP="00692D80">
      <w:pPr>
        <w:pStyle w:val="a3"/>
        <w:snapToGrid w:val="0"/>
        <w:spacing w:after="0" w:line="560" w:lineRule="exact"/>
        <w:ind w:firstLine="640"/>
        <w:contextualSpacing/>
        <w:rPr>
          <w:rFonts w:ascii="仿宋_GB2312" w:eastAsia="仿宋_GB2312"/>
          <w:sz w:val="32"/>
          <w:szCs w:val="32"/>
        </w:rPr>
      </w:pPr>
      <w:r w:rsidRPr="00351CD7">
        <w:rPr>
          <w:rFonts w:ascii="仿宋_GB2312" w:eastAsia="仿宋_GB2312" w:hint="eastAsia"/>
          <w:sz w:val="32"/>
          <w:szCs w:val="32"/>
        </w:rPr>
        <w:t>为深入做好金融</w:t>
      </w:r>
      <w:r w:rsidR="006B2C6C">
        <w:rPr>
          <w:rFonts w:ascii="仿宋_GB2312" w:eastAsia="仿宋_GB2312" w:hint="eastAsia"/>
          <w:sz w:val="32"/>
          <w:szCs w:val="32"/>
        </w:rPr>
        <w:t>“</w:t>
      </w:r>
      <w:r w:rsidRPr="00351CD7">
        <w:rPr>
          <w:rFonts w:ascii="仿宋_GB2312" w:eastAsia="仿宋_GB2312" w:hint="eastAsia"/>
          <w:sz w:val="32"/>
          <w:szCs w:val="32"/>
        </w:rPr>
        <w:t>五篇大文章</w:t>
      </w:r>
      <w:r w:rsidR="006B2C6C">
        <w:rPr>
          <w:rFonts w:ascii="仿宋_GB2312" w:eastAsia="仿宋_GB2312" w:hint="eastAsia"/>
          <w:sz w:val="32"/>
          <w:szCs w:val="32"/>
        </w:rPr>
        <w:t>”</w:t>
      </w:r>
      <w:r w:rsidRPr="00351CD7">
        <w:rPr>
          <w:rFonts w:ascii="仿宋_GB2312" w:eastAsia="仿宋_GB2312" w:hint="eastAsia"/>
          <w:sz w:val="32"/>
          <w:szCs w:val="32"/>
        </w:rPr>
        <w:t>，筑牢金融资金要素保障，持续提升金融服务实体经济质效，推动</w:t>
      </w:r>
      <w:r w:rsidR="006B2C6C">
        <w:rPr>
          <w:rFonts w:ascii="仿宋_GB2312" w:eastAsia="仿宋_GB2312" w:hint="eastAsia"/>
          <w:sz w:val="32"/>
          <w:szCs w:val="32"/>
        </w:rPr>
        <w:t>副中心</w:t>
      </w:r>
      <w:r w:rsidRPr="00351CD7">
        <w:rPr>
          <w:rFonts w:ascii="仿宋_GB2312" w:eastAsia="仿宋_GB2312" w:hint="eastAsia"/>
          <w:sz w:val="32"/>
          <w:szCs w:val="32"/>
        </w:rPr>
        <w:t>实体经济高质量发展，特制定本细则。</w:t>
      </w:r>
    </w:p>
    <w:p w14:paraId="79F728C6" w14:textId="77777777" w:rsidR="0032586D" w:rsidRDefault="00000000" w:rsidP="00692D80">
      <w:pPr>
        <w:snapToGrid w:val="0"/>
        <w:spacing w:after="0" w:line="560" w:lineRule="exact"/>
        <w:ind w:leftChars="100" w:left="220" w:firstLineChars="200" w:firstLine="640"/>
        <w:contextualSpacing/>
        <w:rPr>
          <w:rFonts w:ascii="黑体" w:eastAsia="黑体" w:hAnsi="黑体" w:hint="eastAsia"/>
          <w:sz w:val="32"/>
          <w:szCs w:val="32"/>
        </w:rPr>
      </w:pPr>
      <w:r>
        <w:rPr>
          <w:rFonts w:ascii="黑体" w:eastAsia="黑体" w:hAnsi="黑体" w:hint="eastAsia"/>
          <w:sz w:val="32"/>
          <w:szCs w:val="32"/>
        </w:rPr>
        <w:t>一、强化科技、普惠、重点领域金融服务</w:t>
      </w:r>
    </w:p>
    <w:p w14:paraId="18844DE8" w14:textId="515C5A52" w:rsidR="0032586D" w:rsidRDefault="00000000" w:rsidP="00692D80">
      <w:pPr>
        <w:snapToGrid w:val="0"/>
        <w:spacing w:after="0"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（一）鼓励金融机构扩大科技金融服务。对面向</w:t>
      </w:r>
      <w:r w:rsidR="003F10FE" w:rsidRPr="003F10FE">
        <w:rPr>
          <w:rFonts w:ascii="仿宋_GB2312" w:eastAsia="仿宋_GB2312" w:hint="eastAsia"/>
          <w:sz w:val="32"/>
          <w:szCs w:val="32"/>
        </w:rPr>
        <w:t>科技和创新型中小企业</w:t>
      </w:r>
      <w:r w:rsidR="003F10FE">
        <w:rPr>
          <w:rFonts w:ascii="仿宋_GB2312" w:eastAsia="仿宋_GB2312" w:hint="eastAsia"/>
          <w:sz w:val="32"/>
          <w:szCs w:val="32"/>
        </w:rPr>
        <w:t>、</w:t>
      </w:r>
      <w:r>
        <w:rPr>
          <w:rFonts w:ascii="仿宋_GB2312" w:eastAsia="仿宋_GB2312" w:hint="eastAsia"/>
          <w:sz w:val="32"/>
          <w:szCs w:val="32"/>
        </w:rPr>
        <w:t>专精特新企业、高新技术企业开展科技信贷、科技保险业务的金融机构，最高支持100万元。</w:t>
      </w:r>
    </w:p>
    <w:p w14:paraId="26AD830B" w14:textId="77777777" w:rsidR="0032586D" w:rsidRDefault="00000000" w:rsidP="00692D80">
      <w:pPr>
        <w:pStyle w:val="a3"/>
        <w:snapToGrid w:val="0"/>
        <w:spacing w:after="0" w:line="560" w:lineRule="exact"/>
        <w:ind w:firstLine="640"/>
        <w:contextualSpacing/>
        <w:rPr>
          <w:rFonts w:ascii="仿宋_GB2312" w:eastAsia="仿宋_GB2312"/>
          <w:sz w:val="32"/>
          <w:szCs w:val="32"/>
        </w:rPr>
      </w:pPr>
      <w:r>
        <w:rPr>
          <w:rFonts w:ascii="仿宋_GB2312" w:eastAsia="仿宋_GB2312" w:hint="eastAsia"/>
          <w:sz w:val="32"/>
          <w:szCs w:val="32"/>
        </w:rPr>
        <w:t>（二）鼓励金融机构强化普惠金融服务。对面向小微企业发放贷款或开展融资担保业务的金融机构，最高支持100万元。</w:t>
      </w:r>
    </w:p>
    <w:p w14:paraId="720F95C6" w14:textId="028DBF90" w:rsidR="0032586D" w:rsidRDefault="00000000" w:rsidP="00692D80">
      <w:pPr>
        <w:pStyle w:val="a3"/>
        <w:snapToGrid w:val="0"/>
        <w:spacing w:after="0" w:line="560" w:lineRule="exact"/>
        <w:ind w:firstLine="640"/>
        <w:contextualSpacing/>
        <w:rPr>
          <w:rFonts w:ascii="仿宋_GB2312" w:eastAsia="仿宋_GB2312"/>
          <w:color w:val="auto"/>
          <w:sz w:val="32"/>
          <w:szCs w:val="32"/>
        </w:rPr>
      </w:pPr>
      <w:r>
        <w:rPr>
          <w:rFonts w:ascii="仿宋_GB2312" w:eastAsia="仿宋_GB2312" w:hint="eastAsia"/>
          <w:sz w:val="32"/>
          <w:szCs w:val="32"/>
        </w:rPr>
        <w:t>（三）鼓励金融机构加大重点领域金融支持力度。对面向实体经济重点领域或固定资产投资重大项目发放贷款的，最高支持</w:t>
      </w:r>
      <w:r w:rsidR="00E43ECE">
        <w:rPr>
          <w:rFonts w:ascii="仿宋_GB2312" w:eastAsia="仿宋_GB2312" w:hint="eastAsia"/>
          <w:sz w:val="32"/>
          <w:szCs w:val="32"/>
        </w:rPr>
        <w:t>2</w:t>
      </w:r>
      <w:r>
        <w:rPr>
          <w:rFonts w:ascii="仿宋_GB2312" w:eastAsia="仿宋_GB2312" w:hAnsi="仿宋_GB2312" w:cs="仿宋_GB2312" w:hint="eastAsia"/>
          <w:color w:val="auto"/>
          <w:sz w:val="32"/>
          <w:szCs w:val="32"/>
        </w:rPr>
        <w:t>00万元。</w:t>
      </w:r>
    </w:p>
    <w:p w14:paraId="5AF1D107" w14:textId="12FAAFE3" w:rsidR="0032586D" w:rsidRDefault="00000000" w:rsidP="00A04F60">
      <w:pPr>
        <w:snapToGrid w:val="0"/>
        <w:spacing w:after="0" w:line="560" w:lineRule="exact"/>
        <w:ind w:firstLineChars="200" w:firstLine="640"/>
        <w:contextualSpacing/>
        <w:jc w:val="both"/>
        <w:rPr>
          <w:rFonts w:ascii="仿宋_GB2312" w:eastAsia="仿宋_GB2312" w:hint="eastAsia"/>
          <w:b/>
          <w:bCs/>
          <w:sz w:val="32"/>
          <w:szCs w:val="32"/>
        </w:rPr>
      </w:pPr>
      <w:r>
        <w:rPr>
          <w:rFonts w:ascii="黑体" w:eastAsia="黑体" w:hAnsi="黑体" w:hint="eastAsia"/>
          <w:sz w:val="32"/>
          <w:szCs w:val="32"/>
        </w:rPr>
        <w:t>二、</w:t>
      </w:r>
      <w:bookmarkStart w:id="0" w:name="OLE_LINK3"/>
      <w:r w:rsidR="00A32F6B">
        <w:rPr>
          <w:rFonts w:ascii="黑体" w:eastAsia="黑体" w:hAnsi="黑体" w:hint="eastAsia"/>
          <w:sz w:val="32"/>
          <w:szCs w:val="32"/>
        </w:rPr>
        <w:t>着力</w:t>
      </w:r>
      <w:r>
        <w:rPr>
          <w:rFonts w:ascii="黑体" w:eastAsia="黑体" w:hAnsi="黑体" w:hint="eastAsia"/>
          <w:sz w:val="32"/>
          <w:szCs w:val="32"/>
        </w:rPr>
        <w:t>降低</w:t>
      </w:r>
      <w:r w:rsidR="00A32F6B">
        <w:rPr>
          <w:rFonts w:ascii="黑体" w:eastAsia="黑体" w:hAnsi="黑体" w:hint="eastAsia"/>
          <w:sz w:val="32"/>
          <w:szCs w:val="32"/>
        </w:rPr>
        <w:t>实体经济综合</w:t>
      </w:r>
      <w:r>
        <w:rPr>
          <w:rFonts w:ascii="黑体" w:eastAsia="黑体" w:hAnsi="黑体" w:hint="eastAsia"/>
          <w:sz w:val="32"/>
          <w:szCs w:val="32"/>
        </w:rPr>
        <w:t>融资成本</w:t>
      </w:r>
      <w:bookmarkEnd w:id="0"/>
    </w:p>
    <w:p w14:paraId="7762FB80" w14:textId="27E29734" w:rsidR="0032586D" w:rsidRDefault="00000000" w:rsidP="00692D80">
      <w:pPr>
        <w:snapToGrid w:val="0"/>
        <w:spacing w:after="0"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（四）降低企业信贷融资成本。对符合条件的企业首笔贷款、小微企业贷款、绿色贷款、科技贷款、中长期贷款及气候投融资项目库贷款，按照不超过贷款金额1.5%的比例，最高贴息200万元。</w:t>
      </w:r>
    </w:p>
    <w:p w14:paraId="51F79108" w14:textId="1C4F4EEF" w:rsidR="0032586D" w:rsidRDefault="00000000" w:rsidP="00A04F60">
      <w:pPr>
        <w:snapToGrid w:val="0"/>
        <w:spacing w:after="0" w:line="560" w:lineRule="exact"/>
        <w:ind w:firstLineChars="200" w:firstLine="640"/>
        <w:contextualSpacing/>
        <w:jc w:val="both"/>
        <w:rPr>
          <w:rFonts w:ascii="仿宋_GB2312" w:eastAsia="仿宋_GB2312" w:hint="eastAsia"/>
        </w:rPr>
      </w:pPr>
      <w:r>
        <w:rPr>
          <w:rFonts w:ascii="仿宋_GB2312" w:eastAsia="仿宋_GB2312" w:hint="eastAsia"/>
          <w:sz w:val="32"/>
          <w:szCs w:val="32"/>
        </w:rPr>
        <w:t>（五）降低企业科技保险投保成本。对符合条件的科创企业科技保险及商业共保体项目按照实际保费支出的</w:t>
      </w:r>
      <w:r w:rsidR="003646BD">
        <w:rPr>
          <w:rFonts w:ascii="仿宋_GB2312" w:eastAsia="仿宋_GB2312" w:hint="eastAsia"/>
          <w:sz w:val="32"/>
          <w:szCs w:val="32"/>
        </w:rPr>
        <w:t>50</w:t>
      </w:r>
      <w:r>
        <w:rPr>
          <w:rFonts w:ascii="仿宋_GB2312" w:eastAsia="仿宋_GB2312" w:hint="eastAsia"/>
          <w:sz w:val="32"/>
          <w:szCs w:val="32"/>
        </w:rPr>
        <w:t>%给予投保企</w:t>
      </w:r>
      <w:r>
        <w:rPr>
          <w:rFonts w:ascii="仿宋_GB2312" w:eastAsia="仿宋_GB2312" w:hint="eastAsia"/>
          <w:sz w:val="32"/>
          <w:szCs w:val="32"/>
        </w:rPr>
        <w:lastRenderedPageBreak/>
        <w:t>业保费补贴</w:t>
      </w:r>
      <w:r w:rsidR="00F34C2E">
        <w:rPr>
          <w:rFonts w:ascii="仿宋_GB2312" w:eastAsia="仿宋_GB2312" w:hint="eastAsia"/>
          <w:sz w:val="32"/>
          <w:szCs w:val="32"/>
        </w:rPr>
        <w:t>，</w:t>
      </w:r>
      <w:r w:rsidR="003646BD">
        <w:rPr>
          <w:rFonts w:ascii="仿宋_GB2312" w:eastAsia="仿宋_GB2312" w:hint="eastAsia"/>
          <w:sz w:val="32"/>
          <w:szCs w:val="32"/>
        </w:rPr>
        <w:t>单家企业年度</w:t>
      </w:r>
      <w:r>
        <w:rPr>
          <w:rFonts w:ascii="仿宋_GB2312" w:eastAsia="仿宋_GB2312" w:hint="eastAsia"/>
          <w:sz w:val="32"/>
          <w:szCs w:val="32"/>
        </w:rPr>
        <w:t xml:space="preserve">最高补贴200万元。 </w:t>
      </w:r>
    </w:p>
    <w:p w14:paraId="2183D073" w14:textId="2993F128" w:rsidR="0032586D" w:rsidRDefault="00000000" w:rsidP="00692D80">
      <w:pPr>
        <w:pStyle w:val="a3"/>
        <w:snapToGrid w:val="0"/>
        <w:spacing w:after="0" w:line="560" w:lineRule="exact"/>
        <w:ind w:firstLine="640"/>
        <w:contextualSpacing/>
        <w:rPr>
          <w:rFonts w:ascii="黑体" w:eastAsia="黑体" w:hAnsi="黑体" w:hint="eastAsia"/>
          <w:sz w:val="32"/>
          <w:szCs w:val="32"/>
        </w:rPr>
      </w:pPr>
      <w:r>
        <w:rPr>
          <w:rFonts w:ascii="黑体" w:eastAsia="黑体" w:hAnsi="黑体" w:hint="eastAsia"/>
          <w:sz w:val="32"/>
          <w:szCs w:val="32"/>
        </w:rPr>
        <w:t>三、</w:t>
      </w:r>
      <w:r w:rsidR="00CA4331">
        <w:rPr>
          <w:rFonts w:ascii="黑体" w:eastAsia="黑体" w:hAnsi="黑体" w:hint="eastAsia"/>
          <w:sz w:val="32"/>
          <w:szCs w:val="32"/>
        </w:rPr>
        <w:t>促进</w:t>
      </w:r>
      <w:r>
        <w:rPr>
          <w:rFonts w:ascii="黑体" w:eastAsia="黑体" w:hAnsi="黑体" w:hint="eastAsia"/>
          <w:sz w:val="32"/>
          <w:szCs w:val="32"/>
        </w:rPr>
        <w:t>产业资本深度融合</w:t>
      </w:r>
    </w:p>
    <w:p w14:paraId="5459B570" w14:textId="6BE31F40" w:rsidR="0032586D" w:rsidRPr="00692D80" w:rsidRDefault="00000000" w:rsidP="00692D80">
      <w:pPr>
        <w:snapToGrid w:val="0"/>
        <w:spacing w:after="0" w:line="560" w:lineRule="exact"/>
        <w:ind w:firstLineChars="200" w:firstLine="640"/>
        <w:contextualSpacing/>
        <w:jc w:val="both"/>
        <w:rPr>
          <w:rFonts w:ascii="仿宋_GB2312" w:eastAsia="仿宋_GB2312" w:hint="eastAsia"/>
        </w:rPr>
      </w:pPr>
      <w:r w:rsidRPr="00F34C2E">
        <w:rPr>
          <w:rFonts w:ascii="仿宋_GB2312" w:eastAsia="仿宋_GB2312" w:hint="eastAsia"/>
          <w:sz w:val="32"/>
          <w:szCs w:val="32"/>
        </w:rPr>
        <w:t>（六）支持壮大耐心资本。鼓励银行等金融机构积极探索开展股权投资试点创新业务，支持私募基金行业发展，加速企业股权融资。</w:t>
      </w:r>
      <w:bookmarkStart w:id="1" w:name="OLE_LINK8"/>
      <w:r w:rsidRPr="00692D80">
        <w:rPr>
          <w:rFonts w:ascii="仿宋_GB2312" w:eastAsia="仿宋_GB2312" w:hAnsi="Times New Roman" w:cs="Times New Roman" w:hint="eastAsia"/>
          <w:kern w:val="0"/>
          <w:sz w:val="32"/>
          <w:szCs w:val="32"/>
          <w:u w:color="000000"/>
          <w14:ligatures w14:val="none"/>
        </w:rPr>
        <w:t>对在中国证券投资基金业协会完成登记备案</w:t>
      </w:r>
      <w:bookmarkEnd w:id="1"/>
      <w:r w:rsidRPr="00692D80">
        <w:rPr>
          <w:rFonts w:ascii="仿宋_GB2312" w:eastAsia="仿宋_GB2312" w:hAnsi="Times New Roman" w:cs="Times New Roman" w:hint="eastAsia"/>
          <w:kern w:val="0"/>
          <w:sz w:val="32"/>
          <w:szCs w:val="32"/>
          <w:u w:color="000000"/>
          <w14:ligatures w14:val="none"/>
        </w:rPr>
        <w:t>的私募基金管理人，根据其副中心在管私募基金对外实际投资规模（除去市区财政投资部分），</w:t>
      </w:r>
      <w:r w:rsidRPr="00F34C2E">
        <w:rPr>
          <w:rFonts w:ascii="仿宋_GB2312" w:eastAsia="仿宋_GB2312" w:hint="eastAsia"/>
          <w:sz w:val="32"/>
          <w:szCs w:val="32"/>
        </w:rPr>
        <w:t>最高</w:t>
      </w:r>
      <w:r w:rsidRPr="00692D80">
        <w:rPr>
          <w:rFonts w:ascii="仿宋_GB2312" w:eastAsia="仿宋_GB2312" w:hAnsi="Times New Roman" w:cs="Times New Roman" w:hint="eastAsia"/>
          <w:kern w:val="0"/>
          <w:sz w:val="32"/>
          <w:szCs w:val="32"/>
          <w:u w:color="000000"/>
          <w14:ligatures w14:val="none"/>
        </w:rPr>
        <w:t>支持500万元。根据其近3年内投向副中心重点领域非上市公司的累计实际投资规模（除去市区财政投资部分）</w:t>
      </w:r>
      <w:r w:rsidRPr="00F34C2E">
        <w:rPr>
          <w:rFonts w:ascii="仿宋_GB2312" w:eastAsia="仿宋_GB2312" w:hint="eastAsia"/>
          <w:sz w:val="32"/>
          <w:szCs w:val="32"/>
        </w:rPr>
        <w:t>或</w:t>
      </w:r>
      <w:r w:rsidRPr="00692D80">
        <w:rPr>
          <w:rFonts w:ascii="仿宋_GB2312" w:eastAsia="仿宋_GB2312" w:hAnsi="Times New Roman" w:cs="Times New Roman" w:hint="eastAsia"/>
          <w:kern w:val="0"/>
          <w:sz w:val="32"/>
          <w:szCs w:val="32"/>
          <w:u w:color="000000"/>
          <w14:ligatures w14:val="none"/>
        </w:rPr>
        <w:t>实现退出收益规模，最高支持2000万元。</w:t>
      </w:r>
      <w:r w:rsidR="001D1441" w:rsidRPr="00692D80">
        <w:rPr>
          <w:rFonts w:ascii="仿宋_GB2312" w:eastAsia="仿宋_GB2312" w:hAnsi="Times New Roman" w:cs="Times New Roman" w:hint="eastAsia"/>
          <w:kern w:val="0"/>
          <w:sz w:val="32"/>
          <w:szCs w:val="32"/>
          <w:u w:color="000000"/>
          <w14:ligatures w14:val="none"/>
        </w:rPr>
        <w:t>根据其</w:t>
      </w:r>
      <w:r w:rsidR="001D1441" w:rsidRPr="00F34C2E">
        <w:rPr>
          <w:rFonts w:ascii="仿宋_GB2312" w:eastAsia="仿宋_GB2312" w:hAnsi="仿宋_GB2312" w:cs="仿宋_GB2312" w:hint="eastAsia"/>
          <w:sz w:val="32"/>
          <w:szCs w:val="32"/>
        </w:rPr>
        <w:t>投向气候投融资项目库</w:t>
      </w:r>
      <w:r w:rsidR="001D1441" w:rsidRPr="00F34C2E">
        <w:rPr>
          <w:rFonts w:ascii="仿宋_GB2312" w:eastAsia="仿宋_GB2312" w:hint="eastAsia"/>
          <w:sz w:val="32"/>
          <w:szCs w:val="32"/>
        </w:rPr>
        <w:t>年度新增投资额，最高支持1000万元。</w:t>
      </w:r>
    </w:p>
    <w:p w14:paraId="10925F7C" w14:textId="62BEBFCD" w:rsidR="0032586D" w:rsidRDefault="00000000" w:rsidP="00692D80">
      <w:pPr>
        <w:snapToGrid w:val="0"/>
        <w:spacing w:after="0"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（七）</w:t>
      </w:r>
      <w:r w:rsidR="00CA4331" w:rsidRPr="00CA4331">
        <w:rPr>
          <w:rFonts w:ascii="仿宋_GB2312" w:eastAsia="仿宋_GB2312" w:hint="eastAsia"/>
          <w:sz w:val="32"/>
          <w:szCs w:val="32"/>
        </w:rPr>
        <w:t>支持创业投资做大做强</w:t>
      </w:r>
      <w:r w:rsidR="00CA4331">
        <w:rPr>
          <w:rFonts w:ascii="仿宋_GB2312" w:eastAsia="仿宋_GB2312" w:hint="eastAsia"/>
          <w:sz w:val="32"/>
          <w:szCs w:val="32"/>
        </w:rPr>
        <w:t>。</w:t>
      </w:r>
      <w:r w:rsidR="00973188" w:rsidRPr="00973188">
        <w:rPr>
          <w:rFonts w:ascii="仿宋_GB2312" w:eastAsia="仿宋_GB2312" w:hint="eastAsia"/>
          <w:sz w:val="32"/>
          <w:szCs w:val="32"/>
        </w:rPr>
        <w:t>对在中国证券投资基金业协会完成登记备案</w:t>
      </w:r>
      <w:bookmarkStart w:id="2" w:name="OLE_LINK4"/>
      <w:r>
        <w:rPr>
          <w:rFonts w:ascii="仿宋_GB2312" w:eastAsia="仿宋_GB2312" w:hint="eastAsia"/>
          <w:sz w:val="32"/>
          <w:szCs w:val="32"/>
        </w:rPr>
        <w:t>的</w:t>
      </w:r>
      <w:r w:rsidR="00203CCE">
        <w:rPr>
          <w:rFonts w:ascii="仿宋_GB2312" w:eastAsia="仿宋_GB2312" w:hint="eastAsia"/>
          <w:sz w:val="32"/>
          <w:szCs w:val="32"/>
        </w:rPr>
        <w:t>公司制</w:t>
      </w:r>
      <w:r>
        <w:rPr>
          <w:rFonts w:ascii="仿宋_GB2312" w:eastAsia="仿宋_GB2312" w:hint="eastAsia"/>
          <w:sz w:val="32"/>
          <w:szCs w:val="32"/>
        </w:rPr>
        <w:t>创业投资企业</w:t>
      </w:r>
      <w:bookmarkEnd w:id="2"/>
      <w:r>
        <w:rPr>
          <w:rFonts w:ascii="仿宋_GB2312" w:eastAsia="仿宋_GB2312" w:hint="eastAsia"/>
          <w:sz w:val="32"/>
          <w:szCs w:val="32"/>
        </w:rPr>
        <w:t>，</w:t>
      </w:r>
      <w:r w:rsidR="00203CCE">
        <w:rPr>
          <w:rFonts w:ascii="仿宋_GB2312" w:eastAsia="仿宋_GB2312" w:hint="eastAsia"/>
          <w:sz w:val="32"/>
          <w:szCs w:val="32"/>
        </w:rPr>
        <w:t>依据</w:t>
      </w:r>
      <w:r>
        <w:rPr>
          <w:rFonts w:ascii="仿宋_GB2312" w:eastAsia="仿宋_GB2312" w:hint="eastAsia"/>
          <w:sz w:val="32"/>
          <w:szCs w:val="32"/>
        </w:rPr>
        <w:t>近3年对副中心重点领域非上市公司的累计实际投资规模，最高支持500万元。</w:t>
      </w:r>
    </w:p>
    <w:p w14:paraId="0E1E06C7" w14:textId="3FCA20EC" w:rsidR="0032586D" w:rsidRDefault="001D1441" w:rsidP="00692D80">
      <w:pPr>
        <w:snapToGrid w:val="0"/>
        <w:spacing w:after="0" w:line="560" w:lineRule="exact"/>
        <w:contextualSpacing/>
        <w:rPr>
          <w:rFonts w:ascii="黑体" w:eastAsia="黑体" w:hAnsi="黑体" w:hint="eastAsia"/>
          <w:sz w:val="32"/>
          <w:szCs w:val="32"/>
        </w:rPr>
      </w:pPr>
      <w:r>
        <w:rPr>
          <w:rFonts w:ascii="仿宋_GB2312" w:eastAsia="仿宋_GB2312" w:hAnsi="仿宋_GB2312" w:cs="仿宋_GB2312" w:hint="eastAsia"/>
          <w:sz w:val="32"/>
          <w:szCs w:val="32"/>
        </w:rPr>
        <w:t xml:space="preserve">    </w:t>
      </w:r>
      <w:r>
        <w:rPr>
          <w:rFonts w:ascii="黑体" w:eastAsia="黑体" w:hAnsi="黑体" w:hint="eastAsia"/>
          <w:sz w:val="32"/>
          <w:szCs w:val="32"/>
        </w:rPr>
        <w:t>四、附则</w:t>
      </w:r>
    </w:p>
    <w:p w14:paraId="30F6BA4A" w14:textId="485DD8EC" w:rsidR="0032586D" w:rsidRDefault="00000000" w:rsidP="004B3A8F">
      <w:pPr>
        <w:snapToGrid w:val="0"/>
        <w:spacing w:after="0" w:line="560" w:lineRule="exact"/>
        <w:ind w:firstLineChars="200" w:firstLine="640"/>
        <w:contextualSpacing/>
        <w:jc w:val="both"/>
        <w:rPr>
          <w:rFonts w:ascii="仿宋_GB2312" w:eastAsia="仿宋_GB2312" w:hAnsi="仿宋_GB2312" w:cs="仿宋_GB2312" w:hint="eastAsia"/>
          <w:sz w:val="32"/>
          <w:szCs w:val="32"/>
        </w:rPr>
      </w:pPr>
      <w:r>
        <w:rPr>
          <w:rFonts w:ascii="仿宋_GB2312" w:eastAsia="仿宋_GB2312" w:hint="eastAsia"/>
          <w:sz w:val="32"/>
          <w:szCs w:val="32"/>
        </w:rPr>
        <w:t>（</w:t>
      </w:r>
      <w:r w:rsidR="001D1441">
        <w:rPr>
          <w:rFonts w:ascii="仿宋_GB2312" w:eastAsia="仿宋_GB2312" w:hint="eastAsia"/>
          <w:sz w:val="32"/>
          <w:szCs w:val="32"/>
        </w:rPr>
        <w:t>八</w:t>
      </w:r>
      <w:r>
        <w:rPr>
          <w:rFonts w:ascii="仿宋_GB2312" w:eastAsia="仿宋_GB2312" w:hint="eastAsia"/>
          <w:sz w:val="32"/>
          <w:szCs w:val="32"/>
        </w:rPr>
        <w:t>）本细则各支持条款中企业同时符合市级政策条件的，支持同步申请。同时符合副中心其他同类型支持政策的,按照“择优不重复”原则开展支持。</w:t>
      </w:r>
    </w:p>
    <w:p w14:paraId="045572FE" w14:textId="664AC852" w:rsidR="0032586D" w:rsidRDefault="00000000" w:rsidP="004B3A8F">
      <w:pPr>
        <w:pStyle w:val="a3"/>
        <w:snapToGrid w:val="0"/>
        <w:spacing w:after="0" w:line="560" w:lineRule="exact"/>
        <w:ind w:firstLine="640"/>
        <w:contextualSpacing/>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001D1441">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）本细则由通州区发展和改革委员会负责解释，自发布之日起实施，有效期五年。执行期间，法律、法规、规章另有规定或遇政策调整的，从其规定。</w:t>
      </w:r>
    </w:p>
    <w:sectPr w:rsidR="0032586D" w:rsidSect="00A04F60">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37995" w14:textId="77777777" w:rsidR="008C46EB" w:rsidRDefault="008C46EB">
      <w:pPr>
        <w:spacing w:line="240" w:lineRule="auto"/>
        <w:rPr>
          <w:rFonts w:hint="eastAsia"/>
        </w:rPr>
      </w:pPr>
      <w:r>
        <w:separator/>
      </w:r>
    </w:p>
  </w:endnote>
  <w:endnote w:type="continuationSeparator" w:id="0">
    <w:p w14:paraId="2755420E" w14:textId="77777777" w:rsidR="008C46EB" w:rsidRDefault="008C46E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301313"/>
      <w:docPartObj>
        <w:docPartGallery w:val="Page Numbers (Bottom of Page)"/>
        <w:docPartUnique/>
      </w:docPartObj>
    </w:sdtPr>
    <w:sdtEndPr>
      <w:rPr>
        <w:rFonts w:ascii="宋体" w:eastAsia="宋体" w:hAnsi="宋体"/>
        <w:sz w:val="28"/>
        <w:szCs w:val="28"/>
      </w:rPr>
    </w:sdtEndPr>
    <w:sdtContent>
      <w:p w14:paraId="41FEFE79" w14:textId="21F45199" w:rsidR="00A04F60" w:rsidRPr="00A04F60" w:rsidRDefault="00A04F60">
        <w:pPr>
          <w:pStyle w:val="a6"/>
          <w:jc w:val="center"/>
          <w:rPr>
            <w:rFonts w:ascii="宋体" w:eastAsia="宋体" w:hAnsi="宋体" w:hint="eastAsia"/>
            <w:sz w:val="28"/>
            <w:szCs w:val="28"/>
          </w:rPr>
        </w:pPr>
        <w:r w:rsidRPr="00A04F60">
          <w:rPr>
            <w:rFonts w:ascii="宋体" w:eastAsia="宋体" w:hAnsi="宋体"/>
            <w:sz w:val="28"/>
            <w:szCs w:val="28"/>
          </w:rPr>
          <w:fldChar w:fldCharType="begin"/>
        </w:r>
        <w:r w:rsidRPr="00A04F60">
          <w:rPr>
            <w:rFonts w:ascii="宋体" w:eastAsia="宋体" w:hAnsi="宋体"/>
            <w:sz w:val="28"/>
            <w:szCs w:val="28"/>
          </w:rPr>
          <w:instrText>PAGE   \* MERGEFORMAT</w:instrText>
        </w:r>
        <w:r w:rsidRPr="00A04F60">
          <w:rPr>
            <w:rFonts w:ascii="宋体" w:eastAsia="宋体" w:hAnsi="宋体"/>
            <w:sz w:val="28"/>
            <w:szCs w:val="28"/>
          </w:rPr>
          <w:fldChar w:fldCharType="separate"/>
        </w:r>
        <w:r w:rsidRPr="00A04F60">
          <w:rPr>
            <w:rFonts w:ascii="宋体" w:eastAsia="宋体" w:hAnsi="宋体"/>
            <w:sz w:val="28"/>
            <w:szCs w:val="28"/>
            <w:lang w:val="zh-CN"/>
          </w:rPr>
          <w:t>2</w:t>
        </w:r>
        <w:r w:rsidRPr="00A04F60">
          <w:rPr>
            <w:rFonts w:ascii="宋体" w:eastAsia="宋体" w:hAnsi="宋体"/>
            <w:sz w:val="28"/>
            <w:szCs w:val="28"/>
          </w:rPr>
          <w:fldChar w:fldCharType="end"/>
        </w:r>
      </w:p>
    </w:sdtContent>
  </w:sdt>
  <w:p w14:paraId="0428DF9C" w14:textId="77777777" w:rsidR="00A04F60" w:rsidRDefault="00A04F60">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4C87" w14:textId="77777777" w:rsidR="008C46EB" w:rsidRDefault="008C46EB">
      <w:pPr>
        <w:spacing w:after="0"/>
        <w:rPr>
          <w:rFonts w:hint="eastAsia"/>
        </w:rPr>
      </w:pPr>
      <w:r>
        <w:separator/>
      </w:r>
    </w:p>
  </w:footnote>
  <w:footnote w:type="continuationSeparator" w:id="0">
    <w:p w14:paraId="36CBE543" w14:textId="77777777" w:rsidR="008C46EB" w:rsidRDefault="008C46EB">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B20"/>
    <w:rsid w:val="00007257"/>
    <w:rsid w:val="000130FA"/>
    <w:rsid w:val="00022F7B"/>
    <w:rsid w:val="00052526"/>
    <w:rsid w:val="00066631"/>
    <w:rsid w:val="00073C99"/>
    <w:rsid w:val="000939DB"/>
    <w:rsid w:val="000B32E4"/>
    <w:rsid w:val="00121795"/>
    <w:rsid w:val="00123163"/>
    <w:rsid w:val="0012607C"/>
    <w:rsid w:val="00143CAD"/>
    <w:rsid w:val="0015045E"/>
    <w:rsid w:val="00157F07"/>
    <w:rsid w:val="001D1441"/>
    <w:rsid w:val="00203CCE"/>
    <w:rsid w:val="00253080"/>
    <w:rsid w:val="00271D61"/>
    <w:rsid w:val="00277BFD"/>
    <w:rsid w:val="00283170"/>
    <w:rsid w:val="002949E4"/>
    <w:rsid w:val="002B65CF"/>
    <w:rsid w:val="002D17D1"/>
    <w:rsid w:val="0030475A"/>
    <w:rsid w:val="0032586D"/>
    <w:rsid w:val="00351CD7"/>
    <w:rsid w:val="003646BD"/>
    <w:rsid w:val="0037363A"/>
    <w:rsid w:val="003A08AD"/>
    <w:rsid w:val="003A7131"/>
    <w:rsid w:val="003B1EE5"/>
    <w:rsid w:val="003B4672"/>
    <w:rsid w:val="003F10FE"/>
    <w:rsid w:val="004578DC"/>
    <w:rsid w:val="0047011E"/>
    <w:rsid w:val="004B3A8F"/>
    <w:rsid w:val="004E2909"/>
    <w:rsid w:val="004F51C7"/>
    <w:rsid w:val="005342C2"/>
    <w:rsid w:val="00547EE5"/>
    <w:rsid w:val="005551C1"/>
    <w:rsid w:val="00561554"/>
    <w:rsid w:val="00574B32"/>
    <w:rsid w:val="00577B76"/>
    <w:rsid w:val="0062691B"/>
    <w:rsid w:val="006514EF"/>
    <w:rsid w:val="00666728"/>
    <w:rsid w:val="00674B16"/>
    <w:rsid w:val="00683967"/>
    <w:rsid w:val="00692D80"/>
    <w:rsid w:val="006A5C50"/>
    <w:rsid w:val="006B2C6C"/>
    <w:rsid w:val="00710FD7"/>
    <w:rsid w:val="00770D08"/>
    <w:rsid w:val="007A4A91"/>
    <w:rsid w:val="007C4E45"/>
    <w:rsid w:val="007F6D28"/>
    <w:rsid w:val="008278C4"/>
    <w:rsid w:val="00835D68"/>
    <w:rsid w:val="00837515"/>
    <w:rsid w:val="008A0F60"/>
    <w:rsid w:val="008B16C8"/>
    <w:rsid w:val="008B641A"/>
    <w:rsid w:val="008C1B43"/>
    <w:rsid w:val="008C46EB"/>
    <w:rsid w:val="008C775E"/>
    <w:rsid w:val="008D0CDD"/>
    <w:rsid w:val="00906FA2"/>
    <w:rsid w:val="009340DA"/>
    <w:rsid w:val="0093751B"/>
    <w:rsid w:val="00960890"/>
    <w:rsid w:val="009644F6"/>
    <w:rsid w:val="00973188"/>
    <w:rsid w:val="009B2FA9"/>
    <w:rsid w:val="00A04F60"/>
    <w:rsid w:val="00A32F6B"/>
    <w:rsid w:val="00A60557"/>
    <w:rsid w:val="00A6606C"/>
    <w:rsid w:val="00A872A7"/>
    <w:rsid w:val="00A87985"/>
    <w:rsid w:val="00AB187D"/>
    <w:rsid w:val="00AD0E7C"/>
    <w:rsid w:val="00AE0C9A"/>
    <w:rsid w:val="00AE4ADE"/>
    <w:rsid w:val="00B27F7B"/>
    <w:rsid w:val="00B85DED"/>
    <w:rsid w:val="00B95E02"/>
    <w:rsid w:val="00BE4582"/>
    <w:rsid w:val="00BF7536"/>
    <w:rsid w:val="00C348D7"/>
    <w:rsid w:val="00C52F95"/>
    <w:rsid w:val="00C64234"/>
    <w:rsid w:val="00C7596E"/>
    <w:rsid w:val="00CA4331"/>
    <w:rsid w:val="00CB5AC7"/>
    <w:rsid w:val="00CF1EB8"/>
    <w:rsid w:val="00D967BE"/>
    <w:rsid w:val="00DE01E4"/>
    <w:rsid w:val="00DE7DBE"/>
    <w:rsid w:val="00E01AD1"/>
    <w:rsid w:val="00E223B2"/>
    <w:rsid w:val="00E2306E"/>
    <w:rsid w:val="00E35B20"/>
    <w:rsid w:val="00E43ECE"/>
    <w:rsid w:val="00E951DE"/>
    <w:rsid w:val="00EB5BA1"/>
    <w:rsid w:val="00EF5435"/>
    <w:rsid w:val="00EF74AE"/>
    <w:rsid w:val="00F11FD9"/>
    <w:rsid w:val="00F24864"/>
    <w:rsid w:val="00F34C2E"/>
    <w:rsid w:val="00F46B94"/>
    <w:rsid w:val="00FC3435"/>
    <w:rsid w:val="00FD2BDA"/>
    <w:rsid w:val="373F80CE"/>
    <w:rsid w:val="7B3EB38A"/>
    <w:rsid w:val="7DEF5910"/>
    <w:rsid w:val="BF7F306D"/>
    <w:rsid w:val="EE3FF003"/>
    <w:rsid w:val="F76F3209"/>
    <w:rsid w:val="F7FF9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4A15B6"/>
  <w15:docId w15:val="{A6B288B2-5065-4281-9BF9-7AD2FD78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widowControl/>
      <w:spacing w:line="351" w:lineRule="atLeast"/>
      <w:ind w:firstLineChars="200" w:firstLine="420"/>
      <w:jc w:val="both"/>
      <w:textAlignment w:val="baseline"/>
    </w:pPr>
    <w:rPr>
      <w:rFonts w:ascii="Times New Roman" w:eastAsia="宋体" w:hAnsi="Times New Roman" w:cs="Times New Roman"/>
      <w:color w:val="000000"/>
      <w:kern w:val="0"/>
      <w:sz w:val="21"/>
      <w:szCs w:val="20"/>
      <w:u w:color="000000"/>
      <w14:ligatures w14:val="none"/>
    </w:rPr>
  </w:style>
  <w:style w:type="paragraph" w:styleId="a4">
    <w:name w:val="annotation text"/>
    <w:basedOn w:val="a"/>
    <w:link w:val="a5"/>
    <w:uiPriority w:val="99"/>
    <w:unhideWhenUsed/>
  </w:style>
  <w:style w:type="paragraph" w:styleId="a6">
    <w:name w:val="footer"/>
    <w:basedOn w:val="a"/>
    <w:link w:val="a7"/>
    <w:uiPriority w:val="99"/>
    <w:unhideWhenUsed/>
    <w:pPr>
      <w:tabs>
        <w:tab w:val="center" w:pos="4153"/>
        <w:tab w:val="right" w:pos="8306"/>
      </w:tabs>
      <w:snapToGrid w:val="0"/>
      <w:spacing w:line="240" w:lineRule="auto"/>
    </w:pPr>
    <w:rPr>
      <w:sz w:val="18"/>
      <w:szCs w:val="18"/>
    </w:rPr>
  </w:style>
  <w:style w:type="paragraph" w:styleId="a8">
    <w:name w:val="header"/>
    <w:basedOn w:val="a"/>
    <w:link w:val="a9"/>
    <w:uiPriority w:val="99"/>
    <w:unhideWhenUsed/>
    <w:pPr>
      <w:tabs>
        <w:tab w:val="center" w:pos="4153"/>
        <w:tab w:val="right" w:pos="8306"/>
      </w:tabs>
      <w:snapToGrid w:val="0"/>
      <w:spacing w:line="240" w:lineRule="auto"/>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Title"/>
    <w:basedOn w:val="a"/>
    <w:next w:val="a"/>
    <w:link w:val="ad"/>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e">
    <w:name w:val="Strong"/>
    <w:basedOn w:val="a0"/>
    <w:qFormat/>
    <w:rPr>
      <w:b/>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d">
    <w:name w:val="标题 字符"/>
    <w:basedOn w:val="a0"/>
    <w:link w:val="ac"/>
    <w:uiPriority w:val="10"/>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af3"/>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character" w:customStyle="1" w:styleId="a5">
    <w:name w:val="批注文字 字符"/>
    <w:basedOn w:val="a0"/>
    <w:link w:val="a4"/>
    <w:uiPriority w:val="99"/>
  </w:style>
  <w:style w:type="paragraph" w:customStyle="1" w:styleId="13">
    <w:name w:val="修订1"/>
    <w:hidden/>
    <w:uiPriority w:val="99"/>
    <w:semiHidden/>
    <w:rPr>
      <w:kern w:val="2"/>
      <w:sz w:val="22"/>
      <w:szCs w:val="24"/>
      <w14:ligatures w14:val="standardContextual"/>
    </w:rPr>
  </w:style>
  <w:style w:type="paragraph" w:styleId="af5">
    <w:name w:val="Revision"/>
    <w:hidden/>
    <w:uiPriority w:val="99"/>
    <w:unhideWhenUsed/>
    <w:rsid w:val="003F10FE"/>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BF1BE-E279-4E6B-967A-009A631A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wenwen gao</dc:creator>
  <cp:lastModifiedBy>wenwen gao</cp:lastModifiedBy>
  <cp:revision>40</cp:revision>
  <dcterms:created xsi:type="dcterms:W3CDTF">2026-03-30T10:20:00Z</dcterms:created>
  <dcterms:modified xsi:type="dcterms:W3CDTF">2026-04-03T06:35:00Z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