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48A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5"/>
          <w:kern w:val="2"/>
          <w:sz w:val="44"/>
          <w:szCs w:val="44"/>
          <w:lang w:val="en-US" w:eastAsia="zh-CN" w:bidi="ar-SA"/>
        </w:rPr>
      </w:pPr>
      <w:r>
        <w:rPr>
          <w:rFonts w:hint="eastAsia" w:ascii="方正小标宋简体" w:hAnsi="方正小标宋简体" w:eastAsia="方正小标宋简体" w:cs="方正小标宋简体"/>
          <w:spacing w:val="5"/>
          <w:kern w:val="2"/>
          <w:sz w:val="44"/>
          <w:szCs w:val="44"/>
          <w:lang w:val="en-US" w:eastAsia="zh-CN" w:bidi="ar-SA"/>
        </w:rPr>
        <w:t>《北京市丰台区动物诊疗行业单用途预付卡备案及监督管理工作方案（试行）（征求意见稿）》的起草说明</w:t>
      </w:r>
    </w:p>
    <w:p w14:paraId="63628FE2">
      <w:pPr>
        <w:rPr>
          <w:rFonts w:hint="eastAsia"/>
        </w:rPr>
      </w:pPr>
    </w:p>
    <w:p w14:paraId="47D6BE9B">
      <w:pPr>
        <w:pStyle w:val="10"/>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为加强本区单用途预付卡管理，保护消费者的合法权益，规范动物诊疗行业的市场秩序，防范预付式消费风险，丰台区农业农村局起草了《北京市丰台区动物诊疗行业单用途预付卡备案及监督管理工作方案（试行）（征求意见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该《方案》旨在通过明确预付卡企业备案及监督管理的具体工作要求，推动、引导预付卡企业依法合规开展预付卡相关工作，营造安全、放心、公平的消费环境。</w:t>
      </w:r>
      <w:r>
        <w:rPr>
          <w:rFonts w:hint="default" w:ascii="仿宋_GB2312" w:hAnsi="仿宋_GB2312" w:eastAsia="仿宋_GB2312" w:cs="仿宋_GB2312"/>
          <w:color w:val="000000"/>
          <w:sz w:val="32"/>
          <w:szCs w:val="32"/>
          <w:lang w:val="en-US" w:eastAsia="zh-CN"/>
        </w:rPr>
        <w:t>现就有关情况说明如下：</w:t>
      </w:r>
    </w:p>
    <w:p w14:paraId="0D8CC1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 起草背景和必要性</w:t>
      </w:r>
    </w:p>
    <w:p w14:paraId="03ADE131">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近年来，随着我区居民生活水平不断提高和宠物饲养量持续增长，动物诊疗行业蓬勃发展。为拓展业务、稳定客源，区内部分动物诊疗机构普遍采取发行单用途预付卡的经营模式。预付卡在便利消费者、促进机构经营的同时，也存在诸如发卡行为不规范、资金管理不透明、服务承诺不兑现等现象，甚至出现关门歇业、卷款跑路的情况，严重侵害了消费者的合法权益，引发了大量消费纠纷，扰乱了正常的市场经营秩序。</w:t>
      </w:r>
    </w:p>
    <w:p w14:paraId="7F272865">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当前，国家及北京市层面虽已出台关于单用途预付卡管理的相关规定，但针对动物诊疗这一特定行业的细化管理措施尚不完善。丰台区作为首都功能的重要承载区，动物诊疗机构数量众多，亟需结合区域实际，制定一套具有针对性、可操作性的备案及监督管理工作方案。因此，出台本方案，是回应社会关切、规范行业行为、防范化解风险、保障消费者权益的现实需要，也是落实《北京市单用途预付卡管理条例》等法律法规、提升行业治理能力现代化水平的重要举措。</w:t>
      </w:r>
    </w:p>
    <w:p w14:paraId="46B52E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 起草目的与意义</w:t>
      </w:r>
    </w:p>
    <w:p w14:paraId="4D1C0DBD">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本方案的起草，旨在通过建立健全动物诊疗行业单用途预付卡备案及监督管理机制，实现以下目的：</w:t>
      </w:r>
    </w:p>
    <w:p w14:paraId="5A5DF426">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规范发卡行为：明确动物诊疗机构发行预付卡的条件、程序、备案要求及信息公示义务，引导机构依法合规经营，减少随意发卡、虚假宣传等乱象。</w:t>
      </w:r>
    </w:p>
    <w:p w14:paraId="704240C8">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防范资金风险：通过资金存管、风险警示等措施，加强对预付资金的安全管理，有效预防因机构经营不善或恶意行为导致的资金链断裂风险，切实守护好消费者的“钱袋子”。</w:t>
      </w:r>
    </w:p>
    <w:p w14:paraId="03411E33">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保护消费者权益：畅通消费纠纷解决渠道，明确各方责任，提高消费者对预付卡消费的信任度，营造安全、放心的消费环境。</w:t>
      </w:r>
    </w:p>
    <w:p w14:paraId="716E48EB">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促进健康发展：通过规范化管理，引导动物诊疗机构从价格竞争、预付依赖的粗放模式向提升服务质量、注重信誉的品牌化、精细化模式转变，推动行业优胜劣汰和高质量发展。</w:t>
      </w:r>
    </w:p>
    <w:p w14:paraId="36A01DCC">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本方案的实施，对于构建公平、透明、可预期的动物诊疗市场环境，维护社会和谐稳定，具有十分重要的现实意义和长远意义。</w:t>
      </w:r>
    </w:p>
    <w:p w14:paraId="146367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 起草依据</w:t>
      </w:r>
    </w:p>
    <w:p w14:paraId="5F30B1D7">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方案的起草，主要依据以下法律、法规、规章：《中华人民共和国消费者权益保护法》、《中华人民共和国消费者权益保护法实施条例》、《单用途商业预付卡管理办法（试行）》、《北京市单用途预付卡管理条例》，并结合北京市市场监督管理局、北京市农业农村局等上级部门关于预付卡治理和动物诊疗行业监管的工作要求。本方案的制定，严格遵守上位法规定，紧密结合丰台区动物诊疗行业实际，确保各项管理措施于法有据、切实可行。</w:t>
      </w:r>
    </w:p>
    <w:p w14:paraId="4BEEA3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四、主要内容说明</w:t>
      </w:r>
    </w:p>
    <w:p w14:paraId="28940851">
      <w:pPr>
        <w:pStyle w:val="10"/>
        <w:keepNext w:val="0"/>
        <w:keepLines w:val="0"/>
        <w:pageBreakBefore w:val="0"/>
        <w:widowControl w:val="0"/>
        <w:numPr>
          <w:ilvl w:val="0"/>
          <w:numId w:val="0"/>
        </w:numPr>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（一）明确发卡资格</w:t>
      </w:r>
    </w:p>
    <w:p w14:paraId="140052D0">
      <w:pPr>
        <w:pStyle w:val="10"/>
        <w:keepNext w:val="0"/>
        <w:keepLines w:val="0"/>
        <w:pageBreakBefore w:val="0"/>
        <w:widowControl w:val="0"/>
        <w:numPr>
          <w:ilvl w:val="0"/>
          <w:numId w:val="0"/>
        </w:numPr>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经营者有下列情形之一的，不得发行预付卡或者为消费者办理续卡：（1）被列为失信被执行人的；（2）法定代表人、主要负责人因供职单位违法行为被列为失信被执行人的；（3）被列入经营异常名录的；（4）申请注销或者正在办理注销手续的；（5）法律、法规规定的其他情形。</w:t>
      </w:r>
    </w:p>
    <w:p w14:paraId="18887F58">
      <w:pPr>
        <w:pStyle w:val="10"/>
        <w:keepNext w:val="0"/>
        <w:keepLines w:val="0"/>
        <w:pageBreakBefore w:val="0"/>
        <w:widowControl w:val="0"/>
        <w:numPr>
          <w:ilvl w:val="0"/>
          <w:numId w:val="1"/>
        </w:numPr>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明确备案条件</w:t>
      </w:r>
    </w:p>
    <w:p w14:paraId="71FE7F5D">
      <w:pPr>
        <w:pStyle w:val="10"/>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经营者在丰台区发行预付卡</w:t>
      </w:r>
      <w:r>
        <w:rPr>
          <w:rFonts w:hint="eastAsia" w:ascii="仿宋_GB2312" w:hAnsi="仿宋_GB2312" w:eastAsia="仿宋_GB2312" w:cs="仿宋_GB2312"/>
          <w:color w:val="000000"/>
          <w:kern w:val="0"/>
          <w:sz w:val="32"/>
          <w:szCs w:val="32"/>
          <w:lang w:val="en-US" w:eastAsia="zh" w:bidi="ar-SA"/>
        </w:rPr>
        <w:t>的</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en-US" w:eastAsia="zh" w:bidi="ar-SA"/>
        </w:rPr>
        <w:t>均应</w:t>
      </w:r>
      <w:r>
        <w:rPr>
          <w:rFonts w:hint="eastAsia" w:ascii="仿宋_GB2312" w:hAnsi="仿宋_GB2312" w:eastAsia="仿宋_GB2312" w:cs="仿宋_GB2312"/>
          <w:color w:val="000000"/>
          <w:kern w:val="0"/>
          <w:sz w:val="32"/>
          <w:szCs w:val="32"/>
          <w:lang w:val="en-US" w:eastAsia="zh-CN" w:bidi="ar-SA"/>
        </w:rPr>
        <w:t>向区农业农村局进行备案，并及时更新备案信息。经营者有分公司的，分公司发卡规模计入总公司，由经营者总公司注册所在地区农业农村部门备案，并将备案情况及时告知分公司所在地农业农村</w:t>
      </w:r>
      <w:bookmarkStart w:id="0" w:name="_GoBack"/>
      <w:bookmarkEnd w:id="0"/>
      <w:r>
        <w:rPr>
          <w:rFonts w:hint="eastAsia" w:ascii="仿宋_GB2312" w:hAnsi="仿宋_GB2312" w:eastAsia="仿宋_GB2312" w:cs="仿宋_GB2312"/>
          <w:color w:val="000000"/>
          <w:kern w:val="0"/>
          <w:sz w:val="32"/>
          <w:szCs w:val="32"/>
          <w:lang w:val="en-US" w:eastAsia="zh-CN" w:bidi="ar-SA"/>
        </w:rPr>
        <w:t>部门。</w:t>
      </w:r>
    </w:p>
    <w:p w14:paraId="20496D3C">
      <w:pPr>
        <w:pStyle w:val="10"/>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提供参照合同</w:t>
      </w:r>
    </w:p>
    <w:p w14:paraId="4E1B72B7">
      <w:pPr>
        <w:pStyle w:val="10"/>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鼓励经营者使用预付卡范本合同与消费者签订书面合同文本，并按照合同约定及相关规定办理收费和退费事宜，保障消费者合法权益。</w:t>
      </w:r>
    </w:p>
    <w:p w14:paraId="34F88DAA">
      <w:pPr>
        <w:pStyle w:val="10"/>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规范退费标准</w:t>
      </w:r>
    </w:p>
    <w:p w14:paraId="7C3E3BF9">
      <w:pPr>
        <w:pStyle w:val="10"/>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经营者应明确告知消费者，在交付预付费后7日内，未兑付商品或者服务的情况下，有权要求经营者退卡，经营者应当自消费者要求退卡之日起5日内一次性原途径返还全部预付费用。消费者购卡时获得的赠品或者赠送的服务，应当退回或者支付合理的价款。</w:t>
      </w:r>
    </w:p>
    <w:p w14:paraId="5557D6E3">
      <w:pPr>
        <w:pStyle w:val="10"/>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消费者在已消费后提出退费要求的，经双方确认后，按照范本合同约定扣除已消费金额后，其余部分在15个工作日内，原则上按原渠道一次性退还。合同条款另有约定且不违反上述退费原则的除外。在经营者和消费者未达成一致意见之前，任何一方都不可使用剩余费用，资金将于存管专用账号中冻结。</w:t>
      </w:r>
    </w:p>
    <w:p w14:paraId="4A53E4FF">
      <w:pPr>
        <w:ind w:firstLine="640" w:firstLineChars="200"/>
        <w:rPr>
          <w:rFonts w:hint="default" w:ascii="仿宋_GB2312" w:hAnsi="仿宋_GB2312" w:eastAsia="仿宋_GB2312" w:cs="仿宋_GB2312"/>
          <w:color w:val="00000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62333E-1F40-48E0-AEFF-5997B0CA84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359DF9F-7D7B-4433-8564-DD38AF95DECC}"/>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3" w:fontKey="{E2350860-D86C-4C2D-8AA6-098A1892234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8832A"/>
    <w:multiLevelType w:val="singleLevel"/>
    <w:tmpl w:val="80D8832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2CB3398B"/>
    <w:rsid w:val="2CB3398B"/>
    <w:rsid w:val="33012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napToGrid w:val="0"/>
      <w:spacing w:line="300" w:lineRule="auto"/>
      <w:ind w:right="-108" w:firstLine="600"/>
    </w:pPr>
    <w:rPr>
      <w:rFonts w:eastAsia="仿宋_GB2312"/>
      <w:snapToGrid w:val="0"/>
    </w:rPr>
  </w:style>
  <w:style w:type="paragraph" w:styleId="3">
    <w:name w:val="Body Text"/>
    <w:basedOn w:val="1"/>
    <w:next w:val="4"/>
    <w:semiHidden/>
    <w:qFormat/>
    <w:uiPriority w:val="0"/>
    <w:rPr>
      <w:rFonts w:ascii="微软雅黑" w:hAnsi="微软雅黑" w:eastAsia="微软雅黑" w:cs="微软雅黑"/>
      <w:sz w:val="31"/>
      <w:szCs w:val="31"/>
      <w:lang w:val="en-US" w:eastAsia="en-US" w:bidi="ar-SA"/>
    </w:rPr>
  </w:style>
  <w:style w:type="paragraph" w:styleId="4">
    <w:name w:val="Body Text First Indent"/>
    <w:basedOn w:val="3"/>
    <w:qFormat/>
    <w:uiPriority w:val="0"/>
    <w:pPr>
      <w:ind w:firstLine="420" w:firstLineChars="100"/>
    </w:pPr>
    <w:rPr>
      <w:rFonts w:ascii="Times New Roman" w:hAnsi="Times New Roman" w:eastAsia="宋体" w:cs="Times New Roman"/>
    </w:rPr>
  </w:style>
  <w:style w:type="paragraph" w:styleId="5">
    <w:name w:val="Normal (Web)"/>
    <w:basedOn w:val="1"/>
    <w:uiPriority w:val="0"/>
    <w:rPr>
      <w:sz w:val="24"/>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Default"/>
    <w:qFormat/>
    <w:uiPriority w:val="0"/>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1804</Words>
  <Characters>1805</Characters>
  <Lines>0</Lines>
  <Paragraphs>0</Paragraphs>
  <TotalTime>3</TotalTime>
  <ScaleCrop>false</ScaleCrop>
  <LinksUpToDate>false</LinksUpToDate>
  <CharactersWithSpaces>1808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2026-01-22T20:47:00Z</dcterms:created>
  <dc:creator>Mimitation</dc:creator>
  <cp:lastModifiedBy>孙彤</cp:lastModifiedBy>
  <dcterms:modified xsi:type="dcterms:W3CDTF">2026-03-30T03:09:37Z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800A2EAC3B104E0A97F9AD3EE89DEE2E_11</vt:lpwstr>
  </property>
  <property fmtid="{D5CDD505-2E9C-101B-9397-08002B2CF9AE}" pid="4" name="KSOTemplateDocerSaveRecord">
    <vt:lpwstr>eyJoZGlkIjoiMGIyZTJhMWE1N2NmNWUwOTE1ZDZmYTZhNmFlYmY1OGYiLCJ1c2VySWQiOiIzOTM1NjQ2MTAifQ==</vt:lpwstr>
  </property>
</Properties>
</file>