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eastAsia="zh-CN"/>
        </w:rPr>
        <w:t>北京城市副中心</w:t>
      </w:r>
      <w:r>
        <w:rPr>
          <w:rFonts w:hint="eastAsia" w:ascii="方正小标宋简体" w:hAnsi="方正小标宋简体" w:eastAsia="方正小标宋简体" w:cs="方正小标宋简体"/>
          <w:sz w:val="44"/>
          <w:szCs w:val="44"/>
          <w:lang w:val="en-US" w:eastAsia="zh-CN"/>
        </w:rPr>
        <w:t>2026年“两区”建设工作要点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征求意见</w:t>
      </w:r>
      <w:r>
        <w:rPr>
          <w:rFonts w:hint="eastAsia" w:ascii="楷体_GB2312" w:hAnsi="楷体_GB2312" w:eastAsia="楷体_GB2312" w:cs="楷体_GB2312"/>
          <w:color w:val="auto"/>
          <w:sz w:val="32"/>
          <w:szCs w:val="32"/>
          <w:highlight w:val="none"/>
        </w:rPr>
        <w:t>稿）</w:t>
      </w:r>
    </w:p>
    <w:bookmarkEnd w:id="0"/>
    <w:p>
      <w:pPr>
        <w:pStyle w:val="3"/>
        <w:spacing w:line="560" w:lineRule="exact"/>
        <w:rPr>
          <w:rFonts w:hint="eastAsia"/>
        </w:rPr>
      </w:pPr>
    </w:p>
    <w:p>
      <w:pPr>
        <w:pStyle w:val="3"/>
        <w:keepNext w:val="0"/>
        <w:keepLines w:val="0"/>
        <w:pageBreakBefore w:val="0"/>
        <w:kinsoku/>
        <w:wordWrap/>
        <w:overflowPunct/>
        <w:topLinePunct w:val="0"/>
        <w:autoSpaceDE/>
        <w:autoSpaceDN/>
        <w:bidi w:val="0"/>
        <w:adjustRightInd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t>2026年是“十五五”开局之年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为全面贯彻习近平新时代中国特色社会主义思想，</w:t>
      </w:r>
      <w:r>
        <w:rPr>
          <w:rFonts w:hint="eastAsia" w:ascii="仿宋_GB2312" w:hAnsi="仿宋_GB2312" w:eastAsia="仿宋_GB2312" w:cs="仿宋_GB2312"/>
          <w:b w:val="0"/>
          <w:bCs w:val="0"/>
          <w:sz w:val="32"/>
          <w:szCs w:val="32"/>
          <w:highlight w:val="none"/>
          <w:u w:val="none" w:color="auto"/>
          <w:lang w:val="en-US" w:eastAsia="zh-CN"/>
        </w:rPr>
        <w:t>深入贯彻党的二十大和二十届历次全会精神，以及中央经济工作会议精神，认真</w:t>
      </w:r>
      <w:r>
        <w:rPr>
          <w:rFonts w:hint="eastAsia" w:ascii="仿宋_GB2312" w:hAnsi="仿宋_GB2312" w:eastAsia="仿宋_GB2312" w:cs="仿宋_GB2312"/>
          <w:color w:val="auto"/>
          <w:sz w:val="32"/>
          <w:szCs w:val="32"/>
          <w:highlight w:val="none"/>
          <w:lang w:eastAsia="zh-CN"/>
        </w:rPr>
        <w:t>落实市委市政府关于“两区”建设的相关要求和区委区政府的决策部署，</w:t>
      </w:r>
      <w:r>
        <w:rPr>
          <w:rFonts w:hint="eastAsia" w:ascii="仿宋_GB2312" w:hAnsi="仿宋_GB2312" w:eastAsia="仿宋_GB2312" w:cs="仿宋_GB2312"/>
          <w:color w:val="auto"/>
          <w:sz w:val="32"/>
          <w:szCs w:val="32"/>
          <w:lang w:val="en-US" w:eastAsia="zh-CN"/>
        </w:rPr>
        <w:t>聚焦答好市委“二十年之问”，着力提升通州区国家服务业扩大开放综合示范区和中国（北京）自由贸易试验区国际商务服务片区通州组团建设水平，稳步扩大制度型开放，助力城市副中心“十五五”开好局，特制定本要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一、重点任务及举措</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493" w:leftChars="235" w:firstLine="0" w:firstLineChars="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（一）推动制度创新，探索先行先试</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1.积极谋划首创性、集成式制度创新</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全力争取生物医学新技术、绿色价格认证研究、信托等政策建议纳入</w:t>
      </w:r>
      <w:r>
        <w:rPr>
          <w:rFonts w:hint="eastAsia" w:ascii="仿宋_GB2312" w:hAnsi="仿宋_GB2312" w:eastAsia="仿宋_GB2312" w:cs="仿宋_GB2312"/>
          <w:color w:val="auto"/>
          <w:sz w:val="32"/>
          <w:szCs w:val="32"/>
          <w:highlight w:val="none"/>
          <w:lang w:eastAsia="zh-CN"/>
        </w:rPr>
        <w:t>《支持北京市全面推进国家服务业扩大开放综合示范区建设工作方案》</w:t>
      </w:r>
      <w:r>
        <w:rPr>
          <w:rFonts w:hint="eastAsia" w:ascii="仿宋_GB2312" w:hAnsi="仿宋_GB2312" w:eastAsia="仿宋_GB2312" w:cs="仿宋_GB2312"/>
          <w:kern w:val="2"/>
          <w:sz w:val="32"/>
          <w:szCs w:val="32"/>
          <w:lang w:val="en-US" w:eastAsia="zh-CN" w:bidi="ar-SA"/>
        </w:rPr>
        <w:t>，并积极谋划区级落地实施方案；积极争取信托领域等政策诉求纳入市级新一批集成式制度创新任务；</w:t>
      </w:r>
      <w:r>
        <w:rPr>
          <w:rFonts w:hint="eastAsia" w:ascii="仿宋_GB2312" w:hAnsi="仿宋_GB2312" w:eastAsia="仿宋_GB2312" w:cs="仿宋_GB2312"/>
          <w:kern w:val="2"/>
          <w:sz w:val="32"/>
          <w:szCs w:val="32"/>
          <w:highlight w:val="none"/>
          <w:lang w:val="en-US" w:eastAsia="zh-CN" w:bidi="ar-SA"/>
        </w:rPr>
        <w:t>抢抓副中心要素市场化配置综合改革试点机遇，着力破解多要素流动体制机制障碍。</w:t>
      </w:r>
      <w:r>
        <w:rPr>
          <w:rFonts w:hint="eastAsia" w:ascii="仿宋_GB2312" w:hAnsi="仿宋_GB2312" w:eastAsia="仿宋_GB2312" w:cs="仿宋_GB2312"/>
          <w:kern w:val="2"/>
          <w:sz w:val="32"/>
          <w:szCs w:val="32"/>
          <w:lang w:val="en-US" w:eastAsia="zh-CN" w:bidi="ar-SA"/>
        </w:rPr>
        <w:t>围绕生物技术、财富管理等新兴产业领域，开展政策前瞻布局和重点项目储备。聚焦生物医药、</w:t>
      </w:r>
      <w:r>
        <w:rPr>
          <w:rFonts w:hint="eastAsia" w:ascii="仿宋_GB2312" w:hAnsi="仿宋_GB2312" w:eastAsia="仿宋_GB2312" w:cs="仿宋_GB2312"/>
          <w:color w:val="000000"/>
          <w:kern w:val="2"/>
          <w:sz w:val="32"/>
          <w:szCs w:val="32"/>
          <w:lang w:val="en-US" w:eastAsia="zh-CN" w:bidi="ar-SA"/>
        </w:rPr>
        <w:t>人工智能</w:t>
      </w:r>
      <w:r>
        <w:rPr>
          <w:rFonts w:hint="eastAsia" w:ascii="仿宋_GB2312" w:hAnsi="仿宋_GB2312" w:eastAsia="仿宋_GB2312" w:cs="仿宋_GB2312"/>
          <w:kern w:val="2"/>
          <w:sz w:val="32"/>
          <w:szCs w:val="32"/>
          <w:lang w:val="en-US" w:eastAsia="zh-CN" w:bidi="ar-SA"/>
        </w:rPr>
        <w:t>等重点产业开展自贸试验区全产业链制度集成创新，谋划建立自贸试验区联动发展区；研究谋划“两区”重点园区提质增效行动方案，结合特色领域开展集成式制度创新</w:t>
      </w:r>
      <w:r>
        <w:rPr>
          <w:rFonts w:hint="eastAsia" w:ascii="仿宋_GB2312" w:hAnsi="仿宋_GB2312" w:eastAsia="仿宋_GB2312" w:cs="仿宋_GB2312"/>
          <w:kern w:val="2"/>
          <w:sz w:val="32"/>
          <w:szCs w:val="32"/>
          <w:highlight w:val="none"/>
          <w:lang w:val="en-US" w:eastAsia="zh-CN" w:bidi="ar-SA"/>
        </w:rPr>
        <w:t>。</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2.持续擦亮特色自贸品牌</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（1）“绿色自贸”品牌建设</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探索推进区属国有企业试点开展ESG信息披露；推动ESG社会贡献可视化数据平台功能拓展，助力ESG数字化产品创新。培育发展更多绿色金融特色机构，引导金融机构创新绿色金融产品和服务，加大绿色领域信贷、融资等方面支持力度。支持绿色价格认证研究中心发展，健全绿色成本分析和绿色价格认证体系，聚焦创新药械、绿色建筑等重点领域形成研究报告及绿色价值认证案例，积极争取国家层面绿色价值认证权限，举办绿色价值认证交流活动，促使绿色价值认证迈向国际。完善北京国家绿色技术交易中心技术评价、融资、推广等功能，积极服务全国温室气体自愿减排交易市场（CCER）建设，持续做好CCER集中统一交易与结算服务。建设北京绿色技术创新服务产业园，着力打造全市首个集聚绿色技术创新和绿色商务服务业态的零碳园区，积极探索以绿色技术为主要特色的集成式制度创新新路径。</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（2）“创意自贸”品牌建设</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积极拓展“时尚+”新业态、新场景，培育品牌活动，打造时尚创新策源地和特色IP。依托紫光VID园区，打造微短剧基地。借助东谷里3万平米实景拍摄基地、宋里视听产业园及多样化生活场景，打造以实景拍摄为特色的数字影像创新高地。支持符合条件的北京自贸试验区通州组团内外资企业开展电影后期制作服务、网络音乐经营等业务。</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（3）“协同自贸”品牌建设</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楷体_GB2312" w:hAnsi="楷体_GB2312" w:eastAsia="楷体_GB2312" w:cs="楷体_GB2312"/>
          <w:b w:val="0"/>
          <w:bCs w:val="0"/>
          <w:sz w:val="32"/>
          <w:szCs w:val="32"/>
          <w:highlight w:val="none"/>
          <w:lang w:val="en-US" w:eastAsia="zh-CN"/>
        </w:rPr>
      </w:pPr>
      <w:r>
        <w:rPr>
          <w:rFonts w:hint="default" w:ascii="仿宋_GB2312" w:hAnsi="仿宋_GB2312" w:eastAsia="仿宋_GB2312" w:cs="仿宋_GB2312"/>
          <w:b w:val="0"/>
          <w:bCs w:val="0"/>
          <w:sz w:val="32"/>
          <w:szCs w:val="32"/>
          <w:lang w:val="en-US" w:eastAsia="zh-CN"/>
        </w:rPr>
        <w:t>聚焦服务共享，配合开展京津冀区域资质资格互认工作，促进政务服务跨域通办便利化</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持续落实《京津冀办税事项“最多跑一次”清单》，建立三地联合研判机制，协同解决复杂涉税问题</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推动“通武廊”知识产权、纳税服务一体化，推进“通武廊运河旅游带”建设。</w:t>
      </w:r>
      <w:r>
        <w:rPr>
          <w:rFonts w:hint="eastAsia" w:ascii="仿宋_GB2312" w:hAnsi="仿宋_GB2312" w:eastAsia="仿宋_GB2312" w:cs="仿宋_GB2312"/>
          <w:b w:val="0"/>
          <w:bCs w:val="0"/>
          <w:sz w:val="32"/>
          <w:szCs w:val="32"/>
          <w:lang w:val="en-US" w:eastAsia="zh-CN"/>
        </w:rPr>
        <w:t>推动自贸片区协同发展，</w:t>
      </w:r>
      <w:r>
        <w:rPr>
          <w:rFonts w:hint="default" w:ascii="仿宋_GB2312" w:hAnsi="仿宋_GB2312" w:eastAsia="仿宋_GB2312" w:cs="仿宋_GB2312"/>
          <w:b w:val="0"/>
          <w:bCs w:val="0"/>
          <w:sz w:val="32"/>
          <w:szCs w:val="32"/>
          <w:lang w:val="en-US" w:eastAsia="zh-CN"/>
        </w:rPr>
        <w:t>用好</w:t>
      </w:r>
      <w:r>
        <w:rPr>
          <w:rFonts w:hint="eastAsia" w:ascii="仿宋_GB2312" w:hAnsi="仿宋_GB2312" w:eastAsia="仿宋_GB2312" w:cs="仿宋_GB2312"/>
          <w:b w:val="0"/>
          <w:bCs w:val="0"/>
          <w:sz w:val="32"/>
          <w:szCs w:val="32"/>
          <w:lang w:val="en-US" w:eastAsia="zh-CN"/>
        </w:rPr>
        <w:t>国际</w:t>
      </w:r>
      <w:r>
        <w:rPr>
          <w:rFonts w:hint="default" w:ascii="仿宋_GB2312" w:hAnsi="仿宋_GB2312" w:eastAsia="仿宋_GB2312" w:cs="仿宋_GB2312"/>
          <w:b w:val="0"/>
          <w:bCs w:val="0"/>
          <w:sz w:val="32"/>
          <w:szCs w:val="32"/>
          <w:lang w:val="en-US" w:eastAsia="zh-CN"/>
        </w:rPr>
        <w:t>商务服务片区轮值工作机制，推动通州组团与朝阳组团、顺义组团在制度创新、产业促进等方面协同联动。</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35"/>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（二）打造特色产业，释放政策红利</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3.生物医药领域</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紧抓《生物医学新技术临床研究和临床转化应用管理条例》（中华人民共和国国务院令第818号）出台机遇，积极搭建院企合作平台，对接生物医学新技术项目，开展生物医学新技术临床转化应用。探索研究生物医学新技术价格形成机制、“医疗+保险”融合性发展,鼓励开发相关保险产品。推动企业研发需求与医疗机构临床资源对接，探索采取“前院后工厂”模式。吸引生物医学新技术产业链上下游企业在副中心集聚。研究跨境医疗助力产业发展新模式。</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4.财富管理领域</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聚焦信托领域政策突破，</w:t>
      </w:r>
      <w:r>
        <w:rPr>
          <w:rFonts w:hint="eastAsia" w:ascii="仿宋_GB2312" w:hAnsi="仿宋_GB2312" w:eastAsia="仿宋_GB2312" w:cs="仿宋_GB2312"/>
          <w:kern w:val="2"/>
          <w:sz w:val="32"/>
          <w:szCs w:val="32"/>
          <w:lang w:val="en-US" w:eastAsia="zh-CN" w:bidi="ar-SA"/>
        </w:rPr>
        <w:t>进一步探索优化不动产、股权等非货币信托财产登记模式创新。研究符合信托业特点的非交易性财产转移机制。积极探索律师事务所等多元主体开展非投资民事信托业务可行性。推进信托产业生态建设，做好案例归纳和成果宣传，吸引信托相关服务主体在副中心集聚。以运河商务区为核心承载，重点引进各类投资公司、基金、保险等机构集聚，加快打造国际化金融开放高地。</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5.数字经济领域</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接国家医保局大数据中心，共同推动医保数据分析应用，探索打造医保大数据赋能医疗产业创新、新业态创新的示范场景。有序延展数据出境负面清单适用范围，探索开展自贸试验区外数据出境负面清单“一企一策”试点工作，促进数据高效便利安全跨境流动。在北京自贸试验区通州组团内探索开展智能网联汽车道路测试、示范应用、商业化运营等试点。</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6.文化旅游领域</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textAlignment w:val="auto"/>
        <w:rPr>
          <w:rFonts w:hint="default" w:ascii="仿宋_GB2312" w:hAnsi="仿宋_GB2312" w:eastAsia="仿宋_GB2312" w:cs="仿宋_GB2312"/>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b w:val="0"/>
          <w:bCs w:val="0"/>
          <w:sz w:val="32"/>
          <w:szCs w:val="32"/>
          <w:lang w:val="en-US" w:eastAsia="zh-CN"/>
        </w:rPr>
        <w:t>进一步深化“人工智能+”在文旅领域的应用，活化副中心文化IP。高标准运营运河西岸滨水空间，打造区域消费新增长极。大力发展赛事经济、首发经济、票根经济、银发经济、夜间经济等新兴经济业态，进一步延长消费链、激发新潜能。用好240小时过境免签等政策，丰富入境旅游产品和线路，加强国际语言环境建设，吸引更多外国人来副中心旅游。</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493" w:leftChars="235" w:firstLine="0" w:firstLine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（三）优化招商服务，吸引外资集聚</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7.塑造吸引外资优势</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kern w:val="2"/>
          <w:sz w:val="32"/>
          <w:szCs w:val="32"/>
          <w:highlight w:val="none"/>
          <w:lang w:val="en-US" w:eastAsia="zh-CN" w:bidi="ar-SA"/>
        </w:rPr>
        <w:t>积极拓展外资来源地，吸引世界500强企业、链主企业等尚未在副中心投资的外资企业落地。支持国外各领域龙头企业在副中心设立地区总部或外资研发中心。加强与商协会、国际组织等国内外经营主体对接，吸引重点领域国际组织在副中心发展或设立分支机构。做好外资企业转移撤离风险防范，稳住香港、新加坡等传统外资来源地。落实境外投资者税收抵免政策，鼓励外商投资企业利润再投资。推动《北京市外商投资条例》落实落细，确保外企在多方面享受国民待遇。用好外资企业圆桌会议等平台作用，建立健全外资企业“闭环式”诉求响应机制，打造高效务实的政企常态化沟通渠道。</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8.完善招商引资机制</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highlight w:val="none"/>
          <w:lang w:val="en-US" w:eastAsia="zh-CN" w:bidi="ar-SA"/>
        </w:rPr>
        <w:t>借助通州区产业高质量发展工作专班，构建市场化招商激励机制，推进招商引资工作市场化、专业化、系统化转型。用好重要活动参与企业招商引资工作机制，积极借助中国国际服务贸易交易会、中关村论坛、金融街论坛、北京绿色发展论坛等重要平台，做好招商引资。</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9.健全</w:t>
      </w:r>
      <w:r>
        <w:rPr>
          <w:rFonts w:hint="eastAsia" w:ascii="仿宋_GB2312" w:hAnsi="仿宋_GB2312" w:eastAsia="仿宋_GB2312" w:cs="仿宋_GB2312"/>
          <w:b/>
          <w:bCs/>
          <w:sz w:val="32"/>
          <w:szCs w:val="32"/>
          <w:lang w:eastAsia="zh-CN"/>
        </w:rPr>
        <w:t>企业服务体系</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lang w:eastAsia="zh-CN"/>
        </w:rPr>
      </w:pPr>
      <w:r>
        <w:rPr>
          <w:rFonts w:hint="eastAsia" w:ascii="仿宋_GB2312" w:hAnsi="仿宋_GB2312" w:eastAsia="仿宋_GB2312" w:cs="仿宋_GB2312"/>
          <w:sz w:val="32"/>
          <w:szCs w:val="32"/>
          <w:lang w:eastAsia="zh-CN"/>
        </w:rPr>
        <w:t>持续优化北京城市副中心政务服务中心“两区”服务窗口功能。鼓励专精特新企业参与产业关键共性技术研发以及利用财政资金设立的科研项目。发挥政府投资基金等资金作用，引导社会资本支持科技创新企业。积极发挥国际人才组织作用，加大引进重点领域专业人才力度。争取更多职业资格纳入国际职业资格认可目录。做好外籍人才永久居留推荐函申请相关工作；推行“扬帆·助企”计划，为高水平外籍人才提供更多出入境便利化举措。</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10.拓展投资促进网络</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sz w:val="32"/>
          <w:szCs w:val="32"/>
          <w:highlight w:val="none"/>
          <w:lang w:val="en-US" w:eastAsia="zh-CN"/>
        </w:rPr>
        <w:t>整合金融、法律等专业服务资源，积极链接境外企业、商协会资源，推动设立企业出海平台；高标准运营好市“两区”展示会客厅，积极开展境内外招商推介活动；发挥区内境内外招商站点、投资北京全球合作伙伴作用，积极吸引高能级外资主体落地副中心。举办“数字经济国际规则与实践”主题“两区”会客厅、开局话“两区”等活动，借助副中心产业高质量发展专场新闻发布会等渠道，</w:t>
      </w:r>
      <w:r>
        <w:rPr>
          <w:rFonts w:hint="eastAsia" w:ascii="仿宋_GB2312" w:hAnsi="仿宋_GB2312" w:eastAsia="仿宋_GB2312" w:cs="仿宋_GB2312"/>
          <w:b w:val="0"/>
          <w:bCs w:val="0"/>
          <w:sz w:val="32"/>
          <w:szCs w:val="32"/>
          <w:lang w:val="en-US" w:eastAsia="zh-CN"/>
        </w:rPr>
        <w:t>用好市区联合信息报送机制，</w:t>
      </w:r>
      <w:r>
        <w:rPr>
          <w:rFonts w:hint="eastAsia" w:ascii="仿宋_GB2312" w:hAnsi="仿宋_GB2312" w:eastAsia="仿宋_GB2312" w:cs="仿宋_GB2312"/>
          <w:sz w:val="32"/>
          <w:szCs w:val="32"/>
          <w:highlight w:val="none"/>
          <w:lang w:val="en-US" w:eastAsia="zh-CN"/>
        </w:rPr>
        <w:t>充分释放“两区”开放政策信号；提升国际高层会见后项目线索跟踪服务，做好重要活动参与企业招商引资工作。完善区级综合考评体系、财源建设工作体系等相关考核激励机制，借助外资招商专班、“两区”专题调度会等机制，聚焦外资外贸、项目招引等重点工作，确保市级考核各项任务落地见效。</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bCs/>
          <w:sz w:val="32"/>
          <w:szCs w:val="32"/>
          <w:lang w:val="en-US" w:eastAsia="zh-CN"/>
        </w:rPr>
      </w:pPr>
      <w:r>
        <w:rPr>
          <w:rFonts w:hint="eastAsia" w:ascii="黑体" w:hAnsi="黑体" w:eastAsia="黑体" w:cs="黑体"/>
          <w:sz w:val="32"/>
          <w:szCs w:val="32"/>
          <w:lang w:val="en-US" w:eastAsia="zh-CN"/>
        </w:rPr>
        <w:t>二、保障措施</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11.统筹安全和发展</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highlight w:val="none"/>
          <w:lang w:val="en-US" w:eastAsia="zh-CN"/>
        </w:rPr>
        <w:t>发挥贸易救济工作协调机制作用，加强预警信息共享。用好本市金融监管协调机制和金融风险处置协调机制，探索提升金融风险监测预警平台效能，做好防范和打击非法金融活动工作。强化数据要素安全治理能力和企业数据安全主体责任意识，提升数据安全突发事件的快速反应及应急保障能力。落实好国家政策要求，提升生物医学新技术临床研究与临床转化应用阶段的风险防控和应急预警能力。加强文化和旅游领域意识形态和思想舆论阵地的建设和管理。</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12.强化干部培养</w:t>
      </w:r>
    </w:p>
    <w:p>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强化正向激励，对在“两区”建设中表现突出的公务员、事业单位工作人员，按照有关规定开展奖励工作。用好“两区”大讲堂、专题培训班等，加强“两区”政策宣讲，助力干部提升“两区”政策应用能力。</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EE150"/>
    <w:rsid w:val="0D8F30C9"/>
    <w:rsid w:val="13BE1EA8"/>
    <w:rsid w:val="17F773F5"/>
    <w:rsid w:val="1A817AE0"/>
    <w:rsid w:val="1A980095"/>
    <w:rsid w:val="1FB73DC6"/>
    <w:rsid w:val="1FBF90AB"/>
    <w:rsid w:val="1FDEE150"/>
    <w:rsid w:val="245E72C8"/>
    <w:rsid w:val="27CE23F3"/>
    <w:rsid w:val="29D2336F"/>
    <w:rsid w:val="2BFF4978"/>
    <w:rsid w:val="2CF93688"/>
    <w:rsid w:val="2EFF129E"/>
    <w:rsid w:val="2FACC015"/>
    <w:rsid w:val="2FFE1D04"/>
    <w:rsid w:val="31926EC9"/>
    <w:rsid w:val="3A3C4371"/>
    <w:rsid w:val="3FADAF3E"/>
    <w:rsid w:val="55FFF777"/>
    <w:rsid w:val="56FE25EF"/>
    <w:rsid w:val="5952792D"/>
    <w:rsid w:val="5BC229CF"/>
    <w:rsid w:val="5FC21ED0"/>
    <w:rsid w:val="5FEB5F62"/>
    <w:rsid w:val="5FED332E"/>
    <w:rsid w:val="67F10AE7"/>
    <w:rsid w:val="6ADC4EF5"/>
    <w:rsid w:val="70676750"/>
    <w:rsid w:val="75FF9808"/>
    <w:rsid w:val="777F9180"/>
    <w:rsid w:val="7A336DDF"/>
    <w:rsid w:val="7BFF4C62"/>
    <w:rsid w:val="7D7EBA70"/>
    <w:rsid w:val="7DFB0DA4"/>
    <w:rsid w:val="7E7F7BBF"/>
    <w:rsid w:val="7FDE38FD"/>
    <w:rsid w:val="8DDDDA00"/>
    <w:rsid w:val="9DAB191A"/>
    <w:rsid w:val="A77EBECC"/>
    <w:rsid w:val="B9F7781A"/>
    <w:rsid w:val="BFB37AF7"/>
    <w:rsid w:val="BFDE7C63"/>
    <w:rsid w:val="BFFF7218"/>
    <w:rsid w:val="C2DCB196"/>
    <w:rsid w:val="CD7DB164"/>
    <w:rsid w:val="D3ED4D1D"/>
    <w:rsid w:val="DFFF8BE4"/>
    <w:rsid w:val="EEDF79CF"/>
    <w:rsid w:val="EFFBB7F8"/>
    <w:rsid w:val="F7ADCB3D"/>
    <w:rsid w:val="F8DB07F1"/>
    <w:rsid w:val="FCDF6D67"/>
    <w:rsid w:val="FCFFB98F"/>
    <w:rsid w:val="FEDAD8D2"/>
    <w:rsid w:val="FF7E2587"/>
    <w:rsid w:val="FFF3600B"/>
    <w:rsid w:val="FFFD96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index 9"/>
    <w:basedOn w:val="1"/>
    <w:next w:val="1"/>
    <w:unhideWhenUsed/>
    <w:qFormat/>
    <w:uiPriority w:val="0"/>
    <w:pPr>
      <w:widowControl w:val="0"/>
      <w:ind w:left="1600" w:leftChars="1600"/>
      <w:jc w:val="both"/>
    </w:pPr>
    <w:rPr>
      <w:rFonts w:ascii="Calibri" w:hAnsi="Calibri" w:eastAsia="宋体" w:cs="Times New Roman"/>
      <w:kern w:val="2"/>
      <w:sz w:val="21"/>
      <w:szCs w:val="24"/>
      <w:lang w:val="en-US" w:eastAsia="zh-CN" w:bidi="ar-SA"/>
    </w:rPr>
  </w:style>
  <w:style w:type="paragraph" w:styleId="3">
    <w:name w:val="Normal Indent"/>
    <w:basedOn w:val="1"/>
    <w:qFormat/>
    <w:uiPriority w:val="0"/>
    <w:rPr>
      <w:sz w:val="24"/>
      <w:szCs w:val="20"/>
    </w:rPr>
  </w:style>
  <w:style w:type="paragraph" w:styleId="4">
    <w:name w:val="annotation text"/>
    <w:basedOn w:val="1"/>
    <w:uiPriority w:val="0"/>
    <w:pPr>
      <w:jc w:val="left"/>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uiPriority w:val="0"/>
    <w:pPr>
      <w:snapToGrid w:val="0"/>
      <w:jc w:val="left"/>
    </w:pPr>
    <w:rPr>
      <w:sz w:val="18"/>
    </w:rPr>
  </w:style>
  <w:style w:type="paragraph" w:styleId="8">
    <w:name w:val="Normal (Web)"/>
    <w:basedOn w:val="1"/>
    <w:next w:val="1"/>
    <w:qFormat/>
    <w:uiPriority w:val="0"/>
    <w:pPr>
      <w:spacing w:beforeAutospacing="1" w:afterAutospacing="1"/>
      <w:jc w:val="left"/>
    </w:pPr>
    <w:rPr>
      <w:kern w:val="0"/>
      <w:sz w:val="24"/>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otnote reference"/>
    <w:basedOn w:val="11"/>
    <w:qFormat/>
    <w:uiPriority w:val="0"/>
    <w:rPr>
      <w:vertAlign w:val="superscript"/>
    </w:rPr>
  </w:style>
  <w:style w:type="character" w:customStyle="1" w:styleId="14">
    <w:name w:val="NormalCharacter"/>
    <w:link w:val="15"/>
    <w:qFormat/>
    <w:uiPriority w:val="0"/>
    <w:rPr>
      <w:rFonts w:ascii="Times New Roman" w:hAnsi="Times New Roman" w:eastAsia="宋体" w:cs="Times New Roman"/>
      <w:kern w:val="0"/>
      <w:sz w:val="20"/>
      <w:szCs w:val="20"/>
    </w:rPr>
  </w:style>
  <w:style w:type="paragraph" w:customStyle="1" w:styleId="15">
    <w:name w:val="UserStyle_0"/>
    <w:basedOn w:val="16"/>
    <w:link w:val="14"/>
    <w:qFormat/>
    <w:uiPriority w:val="0"/>
    <w:rPr>
      <w:rFonts w:ascii="Times New Roman" w:hAnsi="Times New Roman" w:eastAsia="宋体" w:cs="Times New Roman"/>
      <w:kern w:val="0"/>
      <w:sz w:val="20"/>
      <w:szCs w:val="20"/>
    </w:rPr>
  </w:style>
  <w:style w:type="paragraph" w:customStyle="1" w:styleId="16">
    <w:name w:val="UserStyle_1"/>
    <w:basedOn w:val="1"/>
    <w:qFormat/>
    <w:uiPriority w:val="0"/>
    <w:pPr>
      <w:suppressAutoHyphens/>
      <w:spacing w:after="120"/>
      <w:ind w:left="420" w:leftChars="200"/>
      <w:jc w:val="both"/>
    </w:pPr>
    <w:rPr>
      <w:rFonts w:ascii="Times New Roman" w:hAnsi="Times New Roman" w:eastAsia="宋体" w:cs="Times New Roman"/>
    </w:rPr>
  </w:style>
  <w:style w:type="paragraph" w:customStyle="1" w:styleId="17">
    <w:name w:val="正文文本缩进1"/>
    <w:basedOn w:val="1"/>
    <w:qFormat/>
    <w:uiPriority w:val="0"/>
    <w:pPr>
      <w:ind w:left="200" w:leftChars="200"/>
    </w:pPr>
  </w:style>
  <w:style w:type="paragraph" w:customStyle="1" w:styleId="18">
    <w:name w:val="正文首行缩进 21"/>
    <w:basedOn w:val="17"/>
    <w:next w:val="8"/>
    <w:qFormat/>
    <w:uiPriority w:val="0"/>
    <w:pPr>
      <w:ind w:left="420" w:leftChars="0" w:hanging="42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1747</Words>
  <Characters>1797</Characters>
  <Lines>0</Lines>
  <Paragraphs>0</Paragraphs>
  <TotalTime>5.66666666666667</TotalTime>
  <ScaleCrop>false</ScaleCrop>
  <LinksUpToDate>false</LinksUpToDate>
  <CharactersWithSpaces>1797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2026-01-15T02:27:00Z</dcterms:created>
  <dc:creator>user</dc:creator>
  <cp:lastModifiedBy>user</cp:lastModifiedBy>
  <cp:lastPrinted>2026-03-20T12:08:39Z</cp:lastPrinted>
  <dcterms:modified xsi:type="dcterms:W3CDTF">2026-03-20T09:41:41Z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E9284D6B3B8843D470B0BB6960C75B1A_43</vt:lpwstr>
  </property>
  <property fmtid="{D5CDD505-2E9C-101B-9397-08002B2CF9AE}" pid="4" name="KSOTemplateDocerSaveRecord">
    <vt:lpwstr>eyJoZGlkIjoiNTgwZTQxYjdlNmFjNThhYWMzNzQyMGRhZmZmNDMyMGUiLCJ1c2VySWQiOiIzNzkyODAzMjYifQ==</vt:lpwstr>
  </property>
</Properties>
</file>