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AD87">
      <w:pPr>
        <w:keepNext w:val="0"/>
        <w:keepLines w:val="0"/>
        <w:pageBreakBefore w:val="0"/>
        <w:widowControl/>
        <w:kinsoku/>
        <w:wordWrap/>
        <w:overflowPunct/>
        <w:topLinePunct w:val="0"/>
        <w:autoSpaceDE w:val="0"/>
        <w:bidi w:val="0"/>
        <w:spacing w:line="600" w:lineRule="exac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北京市</w:t>
      </w:r>
      <w:r>
        <w:rPr>
          <w:rFonts w:hint="eastAsia" w:ascii="宋体" w:hAnsi="宋体" w:eastAsia="宋体" w:cs="宋体"/>
          <w:b/>
          <w:bCs/>
          <w:color w:val="000000"/>
          <w:kern w:val="0"/>
          <w:sz w:val="36"/>
          <w:szCs w:val="36"/>
          <w:lang w:val="en-US" w:eastAsia="zh-CN"/>
        </w:rPr>
        <w:t>顺义</w:t>
      </w:r>
      <w:r>
        <w:rPr>
          <w:rFonts w:hint="eastAsia" w:ascii="宋体" w:hAnsi="宋体" w:eastAsia="宋体" w:cs="宋体"/>
          <w:b/>
          <w:bCs/>
          <w:color w:val="000000"/>
          <w:kern w:val="0"/>
          <w:sz w:val="36"/>
          <w:szCs w:val="36"/>
        </w:rPr>
        <w:t>区</w:t>
      </w:r>
      <w:r>
        <w:rPr>
          <w:rFonts w:hint="eastAsia" w:ascii="宋体" w:hAnsi="宋体" w:eastAsia="宋体" w:cs="宋体"/>
          <w:b/>
          <w:bCs/>
          <w:color w:val="000000"/>
          <w:kern w:val="0"/>
          <w:sz w:val="36"/>
          <w:szCs w:val="36"/>
          <w:lang w:eastAsia="zh-CN"/>
        </w:rPr>
        <w:t>雪茄烟专业店</w:t>
      </w:r>
      <w:r>
        <w:rPr>
          <w:rFonts w:hint="eastAsia" w:ascii="宋体" w:hAnsi="宋体" w:eastAsia="宋体" w:cs="宋体"/>
          <w:b/>
          <w:bCs/>
          <w:color w:val="000000"/>
          <w:kern w:val="0"/>
          <w:sz w:val="36"/>
          <w:szCs w:val="36"/>
          <w:lang w:val="en-US" w:eastAsia="zh-CN"/>
        </w:rPr>
        <w:t>零售点</w:t>
      </w:r>
      <w:r>
        <w:rPr>
          <w:rFonts w:hint="eastAsia" w:ascii="宋体" w:hAnsi="宋体" w:eastAsia="宋体" w:cs="宋体"/>
          <w:b/>
          <w:bCs/>
          <w:color w:val="000000"/>
          <w:kern w:val="0"/>
          <w:sz w:val="36"/>
          <w:szCs w:val="36"/>
        </w:rPr>
        <w:t>合理布局规定</w:t>
      </w:r>
    </w:p>
    <w:p w14:paraId="564640F4">
      <w:pPr>
        <w:keepNext w:val="0"/>
        <w:keepLines w:val="0"/>
        <w:pageBreakBefore w:val="0"/>
        <w:widowControl/>
        <w:kinsoku/>
        <w:wordWrap/>
        <w:overflowPunct/>
        <w:topLinePunct w:val="0"/>
        <w:autoSpaceDE w:val="0"/>
        <w:bidi w:val="0"/>
        <w:spacing w:line="600" w:lineRule="exact"/>
        <w:jc w:val="center"/>
        <w:rPr>
          <w:rFonts w:hint="eastAsia" w:ascii="宋体" w:hAnsi="宋体" w:eastAsia="宋体" w:cs="宋体"/>
          <w:b/>
          <w:bCs/>
          <w:color w:val="000000"/>
          <w:kern w:val="0"/>
          <w:sz w:val="36"/>
          <w:szCs w:val="36"/>
          <w:lang w:eastAsia="zh-CN"/>
        </w:rPr>
      </w:pPr>
      <w:r>
        <w:rPr>
          <w:rFonts w:hint="eastAsia" w:ascii="宋体" w:hAnsi="宋体" w:eastAsia="宋体" w:cs="宋体"/>
          <w:b/>
          <w:bCs/>
          <w:color w:val="000000"/>
          <w:kern w:val="0"/>
          <w:sz w:val="36"/>
          <w:szCs w:val="36"/>
          <w:lang w:eastAsia="zh-CN"/>
        </w:rPr>
        <w:t>（</w:t>
      </w:r>
      <w:r>
        <w:rPr>
          <w:rFonts w:hint="eastAsia" w:ascii="宋体" w:hAnsi="宋体" w:eastAsia="宋体" w:cs="宋体"/>
          <w:b/>
          <w:bCs/>
          <w:color w:val="000000"/>
          <w:kern w:val="0"/>
          <w:sz w:val="36"/>
          <w:szCs w:val="36"/>
          <w:lang w:val="en-US" w:eastAsia="zh-CN"/>
        </w:rPr>
        <w:t>征求意见稿</w:t>
      </w:r>
      <w:r>
        <w:rPr>
          <w:rFonts w:hint="eastAsia" w:ascii="宋体" w:hAnsi="宋体" w:eastAsia="宋体" w:cs="宋体"/>
          <w:b/>
          <w:bCs/>
          <w:color w:val="000000"/>
          <w:kern w:val="0"/>
          <w:sz w:val="36"/>
          <w:szCs w:val="36"/>
          <w:lang w:eastAsia="zh-CN"/>
        </w:rPr>
        <w:t>）</w:t>
      </w:r>
    </w:p>
    <w:p w14:paraId="6036BF02">
      <w:pPr>
        <w:keepNext w:val="0"/>
        <w:keepLines w:val="0"/>
        <w:pageBreakBefore w:val="0"/>
        <w:widowControl/>
        <w:kinsoku/>
        <w:wordWrap/>
        <w:overflowPunct/>
        <w:topLinePunct w:val="0"/>
        <w:autoSpaceDE w:val="0"/>
        <w:autoSpaceDN/>
        <w:bidi w:val="0"/>
        <w:adjustRightInd/>
        <w:snapToGrid/>
        <w:spacing w:line="640" w:lineRule="exact"/>
        <w:jc w:val="center"/>
        <w:textAlignment w:val="auto"/>
        <w:rPr>
          <w:rFonts w:hint="eastAsia" w:ascii="方正公文小标宋" w:hAnsi="方正公文小标宋" w:eastAsia="宋体" w:cs="Calibri"/>
          <w:color w:val="000000"/>
          <w:kern w:val="0"/>
          <w:sz w:val="44"/>
          <w:szCs w:val="44"/>
        </w:rPr>
      </w:pPr>
      <w:r>
        <w:rPr>
          <w:rFonts w:ascii="方正公文小标宋" w:hAnsi="方正公文小标宋" w:eastAsia="宋体" w:cs="Calibri"/>
          <w:color w:val="000000"/>
          <w:kern w:val="0"/>
          <w:sz w:val="44"/>
          <w:szCs w:val="44"/>
        </w:rPr>
        <w:t xml:space="preserve"> </w:t>
      </w:r>
    </w:p>
    <w:p w14:paraId="2F4A9EEC">
      <w:pPr>
        <w:keepNext w:val="0"/>
        <w:keepLines w:val="0"/>
        <w:pageBreakBefore w:val="0"/>
        <w:kinsoku/>
        <w:wordWrap/>
        <w:overflowPunct/>
        <w:topLinePunct w:val="0"/>
        <w:autoSpaceDE w:val="0"/>
        <w:bidi w:val="0"/>
        <w:adjustRightInd w:val="0"/>
        <w:snapToGrid w:val="0"/>
        <w:spacing w:line="600" w:lineRule="exact"/>
        <w:contextualSpacing/>
        <w:jc w:val="center"/>
        <w:rPr>
          <w:rFonts w:hint="eastAsia" w:ascii="黑体" w:hAnsi="宋体" w:eastAsia="黑体" w:cs="Calibri"/>
          <w:color w:val="000000"/>
          <w:sz w:val="32"/>
          <w:szCs w:val="32"/>
        </w:rPr>
      </w:pPr>
      <w:r>
        <w:rPr>
          <w:rFonts w:hint="eastAsia" w:ascii="黑体" w:hAnsi="黑体" w:eastAsia="黑体" w:cs="Calibri"/>
          <w:color w:val="000000"/>
          <w:sz w:val="32"/>
          <w:szCs w:val="32"/>
        </w:rPr>
        <w:t>第一章</w:t>
      </w:r>
      <w:r>
        <w:rPr>
          <w:rFonts w:hint="eastAsia" w:ascii="黑体" w:hAnsi="宋体" w:eastAsia="黑体" w:cs="Calibri"/>
          <w:color w:val="000000"/>
          <w:sz w:val="32"/>
          <w:szCs w:val="32"/>
        </w:rPr>
        <w:t xml:space="preserve">  </w:t>
      </w:r>
      <w:r>
        <w:rPr>
          <w:rFonts w:hint="eastAsia" w:ascii="黑体" w:hAnsi="黑体" w:eastAsia="黑体" w:cs="Calibri"/>
          <w:kern w:val="0"/>
          <w:sz w:val="32"/>
          <w:szCs w:val="32"/>
        </w:rPr>
        <w:t>总则</w:t>
      </w:r>
    </w:p>
    <w:p w14:paraId="7567E0C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lang w:eastAsia="zh-CN"/>
        </w:rPr>
      </w:pPr>
      <w:bookmarkStart w:id="0" w:name="_Hlk215735740"/>
      <w:r>
        <w:rPr>
          <w:rFonts w:eastAsia="黑体"/>
          <w:sz w:val="32"/>
          <w:szCs w:val="32"/>
        </w:rPr>
        <w:t>第一条</w:t>
      </w:r>
      <w:bookmarkEnd w:id="0"/>
      <w:r>
        <w:rPr>
          <w:rFonts w:eastAsia="仿宋_GB2312"/>
          <w:sz w:val="32"/>
          <w:szCs w:val="32"/>
        </w:rPr>
        <w:t xml:space="preserve">  </w:t>
      </w:r>
      <w:r>
        <w:rPr>
          <w:rFonts w:hint="eastAsia" w:ascii="仿宋_GB2312" w:hAnsi="宋体" w:eastAsia="仿宋_GB2312" w:cs="宋体"/>
          <w:color w:val="000000"/>
          <w:kern w:val="0"/>
          <w:sz w:val="32"/>
          <w:szCs w:val="32"/>
        </w:rPr>
        <w:t>为规范雪茄烟零售市场秩序，保障国家利益和消费者利益，进一步优化雪茄烟零售市场资源配置，促进雪茄烟零售市场规范化、专业化发展，依据</w:t>
      </w:r>
      <w:r>
        <w:rPr>
          <w:rFonts w:hint="eastAsia" w:ascii="仿宋_GB2312" w:hAnsi="宋体" w:eastAsia="仿宋_GB2312" w:cs="Times New Roman"/>
          <w:sz w:val="32"/>
          <w:szCs w:val="32"/>
        </w:rPr>
        <w:t>《中华人民共和国烟草专卖法》《中华人民共和国行政许可法》《中华人民共和国未成年人保护法》《中华人民共和国烟草专卖法实施条例》</w:t>
      </w:r>
    </w:p>
    <w:p w14:paraId="5CBF8C7D">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 w:val="32"/>
          <w:szCs w:val="32"/>
        </w:rPr>
      </w:pPr>
      <w:r>
        <w:rPr>
          <w:rFonts w:hint="eastAsia" w:ascii="仿宋_GB2312" w:hAnsi="宋体" w:eastAsia="仿宋_GB2312" w:cs="Times New Roman"/>
          <w:sz w:val="32"/>
          <w:szCs w:val="32"/>
        </w:rPr>
        <w:t>《北京市控制吸烟条例》《烟草专卖许可证管理办法》《烟草专卖许可证管理办法实施细则》</w:t>
      </w:r>
      <w:r>
        <w:rPr>
          <w:rFonts w:hint="eastAsia" w:ascii="仿宋_GB2312" w:hAnsi="宋体" w:eastAsia="仿宋_GB2312" w:cs="宋体"/>
          <w:color w:val="000000"/>
          <w:kern w:val="0"/>
          <w:sz w:val="32"/>
          <w:szCs w:val="32"/>
        </w:rPr>
        <w:t>等</w:t>
      </w:r>
      <w:r>
        <w:rPr>
          <w:rFonts w:hint="eastAsia" w:ascii="仿宋_GB2312" w:hAnsi="宋体" w:eastAsia="仿宋_GB2312" w:cs="宋体"/>
          <w:color w:val="auto"/>
          <w:kern w:val="0"/>
          <w:sz w:val="32"/>
          <w:szCs w:val="32"/>
        </w:rPr>
        <w:t>法律法规、规章和规范性文件，</w:t>
      </w:r>
      <w:r>
        <w:rPr>
          <w:rFonts w:hint="eastAsia" w:ascii="仿宋_GB2312" w:hAnsi="宋体" w:eastAsia="仿宋_GB2312" w:cs="宋体"/>
          <w:kern w:val="0"/>
          <w:sz w:val="32"/>
          <w:szCs w:val="32"/>
        </w:rPr>
        <w:t>结合本区实际，制定本规定。</w:t>
      </w:r>
    </w:p>
    <w:p w14:paraId="7A56BB5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spacing w:line="600" w:lineRule="exact"/>
        <w:ind w:firstLine="640" w:firstLineChars="200"/>
        <w:rPr>
          <w:rFonts w:hint="default" w:ascii="Times New Roman" w:hAnsi="Times New Roman" w:eastAsia="仿宋_GB2312" w:cs="Times New Roman"/>
          <w:color w:val="000000"/>
          <w:kern w:val="0"/>
          <w:sz w:val="32"/>
          <w:szCs w:val="32"/>
          <w:lang w:val="en-US" w:eastAsia="zh-CN"/>
        </w:rPr>
      </w:pPr>
      <w:r>
        <w:rPr>
          <w:rFonts w:eastAsia="黑体"/>
          <w:sz w:val="32"/>
          <w:szCs w:val="32"/>
        </w:rPr>
        <w:t>第</w:t>
      </w:r>
      <w:r>
        <w:rPr>
          <w:rFonts w:hint="eastAsia" w:eastAsia="黑体"/>
          <w:sz w:val="32"/>
          <w:szCs w:val="32"/>
        </w:rPr>
        <w:t>二</w:t>
      </w:r>
      <w:r>
        <w:rPr>
          <w:rFonts w:eastAsia="黑体"/>
          <w:sz w:val="32"/>
          <w:szCs w:val="32"/>
        </w:rPr>
        <w:t>条</w:t>
      </w:r>
      <w:r>
        <w:rPr>
          <w:rFonts w:eastAsia="仿宋_GB2312"/>
          <w:sz w:val="32"/>
          <w:szCs w:val="32"/>
        </w:rPr>
        <w:t xml:space="preserve">  </w:t>
      </w:r>
      <w:r>
        <w:rPr>
          <w:rFonts w:hint="eastAsia" w:ascii="Times New Roman" w:hAnsi="Times New Roman" w:eastAsia="仿宋_GB2312" w:cs="Times New Roman"/>
          <w:color w:val="000000"/>
          <w:kern w:val="0"/>
          <w:sz w:val="32"/>
          <w:szCs w:val="32"/>
        </w:rPr>
        <w:t>本规定所称</w:t>
      </w:r>
      <w:r>
        <w:rPr>
          <w:rFonts w:hint="eastAsia" w:ascii="Times New Roman" w:hAnsi="Times New Roman" w:eastAsia="仿宋_GB2312" w:cs="Times New Roman"/>
          <w:color w:val="000000"/>
          <w:kern w:val="0"/>
          <w:sz w:val="32"/>
          <w:szCs w:val="32"/>
          <w:lang w:eastAsia="zh-CN"/>
        </w:rPr>
        <w:t>雪茄烟专业店</w:t>
      </w:r>
      <w:r>
        <w:rPr>
          <w:rFonts w:hint="eastAsia" w:ascii="Times New Roman" w:hAnsi="Times New Roman" w:eastAsia="仿宋_GB2312" w:cs="Times New Roman"/>
          <w:color w:val="000000"/>
          <w:kern w:val="0"/>
          <w:sz w:val="32"/>
          <w:szCs w:val="32"/>
          <w:lang w:val="en-US" w:eastAsia="zh-CN"/>
        </w:rPr>
        <w:t>零售点</w:t>
      </w:r>
      <w:r>
        <w:rPr>
          <w:rFonts w:hint="eastAsia" w:ascii="Times New Roman" w:hAnsi="Times New Roman" w:eastAsia="仿宋_GB2312" w:cs="Times New Roman"/>
          <w:color w:val="000000"/>
          <w:kern w:val="0"/>
          <w:sz w:val="32"/>
          <w:szCs w:val="32"/>
        </w:rPr>
        <w:t>是指依法取得烟草专卖零售许可证（仅限雪茄烟本店零售）的公民、法人及其他组织专门从事经营雪茄烟零售业务</w:t>
      </w:r>
      <w:r>
        <w:rPr>
          <w:rFonts w:hint="eastAsia" w:ascii="Times New Roman" w:hAnsi="Times New Roman" w:eastAsia="仿宋_GB2312" w:cs="Times New Roman"/>
          <w:color w:val="000000"/>
          <w:kern w:val="0"/>
          <w:sz w:val="32"/>
          <w:szCs w:val="32"/>
          <w:lang w:eastAsia="zh-CN"/>
        </w:rPr>
        <w:t>的</w:t>
      </w:r>
      <w:r>
        <w:rPr>
          <w:rFonts w:hint="eastAsia" w:ascii="Times New Roman" w:hAnsi="Times New Roman" w:eastAsia="仿宋_GB2312" w:cs="Times New Roman"/>
          <w:color w:val="000000"/>
          <w:kern w:val="0"/>
          <w:sz w:val="32"/>
          <w:szCs w:val="32"/>
        </w:rPr>
        <w:t>经营场所。</w:t>
      </w:r>
      <w:r>
        <w:rPr>
          <w:rFonts w:hint="eastAsia" w:ascii="Times New Roman" w:hAnsi="Times New Roman" w:eastAsia="仿宋_GB2312" w:cs="Times New Roman"/>
          <w:color w:val="000000"/>
          <w:kern w:val="0"/>
          <w:sz w:val="32"/>
          <w:szCs w:val="32"/>
          <w:lang w:val="en-US" w:eastAsia="zh-CN"/>
        </w:rPr>
        <w:t>零售点应当设置于与住所相独立的固定经营场所，面向公众经营，并与营业执照登记地址相符。</w:t>
      </w:r>
    </w:p>
    <w:p w14:paraId="58937D38">
      <w:pPr>
        <w:keepNext w:val="0"/>
        <w:keepLines w:val="0"/>
        <w:pageBreakBefore w:val="0"/>
        <w:widowControl/>
        <w:tabs>
          <w:tab w:val="left" w:pos="3664"/>
          <w:tab w:val="left" w:pos="8244"/>
          <w:tab w:val="left" w:pos="9160"/>
          <w:tab w:val="left" w:pos="10076"/>
          <w:tab w:val="left" w:pos="10992"/>
          <w:tab w:val="left" w:pos="11908"/>
          <w:tab w:val="left" w:pos="12824"/>
          <w:tab w:val="left" w:pos="13740"/>
          <w:tab w:val="left" w:pos="14656"/>
        </w:tabs>
        <w:kinsoku/>
        <w:wordWrap/>
        <w:overflowPunct/>
        <w:topLinePunct w:val="0"/>
        <w:autoSpaceDE w:val="0"/>
        <w:bidi w:val="0"/>
        <w:spacing w:line="600" w:lineRule="exact"/>
        <w:ind w:firstLine="640" w:firstLineChars="200"/>
        <w:rPr>
          <w:rFonts w:hint="eastAsia" w:ascii="仿宋_GB2312" w:hAnsi="宋体" w:eastAsia="仿宋_GB2312" w:cs="宋体"/>
          <w:color w:val="000000"/>
          <w:kern w:val="0"/>
          <w:sz w:val="31"/>
          <w:szCs w:val="31"/>
        </w:rPr>
      </w:pPr>
      <w:r>
        <w:rPr>
          <w:rFonts w:eastAsia="黑体"/>
          <w:sz w:val="32"/>
          <w:szCs w:val="32"/>
        </w:rPr>
        <w:t>第</w:t>
      </w:r>
      <w:r>
        <w:rPr>
          <w:rFonts w:hint="eastAsia" w:eastAsia="黑体"/>
          <w:sz w:val="32"/>
          <w:szCs w:val="32"/>
        </w:rPr>
        <w:t>三</w:t>
      </w:r>
      <w:r>
        <w:rPr>
          <w:rFonts w:eastAsia="黑体"/>
          <w:sz w:val="32"/>
          <w:szCs w:val="32"/>
        </w:rPr>
        <w:t>条</w:t>
      </w:r>
      <w:r>
        <w:rPr>
          <w:rFonts w:eastAsia="仿宋_GB2312"/>
          <w:sz w:val="32"/>
          <w:szCs w:val="32"/>
        </w:rPr>
        <w:t xml:space="preserve">  </w:t>
      </w:r>
      <w:r>
        <w:rPr>
          <w:rFonts w:hint="eastAsia" w:ascii="仿宋_GB2312" w:hAnsi="宋体" w:eastAsia="仿宋_GB2312" w:cs="宋体"/>
          <w:color w:val="000000"/>
          <w:kern w:val="0"/>
          <w:sz w:val="32"/>
          <w:szCs w:val="32"/>
        </w:rPr>
        <w:t>本规定适用于北京市</w:t>
      </w:r>
      <w:r>
        <w:rPr>
          <w:rFonts w:hint="eastAsia" w:ascii="仿宋_GB2312" w:hAnsi="宋体" w:eastAsia="仿宋_GB2312" w:cs="宋体"/>
          <w:color w:val="000000"/>
          <w:kern w:val="0"/>
          <w:sz w:val="32"/>
          <w:szCs w:val="32"/>
          <w:lang w:val="en-US" w:eastAsia="zh-CN"/>
        </w:rPr>
        <w:t>顺义</w:t>
      </w:r>
      <w:r>
        <w:rPr>
          <w:rFonts w:hint="eastAsia" w:ascii="仿宋_GB2312" w:hAnsi="宋体" w:eastAsia="仿宋_GB2312" w:cs="宋体"/>
          <w:color w:val="000000"/>
          <w:kern w:val="0"/>
          <w:sz w:val="32"/>
          <w:szCs w:val="32"/>
        </w:rPr>
        <w:t>区行政区域内许可范围仅为雪茄烟本店零售的</w:t>
      </w:r>
      <w:r>
        <w:rPr>
          <w:rFonts w:hint="eastAsia" w:ascii="Times New Roman" w:hAnsi="Times New Roman" w:eastAsia="仿宋_GB2312" w:cs="Times New Roman"/>
          <w:color w:val="000000"/>
          <w:kern w:val="0"/>
          <w:sz w:val="32"/>
          <w:szCs w:val="32"/>
          <w:lang w:eastAsia="zh-CN"/>
        </w:rPr>
        <w:t>雪茄烟专业店</w:t>
      </w:r>
      <w:r>
        <w:rPr>
          <w:rFonts w:hint="eastAsia" w:ascii="Times New Roman" w:hAnsi="Times New Roman" w:eastAsia="仿宋_GB2312" w:cs="Times New Roman"/>
          <w:color w:val="000000"/>
          <w:kern w:val="0"/>
          <w:sz w:val="32"/>
          <w:szCs w:val="32"/>
          <w:lang w:val="en-US" w:eastAsia="zh-CN"/>
        </w:rPr>
        <w:t>零售点</w:t>
      </w:r>
      <w:r>
        <w:rPr>
          <w:rFonts w:hint="eastAsia" w:ascii="仿宋_GB2312" w:hAnsi="宋体" w:eastAsia="仿宋_GB2312" w:cs="宋体"/>
          <w:color w:val="000000"/>
          <w:kern w:val="0"/>
          <w:sz w:val="32"/>
          <w:szCs w:val="32"/>
        </w:rPr>
        <w:t>布局管理。</w:t>
      </w:r>
    </w:p>
    <w:p w14:paraId="2D37B93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bidi w:val="0"/>
        <w:spacing w:line="600" w:lineRule="exact"/>
        <w:ind w:firstLine="640" w:firstLineChars="200"/>
        <w:rPr>
          <w:rFonts w:hint="eastAsia" w:ascii="仿宋_GB2312" w:hAnsi="宋体" w:eastAsia="仿宋_GB2312" w:cs="宋体"/>
          <w:color w:val="auto"/>
          <w:kern w:val="0"/>
          <w:sz w:val="32"/>
          <w:szCs w:val="32"/>
        </w:rPr>
      </w:pPr>
      <w:r>
        <w:rPr>
          <w:rFonts w:eastAsia="黑体"/>
          <w:sz w:val="32"/>
          <w:szCs w:val="32"/>
        </w:rPr>
        <w:t>第</w:t>
      </w:r>
      <w:r>
        <w:rPr>
          <w:rFonts w:hint="eastAsia" w:eastAsia="黑体"/>
          <w:sz w:val="32"/>
          <w:szCs w:val="32"/>
        </w:rPr>
        <w:t>四</w:t>
      </w:r>
      <w:r>
        <w:rPr>
          <w:rFonts w:eastAsia="黑体"/>
          <w:sz w:val="32"/>
          <w:szCs w:val="32"/>
        </w:rPr>
        <w:t>条</w:t>
      </w:r>
      <w:r>
        <w:rPr>
          <w:rFonts w:eastAsia="仿宋_GB2312"/>
          <w:sz w:val="32"/>
          <w:szCs w:val="32"/>
        </w:rPr>
        <w:t xml:space="preserve">  </w:t>
      </w:r>
      <w:r>
        <w:rPr>
          <w:rFonts w:hint="eastAsia" w:ascii="仿宋_GB2312" w:hAnsi="宋体" w:eastAsia="仿宋_GB2312" w:cs="宋体"/>
          <w:color w:val="auto"/>
          <w:kern w:val="0"/>
          <w:sz w:val="32"/>
          <w:szCs w:val="32"/>
        </w:rPr>
        <w:t>本规定遵循依法行政，总量管理</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科学规划</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服务社会</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均衡发展，信赖保护，</w:t>
      </w:r>
      <w:r>
        <w:rPr>
          <w:rFonts w:hint="eastAsia" w:ascii="仿宋_GB2312" w:hAnsi="宋体" w:eastAsia="仿宋_GB2312" w:cs="宋体"/>
          <w:color w:val="auto"/>
          <w:kern w:val="0"/>
          <w:sz w:val="32"/>
          <w:szCs w:val="32"/>
          <w:lang w:val="en-US" w:eastAsia="zh-CN"/>
        </w:rPr>
        <w:t>尊重市场，</w:t>
      </w:r>
      <w:r>
        <w:rPr>
          <w:rFonts w:hint="eastAsia" w:ascii="仿宋_GB2312" w:hAnsi="宋体" w:eastAsia="仿宋_GB2312" w:cs="宋体"/>
          <w:color w:val="auto"/>
          <w:kern w:val="0"/>
          <w:sz w:val="32"/>
          <w:szCs w:val="32"/>
        </w:rPr>
        <w:t>保护未成年人身心健康</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保障雪茄烟零售市场主体合法权益等原则。</w:t>
      </w:r>
    </w:p>
    <w:p w14:paraId="201BC803">
      <w:pPr>
        <w:keepNext w:val="0"/>
        <w:keepLines w:val="0"/>
        <w:pageBreakBefore w:val="0"/>
        <w:kinsoku/>
        <w:wordWrap/>
        <w:overflowPunct/>
        <w:topLinePunct w:val="0"/>
        <w:autoSpaceDE w:val="0"/>
        <w:bidi w:val="0"/>
        <w:adjustRightInd w:val="0"/>
        <w:snapToGrid w:val="0"/>
        <w:spacing w:line="600" w:lineRule="exact"/>
        <w:contextualSpacing/>
        <w:jc w:val="center"/>
        <w:rPr>
          <w:rFonts w:hint="eastAsia" w:ascii="黑体" w:hAnsi="黑体" w:eastAsia="黑体" w:cs="Calibri"/>
          <w:color w:val="000000"/>
          <w:kern w:val="0"/>
          <w:sz w:val="32"/>
          <w:szCs w:val="32"/>
        </w:rPr>
      </w:pPr>
    </w:p>
    <w:p w14:paraId="4DCA4894">
      <w:pPr>
        <w:keepNext w:val="0"/>
        <w:keepLines w:val="0"/>
        <w:pageBreakBefore w:val="0"/>
        <w:kinsoku/>
        <w:wordWrap/>
        <w:overflowPunct/>
        <w:topLinePunct w:val="0"/>
        <w:autoSpaceDE w:val="0"/>
        <w:bidi w:val="0"/>
        <w:adjustRightInd w:val="0"/>
        <w:snapToGrid w:val="0"/>
        <w:spacing w:line="600" w:lineRule="exact"/>
        <w:contextualSpacing/>
        <w:jc w:val="center"/>
        <w:rPr>
          <w:rFonts w:hint="eastAsia" w:ascii="黑体" w:hAnsi="宋体" w:eastAsia="黑体" w:cs="Calibri"/>
          <w:color w:val="000000"/>
          <w:sz w:val="31"/>
          <w:szCs w:val="31"/>
        </w:rPr>
      </w:pPr>
      <w:r>
        <w:rPr>
          <w:rFonts w:hint="eastAsia" w:ascii="黑体" w:hAnsi="黑体" w:eastAsia="黑体" w:cs="Calibri"/>
          <w:color w:val="000000"/>
          <w:kern w:val="0"/>
          <w:sz w:val="32"/>
          <w:szCs w:val="32"/>
        </w:rPr>
        <w:t>第二章</w:t>
      </w:r>
      <w:r>
        <w:rPr>
          <w:rFonts w:hint="eastAsia" w:ascii="黑体" w:hAnsi="宋体" w:eastAsia="黑体" w:cs="Calibri"/>
          <w:color w:val="000000"/>
          <w:kern w:val="0"/>
          <w:sz w:val="32"/>
          <w:szCs w:val="32"/>
        </w:rPr>
        <w:t xml:space="preserve">  </w:t>
      </w:r>
      <w:r>
        <w:rPr>
          <w:rFonts w:hint="eastAsia" w:ascii="黑体" w:hAnsi="黑体" w:eastAsia="黑体" w:cs="Calibri"/>
          <w:color w:val="000000"/>
          <w:kern w:val="0"/>
          <w:sz w:val="32"/>
          <w:szCs w:val="32"/>
        </w:rPr>
        <w:t>布局标准</w:t>
      </w:r>
    </w:p>
    <w:p w14:paraId="5174D2D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bidi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五</w:t>
      </w:r>
      <w:r>
        <w:rPr>
          <w:rFonts w:eastAsia="黑体"/>
          <w:sz w:val="32"/>
          <w:szCs w:val="32"/>
        </w:rPr>
        <w:t>条</w:t>
      </w:r>
      <w:r>
        <w:rPr>
          <w:rFonts w:eastAsia="仿宋_GB2312"/>
          <w:sz w:val="32"/>
          <w:szCs w:val="32"/>
        </w:rPr>
        <w:t xml:space="preserve">  </w:t>
      </w:r>
      <w:r>
        <w:rPr>
          <w:rFonts w:hint="eastAsia" w:ascii="仿宋_GB2312" w:hAnsi="宋体" w:eastAsia="仿宋_GB2312" w:cs="宋体"/>
          <w:color w:val="000000"/>
          <w:kern w:val="0"/>
          <w:sz w:val="32"/>
          <w:szCs w:val="32"/>
        </w:rPr>
        <w:t>根据辖区内人口数量结构、经济水平等客观条件，综合考虑雪茄烟消费特</w:t>
      </w:r>
      <w:r>
        <w:rPr>
          <w:rFonts w:hint="eastAsia" w:ascii="仿宋_GB2312" w:hAnsi="宋体" w:eastAsia="仿宋_GB2312" w:cs="宋体"/>
          <w:color w:val="auto"/>
          <w:kern w:val="0"/>
          <w:sz w:val="32"/>
          <w:szCs w:val="32"/>
        </w:rPr>
        <w:t>点、市场需求等因素，实行总量控制模式，确定本辖区</w:t>
      </w:r>
      <w:r>
        <w:rPr>
          <w:rFonts w:hint="eastAsia" w:ascii="仿宋_GB2312" w:hAnsi="宋体" w:eastAsia="仿宋_GB2312" w:cs="宋体"/>
          <w:color w:val="auto"/>
          <w:kern w:val="0"/>
          <w:sz w:val="32"/>
          <w:szCs w:val="32"/>
          <w:lang w:eastAsia="zh-CN"/>
        </w:rPr>
        <w:t>雪茄烟专业店</w:t>
      </w:r>
      <w:r>
        <w:rPr>
          <w:rFonts w:hint="eastAsia" w:ascii="仿宋_GB2312" w:hAnsi="宋体" w:eastAsia="仿宋_GB2312" w:cs="宋体"/>
          <w:color w:val="auto"/>
          <w:kern w:val="0"/>
          <w:sz w:val="32"/>
          <w:szCs w:val="32"/>
          <w:lang w:val="en-US" w:eastAsia="zh-CN"/>
        </w:rPr>
        <w:t>零售点</w:t>
      </w:r>
      <w:r>
        <w:rPr>
          <w:rFonts w:hint="eastAsia" w:ascii="仿宋_GB2312" w:hAnsi="宋体" w:eastAsia="仿宋_GB2312" w:cs="宋体"/>
          <w:color w:val="auto"/>
          <w:kern w:val="0"/>
          <w:sz w:val="32"/>
          <w:szCs w:val="32"/>
        </w:rPr>
        <w:t>指导数量</w:t>
      </w:r>
      <w:r>
        <w:rPr>
          <w:rFonts w:hint="eastAsia" w:ascii="仿宋_GB2312" w:hAnsi="宋体" w:eastAsia="仿宋_GB2312" w:cs="宋体"/>
          <w:color w:val="auto"/>
          <w:kern w:val="0"/>
          <w:sz w:val="32"/>
          <w:szCs w:val="32"/>
          <w:lang w:val="en-US" w:eastAsia="zh-CN"/>
        </w:rPr>
        <w:t>上限</w:t>
      </w:r>
      <w:r>
        <w:rPr>
          <w:rFonts w:hint="eastAsia" w:ascii="仿宋_GB2312" w:hAnsi="宋体" w:eastAsia="仿宋_GB2312" w:cs="宋体"/>
          <w:color w:val="auto"/>
          <w:kern w:val="0"/>
          <w:sz w:val="32"/>
          <w:szCs w:val="32"/>
        </w:rPr>
        <w:t>为</w:t>
      </w:r>
      <w:r>
        <w:rPr>
          <w:rFonts w:hint="eastAsia" w:ascii="仿宋_GB2312" w:hAnsi="宋体" w:eastAsia="仿宋_GB2312" w:cs="宋体"/>
          <w:color w:val="auto"/>
          <w:kern w:val="0"/>
          <w:sz w:val="32"/>
          <w:szCs w:val="32"/>
          <w:lang w:val="en-US" w:eastAsia="zh-CN"/>
        </w:rPr>
        <w:t>50</w:t>
      </w:r>
      <w:r>
        <w:rPr>
          <w:rFonts w:hint="eastAsia" w:ascii="仿宋_GB2312" w:hAnsi="宋体" w:eastAsia="仿宋_GB2312" w:cs="宋体"/>
          <w:color w:val="auto"/>
          <w:kern w:val="0"/>
          <w:sz w:val="32"/>
          <w:szCs w:val="32"/>
        </w:rPr>
        <w:t>个，达到</w:t>
      </w:r>
      <w:r>
        <w:rPr>
          <w:rFonts w:hint="eastAsia" w:ascii="仿宋_GB2312" w:hAnsi="宋体" w:eastAsia="仿宋_GB2312" w:cs="宋体"/>
          <w:color w:val="auto"/>
          <w:kern w:val="0"/>
          <w:sz w:val="32"/>
          <w:szCs w:val="32"/>
          <w:lang w:val="en-US" w:eastAsia="zh-CN"/>
        </w:rPr>
        <w:t>指导</w:t>
      </w:r>
      <w:r>
        <w:rPr>
          <w:rFonts w:hint="eastAsia" w:ascii="仿宋_GB2312" w:hAnsi="宋体" w:eastAsia="仿宋_GB2312" w:cs="宋体"/>
          <w:color w:val="auto"/>
          <w:kern w:val="0"/>
          <w:sz w:val="32"/>
          <w:szCs w:val="32"/>
        </w:rPr>
        <w:t>数量上限</w:t>
      </w:r>
      <w:r>
        <w:rPr>
          <w:rFonts w:hint="eastAsia" w:ascii="仿宋_GB2312" w:hAnsi="宋体" w:eastAsia="仿宋_GB2312" w:cs="宋体"/>
          <w:color w:val="auto"/>
          <w:kern w:val="0"/>
          <w:sz w:val="32"/>
          <w:szCs w:val="32"/>
          <w:lang w:val="en-US" w:eastAsia="zh-CN"/>
        </w:rPr>
        <w:t>后</w:t>
      </w:r>
      <w:r>
        <w:rPr>
          <w:rFonts w:hint="eastAsia" w:ascii="仿宋_GB2312" w:hAnsi="宋体" w:eastAsia="仿宋_GB2312" w:cs="宋体"/>
          <w:color w:val="auto"/>
          <w:kern w:val="0"/>
          <w:sz w:val="32"/>
          <w:szCs w:val="32"/>
        </w:rPr>
        <w:t>按照“退一进一”</w:t>
      </w:r>
      <w:r>
        <w:rPr>
          <w:rFonts w:hint="eastAsia" w:ascii="仿宋_GB2312" w:hAnsi="宋体" w:eastAsia="仿宋_GB2312" w:cs="宋体"/>
          <w:color w:val="000000"/>
          <w:kern w:val="0"/>
          <w:sz w:val="32"/>
          <w:szCs w:val="32"/>
        </w:rPr>
        <w:t>的原则办理。</w:t>
      </w:r>
    </w:p>
    <w:p w14:paraId="4D74B86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bidi w:val="0"/>
        <w:spacing w:line="600" w:lineRule="exact"/>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本辖区内</w:t>
      </w:r>
      <w:r>
        <w:rPr>
          <w:rFonts w:hint="eastAsia" w:ascii="仿宋_GB2312" w:hAnsi="宋体" w:eastAsia="仿宋_GB2312" w:cs="宋体"/>
          <w:color w:val="000000"/>
          <w:kern w:val="0"/>
          <w:sz w:val="32"/>
          <w:szCs w:val="32"/>
          <w:lang w:eastAsia="zh-CN"/>
        </w:rPr>
        <w:t>雪茄烟专业店</w:t>
      </w:r>
      <w:r>
        <w:rPr>
          <w:rFonts w:hint="eastAsia" w:ascii="仿宋_GB2312" w:hAnsi="宋体" w:eastAsia="仿宋_GB2312" w:cs="宋体"/>
          <w:color w:val="000000"/>
          <w:kern w:val="0"/>
          <w:sz w:val="32"/>
          <w:szCs w:val="32"/>
          <w:lang w:val="en-US" w:eastAsia="zh-CN"/>
        </w:rPr>
        <w:t>零售点</w:t>
      </w:r>
      <w:r>
        <w:rPr>
          <w:rFonts w:hint="eastAsia" w:ascii="仿宋_GB2312" w:hAnsi="宋体" w:eastAsia="仿宋_GB2312" w:cs="宋体"/>
          <w:color w:val="000000"/>
          <w:kern w:val="0"/>
          <w:sz w:val="32"/>
          <w:szCs w:val="32"/>
        </w:rPr>
        <w:t>指导数量定期进行评估调整，并公告实施。</w:t>
      </w:r>
    </w:p>
    <w:p w14:paraId="11D27500">
      <w:pPr>
        <w:keepNext w:val="0"/>
        <w:keepLines w:val="0"/>
        <w:pageBreakBefore w:val="0"/>
        <w:kinsoku/>
        <w:wordWrap/>
        <w:overflowPunct/>
        <w:topLinePunct w:val="0"/>
        <w:autoSpaceDE w:val="0"/>
        <w:bidi w:val="0"/>
        <w:spacing w:line="600" w:lineRule="exact"/>
        <w:ind w:firstLine="640" w:firstLineChars="200"/>
        <w:rPr>
          <w:rFonts w:hint="eastAsia" w:ascii="仿宋_GB2312" w:hAnsi="宋体" w:eastAsia="仿宋_GB2312" w:cs="Calibri"/>
          <w:color w:val="000000"/>
          <w:kern w:val="0"/>
          <w:sz w:val="32"/>
          <w:szCs w:val="32"/>
        </w:rPr>
      </w:pPr>
      <w:r>
        <w:rPr>
          <w:rFonts w:hint="eastAsia" w:ascii="黑体" w:hAnsi="黑体" w:eastAsia="黑体" w:cs="Calibri"/>
          <w:color w:val="000000"/>
          <w:kern w:val="0"/>
          <w:sz w:val="32"/>
          <w:szCs w:val="32"/>
        </w:rPr>
        <w:t>第六条</w:t>
      </w:r>
      <w:r>
        <w:rPr>
          <w:rFonts w:hint="eastAsia" w:ascii="黑体" w:hAnsi="宋体" w:eastAsia="黑体" w:cs="Calibri"/>
          <w:color w:val="000000"/>
          <w:kern w:val="0"/>
          <w:sz w:val="32"/>
          <w:szCs w:val="32"/>
        </w:rPr>
        <w:t xml:space="preserve">  </w:t>
      </w:r>
      <w:r>
        <w:rPr>
          <w:rFonts w:hint="eastAsia" w:ascii="仿宋_GB2312" w:hAnsi="宋体" w:eastAsia="仿宋_GB2312" w:cs="Calibri"/>
          <w:color w:val="000000"/>
          <w:kern w:val="0"/>
          <w:sz w:val="32"/>
          <w:szCs w:val="32"/>
          <w:lang w:eastAsia="zh-CN"/>
        </w:rPr>
        <w:t>雪茄烟专业店</w:t>
      </w:r>
      <w:r>
        <w:rPr>
          <w:rFonts w:hint="eastAsia" w:ascii="仿宋_GB2312" w:hAnsi="宋体" w:eastAsia="仿宋_GB2312" w:cs="Calibri"/>
          <w:color w:val="000000"/>
          <w:kern w:val="0"/>
          <w:sz w:val="32"/>
          <w:szCs w:val="32"/>
          <w:lang w:val="en-US" w:eastAsia="zh-CN"/>
        </w:rPr>
        <w:t>零</w:t>
      </w:r>
      <w:r>
        <w:rPr>
          <w:rFonts w:hint="eastAsia" w:ascii="仿宋_GB2312" w:hAnsi="宋体" w:eastAsia="仿宋_GB2312" w:cs="Calibri"/>
          <w:color w:val="auto"/>
          <w:kern w:val="0"/>
          <w:sz w:val="32"/>
          <w:szCs w:val="32"/>
          <w:lang w:val="en-US" w:eastAsia="zh-CN"/>
        </w:rPr>
        <w:t>售点</w:t>
      </w:r>
      <w:r>
        <w:rPr>
          <w:rFonts w:hint="eastAsia" w:ascii="仿宋_GB2312" w:hAnsi="宋体" w:eastAsia="仿宋_GB2312" w:cs="Calibri"/>
          <w:color w:val="auto"/>
          <w:kern w:val="0"/>
          <w:sz w:val="32"/>
          <w:szCs w:val="32"/>
        </w:rPr>
        <w:t>与《</w:t>
      </w:r>
      <w:r>
        <w:rPr>
          <w:rFonts w:hint="eastAsia" w:ascii="仿宋_GB2312" w:hAnsi="宋体" w:eastAsia="仿宋_GB2312" w:cs="Calibri"/>
          <w:color w:val="auto"/>
          <w:kern w:val="0"/>
          <w:sz w:val="32"/>
          <w:szCs w:val="32"/>
          <w:lang w:val="en-US" w:eastAsia="zh-CN"/>
        </w:rPr>
        <w:t>北京市顺义</w:t>
      </w:r>
      <w:r>
        <w:rPr>
          <w:rFonts w:hint="eastAsia" w:ascii="仿宋_GB2312" w:hAnsi="宋体" w:eastAsia="仿宋_GB2312" w:cs="Calibri"/>
          <w:color w:val="auto"/>
          <w:kern w:val="0"/>
          <w:sz w:val="32"/>
          <w:szCs w:val="32"/>
        </w:rPr>
        <w:t>区</w:t>
      </w:r>
      <w:r>
        <w:rPr>
          <w:rFonts w:hint="eastAsia" w:ascii="仿宋_GB2312" w:hAnsi="宋体" w:eastAsia="仿宋_GB2312" w:cs="Calibri"/>
          <w:color w:val="auto"/>
          <w:kern w:val="0"/>
          <w:sz w:val="32"/>
          <w:szCs w:val="32"/>
          <w:lang w:val="en-US" w:eastAsia="zh-CN"/>
        </w:rPr>
        <w:t>烟草专卖局</w:t>
      </w:r>
      <w:r>
        <w:rPr>
          <w:rFonts w:hint="eastAsia" w:ascii="仿宋_GB2312" w:hAnsi="宋体" w:eastAsia="仿宋_GB2312" w:cs="Calibri"/>
          <w:color w:val="auto"/>
          <w:kern w:val="0"/>
          <w:sz w:val="32"/>
          <w:szCs w:val="32"/>
        </w:rPr>
        <w:t>烟草制品零售点合理布局规定》及《北京市电子烟零售点布局规划》</w:t>
      </w:r>
      <w:r>
        <w:rPr>
          <w:rFonts w:hint="eastAsia" w:ascii="仿宋_GB2312" w:hAnsi="宋体" w:eastAsia="仿宋_GB2312" w:cs="Calibri"/>
          <w:color w:val="000000"/>
          <w:kern w:val="0"/>
          <w:sz w:val="32"/>
          <w:szCs w:val="32"/>
        </w:rPr>
        <w:t>中所适用的零售点互不作为总量及距离的参照物。</w:t>
      </w:r>
    </w:p>
    <w:p w14:paraId="51DF3BF8">
      <w:pPr>
        <w:keepNext w:val="0"/>
        <w:keepLines w:val="0"/>
        <w:pageBreakBefore w:val="0"/>
        <w:kinsoku/>
        <w:wordWrap/>
        <w:overflowPunct/>
        <w:topLinePunct w:val="0"/>
        <w:autoSpaceDE w:val="0"/>
        <w:bidi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eastAsia="黑体"/>
          <w:sz w:val="32"/>
          <w:szCs w:val="32"/>
        </w:rPr>
        <w:t>第</w:t>
      </w:r>
      <w:r>
        <w:rPr>
          <w:rFonts w:hint="eastAsia" w:eastAsia="黑体"/>
          <w:sz w:val="32"/>
          <w:szCs w:val="32"/>
        </w:rPr>
        <w:t>七</w:t>
      </w:r>
      <w:r>
        <w:rPr>
          <w:rFonts w:eastAsia="黑体"/>
          <w:sz w:val="32"/>
          <w:szCs w:val="32"/>
        </w:rPr>
        <w:t>条</w:t>
      </w:r>
      <w:r>
        <w:rPr>
          <w:rFonts w:eastAsia="仿宋_GB2312"/>
          <w:sz w:val="32"/>
          <w:szCs w:val="32"/>
        </w:rPr>
        <w:t xml:space="preserve"> </w:t>
      </w:r>
      <w:r>
        <w:rPr>
          <w:rFonts w:hint="eastAsia" w:eastAsia="仿宋_GB2312"/>
          <w:sz w:val="32"/>
          <w:szCs w:val="32"/>
          <w:lang w:val="en-US" w:eastAsia="zh-CN"/>
        </w:rPr>
        <w:t xml:space="preserve"> </w:t>
      </w:r>
      <w:r>
        <w:rPr>
          <w:rFonts w:hint="eastAsia" w:ascii="仿宋_GB2312" w:hAnsi="宋体" w:eastAsia="仿宋_GB2312" w:cs="Calibri"/>
          <w:color w:val="000000"/>
          <w:kern w:val="0"/>
          <w:sz w:val="32"/>
          <w:szCs w:val="32"/>
        </w:rPr>
        <w:t>专营雪茄烟零售业务的持证户申请变更许可范围，兼营或专营其他烟草制品零售业务的，应当符合</w:t>
      </w:r>
      <w:r>
        <w:rPr>
          <w:rFonts w:hint="eastAsia" w:ascii="仿宋_GB2312" w:hAnsi="宋体" w:eastAsia="仿宋_GB2312" w:cs="Calibri"/>
          <w:color w:val="auto"/>
          <w:kern w:val="0"/>
          <w:sz w:val="32"/>
          <w:szCs w:val="32"/>
        </w:rPr>
        <w:t>《</w:t>
      </w:r>
      <w:r>
        <w:rPr>
          <w:rFonts w:hint="eastAsia" w:ascii="仿宋_GB2312" w:hAnsi="宋体" w:eastAsia="仿宋_GB2312" w:cs="Calibri"/>
          <w:color w:val="auto"/>
          <w:kern w:val="0"/>
          <w:sz w:val="32"/>
          <w:szCs w:val="32"/>
          <w:lang w:val="en-US" w:eastAsia="zh-CN"/>
        </w:rPr>
        <w:t>北京市顺义</w:t>
      </w:r>
      <w:r>
        <w:rPr>
          <w:rFonts w:hint="eastAsia" w:ascii="仿宋_GB2312" w:hAnsi="宋体" w:eastAsia="仿宋_GB2312" w:cs="Calibri"/>
          <w:color w:val="auto"/>
          <w:kern w:val="0"/>
          <w:sz w:val="32"/>
          <w:szCs w:val="32"/>
        </w:rPr>
        <w:t>区</w:t>
      </w:r>
      <w:r>
        <w:rPr>
          <w:rFonts w:hint="eastAsia" w:ascii="仿宋_GB2312" w:hAnsi="宋体" w:eastAsia="仿宋_GB2312" w:cs="Calibri"/>
          <w:color w:val="auto"/>
          <w:kern w:val="0"/>
          <w:sz w:val="32"/>
          <w:szCs w:val="32"/>
          <w:lang w:val="en-US" w:eastAsia="zh-CN"/>
        </w:rPr>
        <w:t>烟草专卖局</w:t>
      </w:r>
      <w:r>
        <w:rPr>
          <w:rFonts w:hint="eastAsia" w:ascii="仿宋_GB2312" w:hAnsi="宋体" w:eastAsia="仿宋_GB2312" w:cs="Calibri"/>
          <w:color w:val="auto"/>
          <w:kern w:val="0"/>
          <w:sz w:val="32"/>
          <w:szCs w:val="32"/>
        </w:rPr>
        <w:t>烟草制品零售点合理布局规定》</w:t>
      </w:r>
      <w:r>
        <w:rPr>
          <w:rFonts w:hint="eastAsia" w:ascii="仿宋_GB2312" w:hAnsi="宋体" w:eastAsia="仿宋_GB2312" w:cs="Calibri"/>
          <w:color w:val="000000"/>
          <w:kern w:val="0"/>
          <w:sz w:val="32"/>
          <w:szCs w:val="32"/>
        </w:rPr>
        <w:t>。兼营或专营烟草制品零售业务的持证户申请变更许可范围，仅专营雪茄烟零售业务的，应当符合本规定。</w:t>
      </w:r>
    </w:p>
    <w:p w14:paraId="5089CC6A">
      <w:pPr>
        <w:keepNext w:val="0"/>
        <w:keepLines w:val="0"/>
        <w:pageBreakBefore w:val="0"/>
        <w:widowControl/>
        <w:kinsoku/>
        <w:wordWrap/>
        <w:overflowPunct/>
        <w:topLinePunct w:val="0"/>
        <w:autoSpaceDE w:val="0"/>
        <w:bidi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eastAsia="黑体"/>
          <w:sz w:val="32"/>
          <w:szCs w:val="32"/>
        </w:rPr>
        <w:t>第</w:t>
      </w:r>
      <w:r>
        <w:rPr>
          <w:rFonts w:hint="eastAsia" w:eastAsia="黑体"/>
          <w:sz w:val="32"/>
          <w:szCs w:val="32"/>
        </w:rPr>
        <w:t>八</w:t>
      </w:r>
      <w:r>
        <w:rPr>
          <w:rFonts w:eastAsia="黑体"/>
          <w:sz w:val="32"/>
          <w:szCs w:val="32"/>
        </w:rPr>
        <w:t>条</w:t>
      </w:r>
      <w:r>
        <w:rPr>
          <w:rFonts w:eastAsia="仿宋_GB2312"/>
          <w:sz w:val="32"/>
          <w:szCs w:val="32"/>
        </w:rPr>
        <w:t xml:space="preserve">  </w:t>
      </w:r>
      <w:r>
        <w:rPr>
          <w:rFonts w:hint="eastAsia" w:ascii="仿宋_GB2312" w:hAnsi="宋体" w:eastAsia="仿宋_GB2312" w:cs="Calibri"/>
          <w:color w:val="000000"/>
          <w:kern w:val="0"/>
          <w:sz w:val="32"/>
          <w:szCs w:val="32"/>
        </w:rPr>
        <w:t>申请</w:t>
      </w:r>
      <w:r>
        <w:rPr>
          <w:rFonts w:hint="eastAsia" w:ascii="仿宋_GB2312" w:hAnsi="宋体" w:eastAsia="仿宋_GB2312" w:cs="Calibri"/>
          <w:color w:val="000000"/>
          <w:kern w:val="0"/>
          <w:sz w:val="32"/>
          <w:szCs w:val="32"/>
          <w:lang w:eastAsia="zh-CN"/>
        </w:rPr>
        <w:t>雪茄烟专业店</w:t>
      </w:r>
      <w:r>
        <w:rPr>
          <w:rFonts w:hint="eastAsia" w:ascii="仿宋_GB2312" w:hAnsi="宋体" w:eastAsia="仿宋_GB2312" w:cs="Calibri"/>
          <w:color w:val="000000"/>
          <w:kern w:val="0"/>
          <w:sz w:val="32"/>
          <w:szCs w:val="32"/>
          <w:lang w:val="en-US" w:eastAsia="zh-CN"/>
        </w:rPr>
        <w:t>零售点</w:t>
      </w:r>
      <w:r>
        <w:rPr>
          <w:rFonts w:hint="eastAsia" w:ascii="仿宋_GB2312" w:hAnsi="宋体" w:eastAsia="仿宋_GB2312" w:cs="Calibri"/>
          <w:color w:val="000000"/>
          <w:kern w:val="0"/>
          <w:sz w:val="32"/>
          <w:szCs w:val="32"/>
        </w:rPr>
        <w:t>应同时具备以下经营条件：</w:t>
      </w:r>
    </w:p>
    <w:p w14:paraId="045A2FBC">
      <w:pPr>
        <w:keepNext w:val="0"/>
        <w:keepLines w:val="0"/>
        <w:pageBreakBefore w:val="0"/>
        <w:widowControl/>
        <w:kinsoku/>
        <w:wordWrap/>
        <w:overflowPunct/>
        <w:topLinePunct w:val="0"/>
        <w:autoSpaceDE w:val="0"/>
        <w:bidi w:val="0"/>
        <w:adjustRightInd w:val="0"/>
        <w:snapToGrid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（一）以雪茄烟零售为主营业务，同时经营其他配套业务的，应与雪茄烟零售业务有营销互补关系，包括但不限于餐饮、会所、酒吧、茶室、咖啡店、俱乐部等；</w:t>
      </w:r>
    </w:p>
    <w:p w14:paraId="12E5E656">
      <w:pPr>
        <w:keepNext w:val="0"/>
        <w:keepLines w:val="0"/>
        <w:pageBreakBefore w:val="0"/>
        <w:widowControl/>
        <w:kinsoku/>
        <w:wordWrap/>
        <w:overflowPunct/>
        <w:topLinePunct w:val="0"/>
        <w:autoSpaceDE w:val="0"/>
        <w:bidi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auto"/>
          <w:kern w:val="0"/>
          <w:sz w:val="32"/>
          <w:szCs w:val="32"/>
        </w:rPr>
        <w:t>（二）经营主体有与经营雪茄烟零售业务相适应的资金；</w:t>
      </w:r>
    </w:p>
    <w:p w14:paraId="18C23D13">
      <w:pPr>
        <w:keepNext w:val="0"/>
        <w:keepLines w:val="0"/>
        <w:pageBreakBefore w:val="0"/>
        <w:widowControl/>
        <w:kinsoku/>
        <w:wordWrap/>
        <w:overflowPunct/>
        <w:topLinePunct w:val="0"/>
        <w:autoSpaceDE w:val="0"/>
        <w:bidi w:val="0"/>
        <w:spacing w:line="600" w:lineRule="exact"/>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（三）经营场所面积达到</w:t>
      </w:r>
      <w:r>
        <w:rPr>
          <w:rFonts w:hint="eastAsia" w:ascii="仿宋_GB2312" w:hAnsi="宋体" w:eastAsia="仿宋_GB2312" w:cs="Calibri"/>
          <w:color w:val="000000"/>
          <w:kern w:val="0"/>
          <w:sz w:val="32"/>
          <w:szCs w:val="32"/>
          <w:lang w:val="en-US" w:eastAsia="zh-CN"/>
        </w:rPr>
        <w:t>8</w:t>
      </w:r>
      <w:bookmarkStart w:id="3" w:name="_GoBack"/>
      <w:bookmarkEnd w:id="3"/>
      <w:r>
        <w:rPr>
          <w:rFonts w:hint="eastAsia" w:ascii="仿宋" w:hAnsi="仿宋" w:eastAsia="仿宋" w:cs="仿宋"/>
          <w:color w:val="000000"/>
          <w:kern w:val="0"/>
          <w:sz w:val="32"/>
          <w:szCs w:val="32"/>
          <w:lang w:val="en-US" w:eastAsia="zh-CN"/>
        </w:rPr>
        <w:t>0</w:t>
      </w:r>
      <w:r>
        <w:rPr>
          <w:rFonts w:hint="eastAsia" w:ascii="仿宋_GB2312" w:hAnsi="宋体" w:eastAsia="仿宋_GB2312" w:cs="Calibri"/>
          <w:color w:val="000000"/>
          <w:kern w:val="0"/>
          <w:sz w:val="32"/>
          <w:szCs w:val="32"/>
        </w:rPr>
        <w:t>平方米以上；</w:t>
      </w:r>
    </w:p>
    <w:p w14:paraId="542EE226">
      <w:pPr>
        <w:keepNext w:val="0"/>
        <w:keepLines w:val="0"/>
        <w:pageBreakBefore w:val="0"/>
        <w:widowControl/>
        <w:kinsoku/>
        <w:wordWrap/>
        <w:overflowPunct/>
        <w:topLinePunct w:val="0"/>
        <w:autoSpaceDE w:val="0"/>
        <w:bidi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000000"/>
          <w:kern w:val="0"/>
          <w:sz w:val="32"/>
          <w:szCs w:val="32"/>
        </w:rPr>
        <w:t>（四）经营场</w:t>
      </w:r>
      <w:r>
        <w:rPr>
          <w:rFonts w:hint="eastAsia" w:ascii="仿宋_GB2312" w:hAnsi="宋体" w:eastAsia="仿宋_GB2312" w:cs="Calibri"/>
          <w:color w:val="auto"/>
          <w:kern w:val="0"/>
          <w:sz w:val="32"/>
          <w:szCs w:val="32"/>
        </w:rPr>
        <w:t>所内具备5平</w:t>
      </w:r>
      <w:r>
        <w:rPr>
          <w:rFonts w:hint="eastAsia" w:ascii="仿宋_GB2312" w:hAnsi="宋体" w:eastAsia="仿宋_GB2312" w:cs="Calibri"/>
          <w:color w:val="auto"/>
          <w:kern w:val="0"/>
          <w:sz w:val="32"/>
          <w:szCs w:val="32"/>
          <w:lang w:val="en-US" w:eastAsia="zh-CN"/>
        </w:rPr>
        <w:t>方</w:t>
      </w:r>
      <w:r>
        <w:rPr>
          <w:rFonts w:hint="eastAsia" w:ascii="仿宋_GB2312" w:hAnsi="宋体" w:eastAsia="仿宋_GB2312" w:cs="Calibri"/>
          <w:color w:val="auto"/>
          <w:kern w:val="0"/>
          <w:sz w:val="32"/>
          <w:szCs w:val="32"/>
        </w:rPr>
        <w:t>米以上专业恒温恒湿系统的独立雪茄房或配备总容量600升以上的具有恒温恒湿功能的雪茄烟柜；</w:t>
      </w:r>
    </w:p>
    <w:p w14:paraId="180BA7D0">
      <w:pPr>
        <w:keepNext w:val="0"/>
        <w:keepLines w:val="0"/>
        <w:pageBreakBefore w:val="0"/>
        <w:widowControl/>
        <w:kinsoku/>
        <w:wordWrap/>
        <w:overflowPunct/>
        <w:topLinePunct w:val="0"/>
        <w:autoSpaceDE w:val="0"/>
        <w:bidi w:val="0"/>
        <w:spacing w:line="600" w:lineRule="exact"/>
        <w:ind w:firstLine="640" w:firstLineChars="200"/>
        <w:rPr>
          <w:rFonts w:hint="eastAsia" w:ascii="仿宋_GB2312" w:hAnsi="宋体" w:eastAsia="仿宋_GB2312" w:cs="Calibri"/>
          <w:color w:val="auto"/>
          <w:kern w:val="0"/>
          <w:sz w:val="32"/>
          <w:szCs w:val="32"/>
        </w:rPr>
      </w:pPr>
      <w:r>
        <w:rPr>
          <w:rFonts w:hint="eastAsia" w:ascii="仿宋_GB2312" w:hAnsi="宋体" w:eastAsia="仿宋_GB2312" w:cs="Calibri"/>
          <w:color w:val="auto"/>
          <w:kern w:val="0"/>
          <w:sz w:val="32"/>
          <w:szCs w:val="32"/>
        </w:rPr>
        <w:t>（五）符合法律法规规定的其他条件。</w:t>
      </w:r>
    </w:p>
    <w:p w14:paraId="775A2F3E">
      <w:pPr>
        <w:keepNext w:val="0"/>
        <w:keepLines w:val="0"/>
        <w:pageBreakBefore w:val="0"/>
        <w:widowControl/>
        <w:kinsoku/>
        <w:wordWrap/>
        <w:overflowPunct/>
        <w:topLinePunct w:val="0"/>
        <w:autoSpaceDE w:val="0"/>
        <w:bidi w:val="0"/>
        <w:spacing w:line="600" w:lineRule="exact"/>
        <w:ind w:firstLine="640" w:firstLineChars="200"/>
        <w:rPr>
          <w:rFonts w:hint="eastAsia" w:ascii="仿宋_GB2312" w:hAnsi="宋体" w:eastAsia="仿宋_GB2312" w:cs="Calibri"/>
          <w:color w:val="auto"/>
          <w:kern w:val="0"/>
          <w:sz w:val="32"/>
          <w:szCs w:val="32"/>
          <w:lang w:eastAsia="zh-CN"/>
        </w:rPr>
      </w:pPr>
      <w:r>
        <w:rPr>
          <w:rFonts w:hint="eastAsia" w:ascii="黑体" w:hAnsi="黑体" w:eastAsia="黑体" w:cs="Calibri"/>
          <w:color w:val="auto"/>
          <w:kern w:val="0"/>
          <w:sz w:val="32"/>
          <w:szCs w:val="32"/>
        </w:rPr>
        <w:t>第九条</w:t>
      </w:r>
      <w:bookmarkStart w:id="1" w:name="_Hlk215734418"/>
      <w:r>
        <w:rPr>
          <w:rFonts w:hint="eastAsia" w:ascii="黑体" w:hAnsi="宋体" w:eastAsia="黑体" w:cs="Calibri"/>
          <w:color w:val="auto"/>
          <w:kern w:val="0"/>
          <w:sz w:val="32"/>
          <w:szCs w:val="32"/>
        </w:rPr>
        <w:t xml:space="preserve">  </w:t>
      </w:r>
      <w:bookmarkEnd w:id="1"/>
      <w:r>
        <w:rPr>
          <w:rFonts w:hint="eastAsia" w:ascii="仿宋_GB2312" w:hAnsi="宋体" w:eastAsia="仿宋_GB2312" w:cs="Calibri"/>
          <w:color w:val="auto"/>
          <w:kern w:val="0"/>
          <w:sz w:val="32"/>
          <w:szCs w:val="32"/>
        </w:rPr>
        <w:t>有下列情形之一的，不予发放烟草专卖零售许可证：</w:t>
      </w:r>
    </w:p>
    <w:p w14:paraId="495E3D7B">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申请人为未成年人、无民事行为能力人、限制民事行为能力人；</w:t>
      </w:r>
    </w:p>
    <w:p w14:paraId="7572DB7D">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外商投资的商业企业或者个体工商户，或以特许、吸纳加盟店及其他投资等形式变相从事烟草专卖品经营业务；</w:t>
      </w:r>
    </w:p>
    <w:p w14:paraId="2FB47277">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申请人被取消从事烟草专卖业务资格不满三年的；</w:t>
      </w:r>
    </w:p>
    <w:p w14:paraId="0933BFCE">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因申请人隐瞒有关情况或者提供虚假材料，烟草专卖行政主管部门作出不予受理或者不予发证决定后，申请人一年内再次提出申请的；</w:t>
      </w:r>
    </w:p>
    <w:p w14:paraId="69C8EDB7">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因申请人以欺骗、贿赂等不正当手段取得的烟草专卖许可证被撤销后，申请人三年内再次提出申请的；</w:t>
      </w:r>
    </w:p>
    <w:p w14:paraId="3221343F">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rPr>
        <w:t>未领取烟草专卖零售许可证经营烟草专卖品业务，并且一年内被执法机关处罚两次以上，在三年内申请领取烟草专卖零售许可证的；</w:t>
      </w:r>
    </w:p>
    <w:p w14:paraId="79A13655">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未领取烟草专卖零售许可证经营烟草专卖品业务被追究刑事责任，在三年内申请领取烟草专卖零售许可证的</w:t>
      </w:r>
      <w:r>
        <w:rPr>
          <w:rFonts w:hint="eastAsia" w:ascii="仿宋" w:hAnsi="仿宋" w:eastAsia="仿宋" w:cs="仿宋"/>
          <w:color w:val="000000"/>
          <w:sz w:val="32"/>
          <w:szCs w:val="32"/>
          <w:lang w:eastAsia="zh-CN"/>
        </w:rPr>
        <w:t>；</w:t>
      </w:r>
    </w:p>
    <w:p w14:paraId="1A51F9C9">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无固定经营场所</w:t>
      </w:r>
      <w:r>
        <w:rPr>
          <w:rFonts w:hint="eastAsia" w:ascii="仿宋" w:hAnsi="仿宋" w:eastAsia="仿宋" w:cs="仿宋"/>
          <w:color w:val="000000"/>
          <w:sz w:val="32"/>
          <w:szCs w:val="32"/>
          <w:lang w:val="en-US" w:eastAsia="zh-CN"/>
        </w:rPr>
        <w:t>或</w:t>
      </w:r>
      <w:r>
        <w:rPr>
          <w:rFonts w:hint="eastAsia" w:ascii="仿宋" w:hAnsi="仿宋" w:eastAsia="仿宋" w:cs="仿宋"/>
          <w:color w:val="000000"/>
          <w:sz w:val="32"/>
          <w:szCs w:val="32"/>
        </w:rPr>
        <w:t>经营场所与住所不相独立的；</w:t>
      </w:r>
    </w:p>
    <w:p w14:paraId="1F6CE98A">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（九）中小学</w:t>
      </w:r>
      <w:r>
        <w:rPr>
          <w:rFonts w:hint="eastAsia" w:ascii="仿宋" w:hAnsi="仿宋" w:eastAsia="仿宋" w:cs="仿宋"/>
          <w:color w:val="000000"/>
          <w:sz w:val="32"/>
          <w:szCs w:val="32"/>
        </w:rPr>
        <w:t>校、幼儿园、少年宫及其周边100米范围内；</w:t>
      </w:r>
    </w:p>
    <w:p w14:paraId="6577181C">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（十）</w:t>
      </w:r>
      <w:r>
        <w:rPr>
          <w:rFonts w:hint="eastAsia" w:ascii="仿宋" w:hAnsi="仿宋" w:eastAsia="仿宋" w:cs="仿宋"/>
          <w:color w:val="000000"/>
          <w:sz w:val="32"/>
          <w:szCs w:val="32"/>
        </w:rPr>
        <w:t>同一个经营场所已经办理了烟草专卖零售许可证且许可证还在有效期内</w:t>
      </w:r>
      <w:r>
        <w:rPr>
          <w:rFonts w:hint="eastAsia" w:ascii="仿宋" w:hAnsi="仿宋" w:eastAsia="仿宋" w:cs="仿宋"/>
          <w:color w:val="000000"/>
          <w:sz w:val="32"/>
          <w:szCs w:val="32"/>
          <w:lang w:val="en-US" w:eastAsia="zh-CN"/>
        </w:rPr>
        <w:t>;</w:t>
      </w:r>
    </w:p>
    <w:p w14:paraId="33550762">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（十一）</w:t>
      </w:r>
      <w:r>
        <w:rPr>
          <w:rFonts w:hint="eastAsia" w:ascii="仿宋" w:hAnsi="仿宋" w:eastAsia="仿宋" w:cs="仿宋"/>
          <w:color w:val="000000"/>
          <w:sz w:val="32"/>
          <w:szCs w:val="32"/>
        </w:rPr>
        <w:t>利用自动售货机（柜）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电玩游戏机或者其</w:t>
      </w:r>
      <w:r>
        <w:rPr>
          <w:rFonts w:hint="eastAsia" w:ascii="仿宋" w:hAnsi="仿宋" w:eastAsia="仿宋" w:cs="仿宋"/>
          <w:color w:val="000000"/>
          <w:sz w:val="32"/>
          <w:szCs w:val="32"/>
          <w:lang w:eastAsia="zh-CN"/>
        </w:rPr>
        <w:t>他</w:t>
      </w:r>
      <w:r>
        <w:rPr>
          <w:rFonts w:hint="eastAsia" w:ascii="仿宋" w:hAnsi="仿宋" w:eastAsia="仿宋" w:cs="仿宋"/>
          <w:color w:val="000000"/>
          <w:sz w:val="32"/>
          <w:szCs w:val="32"/>
        </w:rPr>
        <w:t>自动售货形式，销售或者变相销售烟草制品的；</w:t>
      </w:r>
    </w:p>
    <w:p w14:paraId="35DF4D5D">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（十二）</w:t>
      </w:r>
      <w:r>
        <w:rPr>
          <w:rFonts w:hint="eastAsia" w:ascii="仿宋" w:hAnsi="仿宋" w:eastAsia="仿宋" w:cs="仿宋"/>
          <w:color w:val="000000"/>
          <w:sz w:val="32"/>
          <w:szCs w:val="32"/>
        </w:rPr>
        <w:t>政府明文规定的党政机关院内及其他禁止经营烟草制品的区域；</w:t>
      </w:r>
    </w:p>
    <w:p w14:paraId="399D3C5B">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（十三）</w:t>
      </w:r>
      <w:r>
        <w:rPr>
          <w:rFonts w:hint="eastAsia" w:ascii="仿宋" w:hAnsi="仿宋" w:eastAsia="仿宋" w:cs="仿宋"/>
          <w:color w:val="000000"/>
          <w:sz w:val="32"/>
          <w:szCs w:val="32"/>
        </w:rPr>
        <w:t>文具</w:t>
      </w:r>
      <w:r>
        <w:rPr>
          <w:rFonts w:hint="eastAsia" w:ascii="仿宋" w:hAnsi="仿宋" w:eastAsia="仿宋" w:cs="仿宋"/>
          <w:color w:val="000000"/>
          <w:sz w:val="32"/>
          <w:szCs w:val="32"/>
          <w:lang w:val="en-US" w:eastAsia="zh-CN"/>
        </w:rPr>
        <w:t>教材</w:t>
      </w:r>
      <w:r>
        <w:rPr>
          <w:rFonts w:hint="eastAsia" w:ascii="仿宋" w:hAnsi="仿宋" w:eastAsia="仿宋" w:cs="仿宋"/>
          <w:color w:val="000000"/>
          <w:sz w:val="32"/>
          <w:szCs w:val="32"/>
        </w:rPr>
        <w:t>店</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母婴用品店</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电玩</w:t>
      </w:r>
      <w:r>
        <w:rPr>
          <w:rFonts w:hint="eastAsia" w:ascii="仿宋" w:hAnsi="仿宋" w:eastAsia="仿宋" w:cs="仿宋"/>
          <w:color w:val="000000"/>
          <w:sz w:val="32"/>
          <w:szCs w:val="32"/>
        </w:rPr>
        <w:t>游乐</w:t>
      </w:r>
      <w:r>
        <w:rPr>
          <w:rFonts w:hint="eastAsia" w:ascii="仿宋" w:hAnsi="仿宋" w:eastAsia="仿宋" w:cs="仿宋"/>
          <w:color w:val="000000"/>
          <w:sz w:val="32"/>
          <w:szCs w:val="32"/>
          <w:lang w:val="en-US" w:eastAsia="zh-CN"/>
        </w:rPr>
        <w:t>城、游乐场等</w:t>
      </w:r>
      <w:r>
        <w:rPr>
          <w:rFonts w:hint="eastAsia" w:ascii="仿宋" w:hAnsi="仿宋" w:eastAsia="仿宋" w:cs="仿宋"/>
          <w:color w:val="000000"/>
          <w:sz w:val="32"/>
          <w:szCs w:val="32"/>
        </w:rPr>
        <w:t>未成年人关注或者</w:t>
      </w:r>
      <w:r>
        <w:rPr>
          <w:rFonts w:hint="eastAsia" w:ascii="仿宋" w:hAnsi="仿宋" w:eastAsia="仿宋" w:cs="仿宋"/>
          <w:color w:val="000000"/>
          <w:sz w:val="32"/>
          <w:szCs w:val="32"/>
          <w:lang w:val="en-US" w:eastAsia="zh-CN"/>
        </w:rPr>
        <w:t>聚集的场所；</w:t>
      </w:r>
    </w:p>
    <w:p w14:paraId="01C39C15">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（十四）集贸市场、综合型商品交易市场以及其他市场等，在批发区域内的；</w:t>
      </w:r>
    </w:p>
    <w:p w14:paraId="43567CF2">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（十五）经营场所基于安全因素不适宜经营烟草制品零售业务的；</w:t>
      </w:r>
    </w:p>
    <w:p w14:paraId="1C886782">
      <w:pPr>
        <w:keepNext w:val="0"/>
        <w:keepLines w:val="0"/>
        <w:pageBreakBefore w:val="0"/>
        <w:kinsoku/>
        <w:wordWrap/>
        <w:overflowPunct/>
        <w:topLinePunct w:val="0"/>
        <w:bidi w:val="0"/>
        <w:snapToGri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sz w:val="32"/>
          <w:szCs w:val="32"/>
          <w:lang w:val="en-US" w:eastAsia="zh-CN"/>
        </w:rPr>
        <w:t>（十六）</w:t>
      </w:r>
      <w:r>
        <w:rPr>
          <w:rFonts w:hint="eastAsia" w:ascii="仿宋" w:hAnsi="仿宋" w:eastAsia="仿宋" w:cs="仿宋"/>
          <w:color w:val="000000"/>
          <w:sz w:val="32"/>
          <w:szCs w:val="32"/>
        </w:rPr>
        <w:t>法律法规、规章</w:t>
      </w:r>
      <w:r>
        <w:rPr>
          <w:rFonts w:hint="eastAsia" w:ascii="仿宋" w:hAnsi="仿宋" w:eastAsia="仿宋" w:cs="仿宋"/>
          <w:color w:val="000000"/>
          <w:sz w:val="32"/>
          <w:szCs w:val="32"/>
          <w:lang w:val="en-US" w:eastAsia="zh-CN"/>
        </w:rPr>
        <w:t>及政策规定的其他</w:t>
      </w:r>
      <w:r>
        <w:rPr>
          <w:rFonts w:hint="eastAsia" w:ascii="仿宋" w:hAnsi="仿宋" w:eastAsia="仿宋" w:cs="仿宋"/>
          <w:color w:val="000000"/>
          <w:sz w:val="32"/>
          <w:szCs w:val="32"/>
        </w:rPr>
        <w:t>不予</w:t>
      </w:r>
      <w:r>
        <w:rPr>
          <w:rFonts w:hint="eastAsia" w:ascii="仿宋" w:hAnsi="仿宋" w:eastAsia="仿宋" w:cs="仿宋"/>
          <w:color w:val="000000"/>
          <w:sz w:val="32"/>
          <w:szCs w:val="32"/>
          <w:lang w:val="en-US" w:eastAsia="zh-CN"/>
        </w:rPr>
        <w:t>设置雪茄烟专业店零售点</w:t>
      </w:r>
      <w:r>
        <w:rPr>
          <w:rFonts w:hint="eastAsia" w:ascii="仿宋" w:hAnsi="仿宋" w:eastAsia="仿宋" w:cs="仿宋"/>
          <w:color w:val="000000"/>
          <w:sz w:val="32"/>
          <w:szCs w:val="32"/>
        </w:rPr>
        <w:t>的情形。</w:t>
      </w:r>
    </w:p>
    <w:p w14:paraId="3A9FEE11">
      <w:pPr>
        <w:keepNext w:val="0"/>
        <w:keepLines w:val="0"/>
        <w:pageBreakBefore w:val="0"/>
        <w:widowControl/>
        <w:kinsoku/>
        <w:wordWrap/>
        <w:overflowPunct/>
        <w:topLinePunct w:val="0"/>
        <w:autoSpaceDE w:val="0"/>
        <w:bidi w:val="0"/>
        <w:spacing w:line="600" w:lineRule="exact"/>
        <w:ind w:firstLine="640" w:firstLineChars="200"/>
        <w:rPr>
          <w:rFonts w:hint="eastAsia" w:ascii="仿宋_GB2312" w:hAnsi="宋体" w:eastAsia="仿宋_GB2312" w:cs="Calibri"/>
          <w:color w:val="000000"/>
          <w:kern w:val="0"/>
          <w:sz w:val="32"/>
          <w:szCs w:val="32"/>
        </w:rPr>
      </w:pPr>
      <w:r>
        <w:rPr>
          <w:rFonts w:hint="eastAsia" w:ascii="黑体" w:hAnsi="黑体" w:eastAsia="黑体" w:cs="Calibri"/>
          <w:color w:val="000000"/>
          <w:kern w:val="0"/>
          <w:sz w:val="32"/>
          <w:szCs w:val="32"/>
        </w:rPr>
        <w:t>第十条</w:t>
      </w:r>
      <w:bookmarkStart w:id="2" w:name="_Hlk215734392"/>
      <w:r>
        <w:rPr>
          <w:rFonts w:hint="eastAsia" w:ascii="黑体" w:hAnsi="宋体" w:eastAsia="黑体" w:cs="Calibri"/>
          <w:color w:val="000000"/>
          <w:kern w:val="0"/>
          <w:sz w:val="32"/>
          <w:szCs w:val="32"/>
        </w:rPr>
        <w:t xml:space="preserve">  </w:t>
      </w:r>
      <w:bookmarkEnd w:id="2"/>
      <w:r>
        <w:rPr>
          <w:rFonts w:hint="eastAsia" w:ascii="仿宋_GB2312" w:hAnsi="宋体" w:eastAsia="仿宋_GB2312" w:cs="Calibri"/>
          <w:color w:val="000000"/>
          <w:kern w:val="0"/>
          <w:sz w:val="32"/>
          <w:szCs w:val="32"/>
        </w:rPr>
        <w:t>因道路规划、城市建设等客观原因造成无法在核定经营地址经营，申请变更到原发证机关辖区内其他地址经营的，持证人应当持相关证明提前提出变更申请。</w:t>
      </w:r>
    </w:p>
    <w:p w14:paraId="017A456A">
      <w:pPr>
        <w:keepNext w:val="0"/>
        <w:keepLines w:val="0"/>
        <w:pageBreakBefore w:val="0"/>
        <w:kinsoku/>
        <w:wordWrap/>
        <w:overflowPunct/>
        <w:topLinePunct w:val="0"/>
        <w:autoSpaceDE w:val="0"/>
        <w:bidi w:val="0"/>
        <w:adjustRightInd w:val="0"/>
        <w:snapToGrid w:val="0"/>
        <w:spacing w:line="600" w:lineRule="exact"/>
        <w:ind w:firstLine="640" w:firstLineChars="200"/>
        <w:contextualSpacing/>
        <w:rPr>
          <w:rFonts w:hint="eastAsia" w:ascii="仿宋_GB2312" w:hAnsi="宋体" w:eastAsia="仿宋_GB2312" w:cs="Calibri"/>
          <w:color w:val="auto"/>
          <w:kern w:val="0"/>
          <w:sz w:val="32"/>
          <w:szCs w:val="32"/>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一</w:t>
      </w:r>
      <w:r>
        <w:rPr>
          <w:rFonts w:hint="eastAsia" w:ascii="黑体" w:hAnsi="黑体" w:eastAsia="黑体" w:cs="Calibri"/>
          <w:color w:val="auto"/>
          <w:kern w:val="0"/>
          <w:sz w:val="32"/>
          <w:szCs w:val="32"/>
        </w:rPr>
        <w:t>条</w:t>
      </w:r>
      <w:r>
        <w:rPr>
          <w:rFonts w:hint="eastAsia" w:ascii="黑体" w:hAnsi="宋体" w:eastAsia="黑体" w:cs="Calibri"/>
          <w:color w:val="auto"/>
          <w:kern w:val="0"/>
          <w:sz w:val="32"/>
          <w:szCs w:val="32"/>
        </w:rPr>
        <w:t xml:space="preserve">  </w:t>
      </w:r>
      <w:r>
        <w:rPr>
          <w:rFonts w:hint="eastAsia" w:ascii="仿宋_GB2312" w:hAnsi="宋体" w:eastAsia="仿宋_GB2312" w:cs="Calibri"/>
          <w:color w:val="auto"/>
          <w:kern w:val="0"/>
          <w:sz w:val="32"/>
          <w:szCs w:val="32"/>
        </w:rPr>
        <w:t>本规定</w:t>
      </w:r>
      <w:r>
        <w:rPr>
          <w:rFonts w:hint="eastAsia" w:ascii="仿宋_GB2312" w:hAnsi="宋体" w:eastAsia="仿宋_GB2312" w:cs="Calibri"/>
          <w:color w:val="auto"/>
          <w:kern w:val="0"/>
          <w:sz w:val="32"/>
          <w:szCs w:val="32"/>
          <w:lang w:val="en-US" w:eastAsia="zh-CN"/>
        </w:rPr>
        <w:t>所称的“固定经营场所”“与住所相独立”“安全因素”等名词解释及距离测量规则</w:t>
      </w:r>
      <w:r>
        <w:rPr>
          <w:rFonts w:hint="eastAsia" w:ascii="仿宋_GB2312" w:hAnsi="宋体" w:eastAsia="仿宋_GB2312" w:cs="Calibri"/>
          <w:color w:val="auto"/>
          <w:kern w:val="0"/>
          <w:sz w:val="32"/>
          <w:szCs w:val="32"/>
        </w:rPr>
        <w:t>参照《北京市</w:t>
      </w:r>
      <w:r>
        <w:rPr>
          <w:rFonts w:hint="eastAsia" w:ascii="仿宋_GB2312" w:hAnsi="宋体" w:eastAsia="仿宋_GB2312" w:cs="Calibri"/>
          <w:color w:val="auto"/>
          <w:kern w:val="0"/>
          <w:sz w:val="32"/>
          <w:szCs w:val="32"/>
          <w:lang w:val="en-US" w:eastAsia="zh-CN"/>
        </w:rPr>
        <w:t>顺义</w:t>
      </w:r>
      <w:r>
        <w:rPr>
          <w:rFonts w:hint="eastAsia" w:ascii="仿宋_GB2312" w:hAnsi="宋体" w:eastAsia="仿宋_GB2312" w:cs="Calibri"/>
          <w:color w:val="auto"/>
          <w:kern w:val="0"/>
          <w:sz w:val="32"/>
          <w:szCs w:val="32"/>
        </w:rPr>
        <w:t>区</w:t>
      </w:r>
      <w:r>
        <w:rPr>
          <w:rFonts w:hint="eastAsia" w:ascii="仿宋_GB2312" w:hAnsi="宋体" w:eastAsia="仿宋_GB2312" w:cs="Calibri"/>
          <w:color w:val="auto"/>
          <w:kern w:val="0"/>
          <w:sz w:val="32"/>
          <w:szCs w:val="32"/>
          <w:lang w:val="en-US" w:eastAsia="zh-CN"/>
        </w:rPr>
        <w:t>烟草专卖局</w:t>
      </w:r>
      <w:r>
        <w:rPr>
          <w:rFonts w:hint="eastAsia" w:ascii="仿宋_GB2312" w:hAnsi="宋体" w:eastAsia="仿宋_GB2312" w:cs="Calibri"/>
          <w:color w:val="auto"/>
          <w:kern w:val="0"/>
          <w:sz w:val="32"/>
          <w:szCs w:val="32"/>
        </w:rPr>
        <w:t>烟草制品零售点合理布局规定》执行。</w:t>
      </w:r>
    </w:p>
    <w:p w14:paraId="2A6D2373">
      <w:pPr>
        <w:keepNext w:val="0"/>
        <w:keepLines w:val="0"/>
        <w:pageBreakBefore w:val="0"/>
        <w:kinsoku/>
        <w:wordWrap/>
        <w:overflowPunct/>
        <w:topLinePunct w:val="0"/>
        <w:autoSpaceDE w:val="0"/>
        <w:bidi w:val="0"/>
        <w:adjustRightInd w:val="0"/>
        <w:snapToGrid w:val="0"/>
        <w:spacing w:line="600" w:lineRule="exact"/>
        <w:contextualSpacing/>
        <w:jc w:val="center"/>
        <w:rPr>
          <w:rFonts w:hint="eastAsia" w:ascii="黑体" w:hAnsi="黑体" w:eastAsia="黑体" w:cs="Calibri"/>
          <w:color w:val="000000"/>
          <w:kern w:val="0"/>
          <w:sz w:val="32"/>
          <w:szCs w:val="32"/>
        </w:rPr>
      </w:pPr>
    </w:p>
    <w:p w14:paraId="4AC59A2C">
      <w:pPr>
        <w:keepNext w:val="0"/>
        <w:keepLines w:val="0"/>
        <w:pageBreakBefore w:val="0"/>
        <w:kinsoku/>
        <w:wordWrap/>
        <w:overflowPunct/>
        <w:topLinePunct w:val="0"/>
        <w:autoSpaceDE w:val="0"/>
        <w:bidi w:val="0"/>
        <w:adjustRightInd w:val="0"/>
        <w:snapToGrid w:val="0"/>
        <w:spacing w:line="600" w:lineRule="exact"/>
        <w:contextualSpacing/>
        <w:jc w:val="center"/>
        <w:rPr>
          <w:rFonts w:hint="eastAsia" w:ascii="黑体" w:hAnsi="宋体" w:eastAsia="黑体" w:cs="Calibri"/>
          <w:color w:val="000000"/>
          <w:kern w:val="0"/>
          <w:sz w:val="32"/>
          <w:szCs w:val="32"/>
        </w:rPr>
      </w:pPr>
      <w:r>
        <w:rPr>
          <w:rFonts w:hint="eastAsia" w:ascii="黑体" w:hAnsi="黑体" w:eastAsia="黑体" w:cs="Calibri"/>
          <w:color w:val="000000"/>
          <w:kern w:val="0"/>
          <w:sz w:val="32"/>
          <w:szCs w:val="32"/>
        </w:rPr>
        <w:t>第三章</w:t>
      </w:r>
      <w:r>
        <w:rPr>
          <w:rFonts w:hint="eastAsia" w:ascii="黑体" w:hAnsi="宋体" w:eastAsia="黑体" w:cs="Calibri"/>
          <w:color w:val="000000"/>
          <w:kern w:val="0"/>
          <w:sz w:val="32"/>
          <w:szCs w:val="32"/>
        </w:rPr>
        <w:t xml:space="preserve">  </w:t>
      </w:r>
      <w:r>
        <w:rPr>
          <w:rFonts w:hint="eastAsia" w:ascii="黑体" w:hAnsi="黑体" w:eastAsia="黑体" w:cs="Calibri"/>
          <w:color w:val="000000"/>
          <w:kern w:val="0"/>
          <w:sz w:val="32"/>
          <w:szCs w:val="32"/>
        </w:rPr>
        <w:t>附则</w:t>
      </w:r>
    </w:p>
    <w:p w14:paraId="504804E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bidi w:val="0"/>
        <w:adjustRightInd w:val="0"/>
        <w:snapToGrid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hint="eastAsia" w:ascii="仿宋_GB2312" w:hAnsi="宋体" w:eastAsia="仿宋_GB2312" w:cs="宋体"/>
          <w:color w:val="000000"/>
          <w:kern w:val="0"/>
          <w:sz w:val="32"/>
          <w:szCs w:val="32"/>
        </w:rPr>
        <w:t>本规定中涉及的“以上”</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上限</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包</w:t>
      </w:r>
      <w:r>
        <w:rPr>
          <w:rFonts w:hint="eastAsia" w:ascii="仿宋_GB2312" w:hAnsi="宋体" w:eastAsia="仿宋_GB2312" w:cs="宋体"/>
          <w:color w:val="000000"/>
          <w:kern w:val="0"/>
          <w:sz w:val="32"/>
          <w:szCs w:val="32"/>
        </w:rPr>
        <w:t>含本数</w:t>
      </w:r>
      <w:r>
        <w:rPr>
          <w:rFonts w:hint="eastAsia" w:ascii="仿宋_GB2312" w:hAnsi="宋体" w:eastAsia="仿宋_GB2312" w:cs="宋体"/>
          <w:color w:val="000000"/>
          <w:kern w:val="0"/>
          <w:sz w:val="32"/>
          <w:szCs w:val="32"/>
          <w:lang w:eastAsia="zh-CN"/>
        </w:rPr>
        <w:t>，“</w:t>
      </w:r>
      <w:r>
        <w:rPr>
          <w:rFonts w:hint="eastAsia" w:ascii="仿宋_GB2312" w:hAnsi="宋体" w:eastAsia="仿宋_GB2312" w:cs="Calibri"/>
          <w:color w:val="000000"/>
          <w:kern w:val="0"/>
          <w:sz w:val="32"/>
          <w:szCs w:val="32"/>
        </w:rPr>
        <w:t>以内</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不包含本数</w:t>
      </w:r>
      <w:r>
        <w:rPr>
          <w:rFonts w:hint="eastAsia" w:ascii="仿宋_GB2312" w:hAnsi="宋体" w:eastAsia="仿宋_GB2312" w:cs="宋体"/>
          <w:color w:val="000000"/>
          <w:kern w:val="0"/>
          <w:sz w:val="32"/>
          <w:szCs w:val="32"/>
        </w:rPr>
        <w:t>。</w:t>
      </w:r>
    </w:p>
    <w:p w14:paraId="75F0980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bidi w:val="0"/>
        <w:adjustRightInd w:val="0"/>
        <w:snapToGrid w:val="0"/>
        <w:spacing w:line="600" w:lineRule="exact"/>
        <w:ind w:firstLine="640" w:firstLineChars="200"/>
        <w:rPr>
          <w:rFonts w:hint="eastAsia" w:ascii="仿宋_GB2312" w:hAnsi="宋体" w:eastAsia="仿宋_GB2312" w:cs="宋体"/>
          <w:color w:val="000000"/>
          <w:kern w:val="0"/>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ascii="仿宋_GB2312" w:hAnsi="宋体" w:eastAsia="仿宋_GB2312" w:cs="宋体"/>
          <w:color w:val="000000"/>
          <w:kern w:val="0"/>
          <w:sz w:val="32"/>
          <w:szCs w:val="32"/>
        </w:rPr>
        <w:t>本规定由北京市</w:t>
      </w:r>
      <w:r>
        <w:rPr>
          <w:rFonts w:hint="eastAsia" w:ascii="仿宋_GB2312" w:hAnsi="宋体" w:eastAsia="仿宋_GB2312" w:cs="宋体"/>
          <w:color w:val="000000"/>
          <w:kern w:val="0"/>
          <w:sz w:val="32"/>
          <w:szCs w:val="32"/>
          <w:lang w:val="en-US" w:eastAsia="zh-CN"/>
        </w:rPr>
        <w:t>顺义</w:t>
      </w:r>
      <w:r>
        <w:rPr>
          <w:rFonts w:hint="eastAsia" w:ascii="仿宋_GB2312" w:hAnsi="宋体" w:eastAsia="仿宋_GB2312" w:cs="宋体"/>
          <w:color w:val="000000"/>
          <w:kern w:val="0"/>
          <w:sz w:val="32"/>
          <w:szCs w:val="32"/>
        </w:rPr>
        <w:t>区烟草专卖局负责解释并组织实施。本规定实施过程中，</w:t>
      </w:r>
      <w:r>
        <w:rPr>
          <w:rFonts w:hint="eastAsia" w:ascii="仿宋_GB2312" w:hAnsi="宋体" w:eastAsia="仿宋_GB2312" w:cs="宋体"/>
          <w:color w:val="auto"/>
          <w:kern w:val="0"/>
          <w:sz w:val="32"/>
          <w:szCs w:val="32"/>
        </w:rPr>
        <w:t>法律法规、规章及政策</w:t>
      </w:r>
      <w:r>
        <w:rPr>
          <w:rFonts w:hint="eastAsia" w:ascii="仿宋_GB2312" w:hAnsi="宋体" w:eastAsia="仿宋_GB2312" w:cs="宋体"/>
          <w:color w:val="000000"/>
          <w:kern w:val="0"/>
          <w:sz w:val="32"/>
          <w:szCs w:val="32"/>
        </w:rPr>
        <w:t>另有规定的，从其规定。遇本规定与上级文件不一致的，以上级文件规定为准。</w:t>
      </w:r>
    </w:p>
    <w:p w14:paraId="0EFFF5C4">
      <w:pPr>
        <w:keepNext w:val="0"/>
        <w:keepLines w:val="0"/>
        <w:pageBreakBefore w:val="0"/>
        <w:widowControl/>
        <w:kinsoku/>
        <w:wordWrap/>
        <w:overflowPunct/>
        <w:topLinePunct w:val="0"/>
        <w:autoSpaceDE w:val="0"/>
        <w:bidi w:val="0"/>
        <w:adjustRightInd w:val="0"/>
        <w:snapToGrid w:val="0"/>
        <w:spacing w:line="600" w:lineRule="exact"/>
        <w:ind w:firstLine="640" w:firstLineChars="200"/>
        <w:textAlignment w:val="baseline"/>
        <w:rPr>
          <w:rFonts w:ascii="Calibri" w:hAnsi="Calibri" w:eastAsia="宋体" w:cs="Calibri"/>
          <w:szCs w:val="21"/>
        </w:rPr>
      </w:pPr>
      <w:r>
        <w:rPr>
          <w:rFonts w:eastAsia="黑体"/>
          <w:sz w:val="32"/>
          <w:szCs w:val="32"/>
        </w:rPr>
        <w:t>第</w:t>
      </w:r>
      <w:r>
        <w:rPr>
          <w:rFonts w:hint="eastAsia" w:eastAsia="黑体"/>
          <w:sz w:val="32"/>
          <w:szCs w:val="32"/>
        </w:rPr>
        <w:t>十</w:t>
      </w:r>
      <w:r>
        <w:rPr>
          <w:rFonts w:hint="eastAsia" w:eastAsia="黑体"/>
          <w:sz w:val="32"/>
          <w:szCs w:val="32"/>
          <w:lang w:val="en-US" w:eastAsia="zh-CN"/>
        </w:rPr>
        <w:t>四</w:t>
      </w:r>
      <w:r>
        <w:rPr>
          <w:rFonts w:eastAsia="黑体"/>
          <w:sz w:val="32"/>
          <w:szCs w:val="32"/>
        </w:rPr>
        <w:t>条</w:t>
      </w:r>
      <w:r>
        <w:rPr>
          <w:rFonts w:eastAsia="仿宋_GB2312"/>
          <w:sz w:val="32"/>
          <w:szCs w:val="32"/>
        </w:rPr>
        <w:t xml:space="preserve">  </w:t>
      </w:r>
      <w:r>
        <w:rPr>
          <w:rFonts w:hint="eastAsia" w:ascii="仿宋_GB2312" w:hAnsi="宋体" w:eastAsia="仿宋_GB2312" w:cs="Calibri"/>
          <w:color w:val="000000"/>
          <w:kern w:val="0"/>
          <w:sz w:val="32"/>
          <w:szCs w:val="32"/>
        </w:rPr>
        <w:t>本规定自2026年X月X日发布，自发布之日起30日后，即2026年X月X日起实施。</w:t>
      </w:r>
    </w:p>
    <w:sectPr>
      <w:footerReference r:id="rId3" w:type="default"/>
      <w:footerReference r:id="rId4" w:type="even"/>
      <w:pgSz w:w="11906" w:h="16838"/>
      <w:pgMar w:top="1327" w:right="1800" w:bottom="132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953B63-1CB1-4756-A1C8-64079F02EF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469B73-639A-4988-86CB-A57F60B5B3FC}"/>
  </w:font>
  <w:font w:name="等线">
    <w:panose1 w:val="02010600030101010101"/>
    <w:charset w:val="86"/>
    <w:family w:val="auto"/>
    <w:pitch w:val="default"/>
    <w:sig w:usb0="A00002BF" w:usb1="38CF7CFA" w:usb2="00000016" w:usb3="00000000" w:csb0="0004000F" w:csb1="00000000"/>
    <w:embedRegular r:id="rId3" w:fontKey="{47D386E1-B9F5-4E30-8740-3E36C0C19B6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AB0F0B5D-EEF7-4777-9176-DA6B72D81819}"/>
  </w:font>
  <w:font w:name="仿宋_GB2312">
    <w:panose1 w:val="02010609030101010101"/>
    <w:charset w:val="86"/>
    <w:family w:val="modern"/>
    <w:pitch w:val="default"/>
    <w:sig w:usb0="00000001" w:usb1="080E0000" w:usb2="00000000" w:usb3="00000000" w:csb0="00040000" w:csb1="00000000"/>
    <w:embedRegular r:id="rId5" w:fontKey="{B07899CB-6A54-4C67-9AB0-22CB9CDF2429}"/>
  </w:font>
  <w:font w:name="仿宋">
    <w:panose1 w:val="02010609060101010101"/>
    <w:charset w:val="86"/>
    <w:family w:val="modern"/>
    <w:pitch w:val="default"/>
    <w:sig w:usb0="800002BF" w:usb1="38CF7CFA" w:usb2="00000016" w:usb3="00000000" w:csb0="00040001" w:csb1="00000000"/>
    <w:embedRegular r:id="rId6" w:fontKey="{A31E9EE2-533A-4084-BEA9-BE1AC315B5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85E1">
    <w:pPr>
      <w:pStyle w:val="11"/>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368"/>
                          </w:sdtPr>
                          <w:sdtEndPr>
                            <w:rPr>
                              <w:rFonts w:ascii="宋体" w:hAnsi="宋体" w:eastAsia="宋体"/>
                              <w:sz w:val="28"/>
                              <w:szCs w:val="28"/>
                            </w:rPr>
                          </w:sdtEndPr>
                          <w:sdtContent>
                            <w:p w14:paraId="4EDEF9C2">
                              <w:pPr>
                                <w:pStyle w:val="11"/>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5FDA1EBB">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3368"/>
                    </w:sdtPr>
                    <w:sdtEndPr>
                      <w:rPr>
                        <w:rFonts w:ascii="宋体" w:hAnsi="宋体" w:eastAsia="宋体"/>
                        <w:sz w:val="28"/>
                        <w:szCs w:val="28"/>
                      </w:rPr>
                    </w:sdtEndPr>
                    <w:sdtContent>
                      <w:p w14:paraId="4EDEF9C2">
                        <w:pPr>
                          <w:pStyle w:val="11"/>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5FDA1EBB">
                    <w:pPr>
                      <w:rPr>
                        <w:rFonts w:ascii="宋体" w:hAnsi="宋体" w:eastAsia="宋体"/>
                        <w:sz w:val="28"/>
                        <w:szCs w:val="28"/>
                      </w:rPr>
                    </w:pPr>
                  </w:p>
                </w:txbxContent>
              </v:textbox>
            </v:shape>
          </w:pict>
        </mc:Fallback>
      </mc:AlternateContent>
    </w:r>
  </w:p>
  <w:p w14:paraId="26F346AD">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391B">
    <w:pPr>
      <w:pStyle w:val="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756"/>
                          </w:sdtPr>
                          <w:sdtContent>
                            <w:p w14:paraId="70ACC3E4">
                              <w:pPr>
                                <w:pStyle w:val="11"/>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2C1CA17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8756"/>
                    </w:sdtPr>
                    <w:sdtContent>
                      <w:p w14:paraId="70ACC3E4">
                        <w:pPr>
                          <w:pStyle w:val="11"/>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2C1CA17B"/>
                </w:txbxContent>
              </v:textbox>
            </v:shape>
          </w:pict>
        </mc:Fallback>
      </mc:AlternateContent>
    </w:r>
  </w:p>
  <w:p w14:paraId="3082CF5D">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74"/>
    <w:rsid w:val="00022B80"/>
    <w:rsid w:val="000D72F3"/>
    <w:rsid w:val="0031239A"/>
    <w:rsid w:val="0039210E"/>
    <w:rsid w:val="004A60B0"/>
    <w:rsid w:val="004F5AFC"/>
    <w:rsid w:val="00562106"/>
    <w:rsid w:val="00582E23"/>
    <w:rsid w:val="006D3663"/>
    <w:rsid w:val="007542CF"/>
    <w:rsid w:val="00772893"/>
    <w:rsid w:val="007B4FF1"/>
    <w:rsid w:val="00844374"/>
    <w:rsid w:val="008F60D9"/>
    <w:rsid w:val="00B02569"/>
    <w:rsid w:val="00BB5E7C"/>
    <w:rsid w:val="00C21536"/>
    <w:rsid w:val="00D95AC4"/>
    <w:rsid w:val="00DB6B65"/>
    <w:rsid w:val="00DC7F0C"/>
    <w:rsid w:val="00F7494A"/>
    <w:rsid w:val="00FB27D7"/>
    <w:rsid w:val="01255120"/>
    <w:rsid w:val="013E1DBE"/>
    <w:rsid w:val="01E21263"/>
    <w:rsid w:val="01E4322D"/>
    <w:rsid w:val="029B032D"/>
    <w:rsid w:val="02C72207"/>
    <w:rsid w:val="02D037B2"/>
    <w:rsid w:val="03827F7E"/>
    <w:rsid w:val="03DF1EFE"/>
    <w:rsid w:val="04E83035"/>
    <w:rsid w:val="05B62611"/>
    <w:rsid w:val="06691F53"/>
    <w:rsid w:val="069B5E85"/>
    <w:rsid w:val="076F3599"/>
    <w:rsid w:val="07930597"/>
    <w:rsid w:val="079B72E5"/>
    <w:rsid w:val="079D2A0B"/>
    <w:rsid w:val="07C93378"/>
    <w:rsid w:val="081606E4"/>
    <w:rsid w:val="08697B9A"/>
    <w:rsid w:val="089F7EAE"/>
    <w:rsid w:val="09371E95"/>
    <w:rsid w:val="095A265D"/>
    <w:rsid w:val="0A717628"/>
    <w:rsid w:val="0AC22BB4"/>
    <w:rsid w:val="0ADA1283"/>
    <w:rsid w:val="0AEC3153"/>
    <w:rsid w:val="0B7164E3"/>
    <w:rsid w:val="0BB359C0"/>
    <w:rsid w:val="0CC72005"/>
    <w:rsid w:val="0CCA3020"/>
    <w:rsid w:val="0CD143AE"/>
    <w:rsid w:val="0D02074E"/>
    <w:rsid w:val="0D250D81"/>
    <w:rsid w:val="0E181B41"/>
    <w:rsid w:val="0E2624D8"/>
    <w:rsid w:val="0E7A2818"/>
    <w:rsid w:val="0F1A028E"/>
    <w:rsid w:val="0F3B3A34"/>
    <w:rsid w:val="0F5117D6"/>
    <w:rsid w:val="0FB3423F"/>
    <w:rsid w:val="103B1CEF"/>
    <w:rsid w:val="106F0166"/>
    <w:rsid w:val="11522C9B"/>
    <w:rsid w:val="11863AC0"/>
    <w:rsid w:val="123168AA"/>
    <w:rsid w:val="127C6B6A"/>
    <w:rsid w:val="12A762DD"/>
    <w:rsid w:val="12C84103"/>
    <w:rsid w:val="131B2827"/>
    <w:rsid w:val="13992D15"/>
    <w:rsid w:val="13DD5D2E"/>
    <w:rsid w:val="147A09CC"/>
    <w:rsid w:val="15C42D02"/>
    <w:rsid w:val="15D22B07"/>
    <w:rsid w:val="16625746"/>
    <w:rsid w:val="174D64F8"/>
    <w:rsid w:val="176A1687"/>
    <w:rsid w:val="18932E60"/>
    <w:rsid w:val="18E45469"/>
    <w:rsid w:val="19D83220"/>
    <w:rsid w:val="19F31E08"/>
    <w:rsid w:val="1A07140F"/>
    <w:rsid w:val="1A080CF3"/>
    <w:rsid w:val="1A8C3B1A"/>
    <w:rsid w:val="1C024584"/>
    <w:rsid w:val="1D4806BC"/>
    <w:rsid w:val="1E0A3BC4"/>
    <w:rsid w:val="1E992CF1"/>
    <w:rsid w:val="1EFD0E66"/>
    <w:rsid w:val="1F11164A"/>
    <w:rsid w:val="204C19BD"/>
    <w:rsid w:val="20BE47F2"/>
    <w:rsid w:val="215A053A"/>
    <w:rsid w:val="21AD074F"/>
    <w:rsid w:val="224E366C"/>
    <w:rsid w:val="22FD3CF7"/>
    <w:rsid w:val="23A61C99"/>
    <w:rsid w:val="23FE7D27"/>
    <w:rsid w:val="25227A45"/>
    <w:rsid w:val="25652A69"/>
    <w:rsid w:val="25C64874"/>
    <w:rsid w:val="264A7253"/>
    <w:rsid w:val="26A60202"/>
    <w:rsid w:val="280232A9"/>
    <w:rsid w:val="28577A06"/>
    <w:rsid w:val="288B26DA"/>
    <w:rsid w:val="28B058CA"/>
    <w:rsid w:val="29194CBB"/>
    <w:rsid w:val="2A420242"/>
    <w:rsid w:val="2A506E02"/>
    <w:rsid w:val="2AEC6386"/>
    <w:rsid w:val="2B1B2F6C"/>
    <w:rsid w:val="2BE710A1"/>
    <w:rsid w:val="2C192CF1"/>
    <w:rsid w:val="2C251BC9"/>
    <w:rsid w:val="2E312AA7"/>
    <w:rsid w:val="2E497DF1"/>
    <w:rsid w:val="2EFA733D"/>
    <w:rsid w:val="2FC811E9"/>
    <w:rsid w:val="2FD91648"/>
    <w:rsid w:val="2FE75B13"/>
    <w:rsid w:val="302D0419"/>
    <w:rsid w:val="30E038CF"/>
    <w:rsid w:val="315C608D"/>
    <w:rsid w:val="32764F2C"/>
    <w:rsid w:val="328C72C2"/>
    <w:rsid w:val="32956200"/>
    <w:rsid w:val="32CC7242"/>
    <w:rsid w:val="33D16C01"/>
    <w:rsid w:val="34627E5E"/>
    <w:rsid w:val="3578720D"/>
    <w:rsid w:val="358E07DF"/>
    <w:rsid w:val="36401AD9"/>
    <w:rsid w:val="36D44134"/>
    <w:rsid w:val="375C0B95"/>
    <w:rsid w:val="38BB18EB"/>
    <w:rsid w:val="398E34A3"/>
    <w:rsid w:val="39C82DD9"/>
    <w:rsid w:val="3A540249"/>
    <w:rsid w:val="3A775CE5"/>
    <w:rsid w:val="3AD82C28"/>
    <w:rsid w:val="3BB05953"/>
    <w:rsid w:val="3BD71502"/>
    <w:rsid w:val="3C202033"/>
    <w:rsid w:val="3C7E335B"/>
    <w:rsid w:val="3CAF5C0A"/>
    <w:rsid w:val="3E570308"/>
    <w:rsid w:val="3E693B97"/>
    <w:rsid w:val="3EB72B54"/>
    <w:rsid w:val="3ED71449"/>
    <w:rsid w:val="3F5D36FC"/>
    <w:rsid w:val="3FB05F21"/>
    <w:rsid w:val="3FF75270"/>
    <w:rsid w:val="40026051"/>
    <w:rsid w:val="40DF6392"/>
    <w:rsid w:val="41287D39"/>
    <w:rsid w:val="423F17DF"/>
    <w:rsid w:val="42463FFC"/>
    <w:rsid w:val="424678AA"/>
    <w:rsid w:val="430F11B1"/>
    <w:rsid w:val="44EE4DF6"/>
    <w:rsid w:val="44FA19ED"/>
    <w:rsid w:val="454E2CCF"/>
    <w:rsid w:val="45C142B9"/>
    <w:rsid w:val="46004DE1"/>
    <w:rsid w:val="46767799"/>
    <w:rsid w:val="46870820"/>
    <w:rsid w:val="47321912"/>
    <w:rsid w:val="483D40CA"/>
    <w:rsid w:val="48417A4C"/>
    <w:rsid w:val="487877F8"/>
    <w:rsid w:val="492C617C"/>
    <w:rsid w:val="49667651"/>
    <w:rsid w:val="4C0373D9"/>
    <w:rsid w:val="4D435D1E"/>
    <w:rsid w:val="4D5679DC"/>
    <w:rsid w:val="4D7367E0"/>
    <w:rsid w:val="4DA846DC"/>
    <w:rsid w:val="4DDC25D7"/>
    <w:rsid w:val="4FF37764"/>
    <w:rsid w:val="506863A4"/>
    <w:rsid w:val="50AF4206"/>
    <w:rsid w:val="51E56B74"/>
    <w:rsid w:val="52181704"/>
    <w:rsid w:val="524D7600"/>
    <w:rsid w:val="52C35B14"/>
    <w:rsid w:val="52ED0DE3"/>
    <w:rsid w:val="534D53DE"/>
    <w:rsid w:val="53581ECC"/>
    <w:rsid w:val="5371731E"/>
    <w:rsid w:val="54212AF2"/>
    <w:rsid w:val="5474356A"/>
    <w:rsid w:val="54BA6AA3"/>
    <w:rsid w:val="54CF07A0"/>
    <w:rsid w:val="54DB7C95"/>
    <w:rsid w:val="556E7FB9"/>
    <w:rsid w:val="55C8296E"/>
    <w:rsid w:val="570A1F63"/>
    <w:rsid w:val="576D42A0"/>
    <w:rsid w:val="587A0A23"/>
    <w:rsid w:val="59945B14"/>
    <w:rsid w:val="59F36CDF"/>
    <w:rsid w:val="5A490FF5"/>
    <w:rsid w:val="5A7A11AE"/>
    <w:rsid w:val="5A985AD8"/>
    <w:rsid w:val="5AC77E99"/>
    <w:rsid w:val="5ADA679A"/>
    <w:rsid w:val="5BDC19F5"/>
    <w:rsid w:val="5C6C2D78"/>
    <w:rsid w:val="5C7D4F86"/>
    <w:rsid w:val="5CBB785C"/>
    <w:rsid w:val="5CD77371"/>
    <w:rsid w:val="5CFD1C22"/>
    <w:rsid w:val="5D891708"/>
    <w:rsid w:val="5D8F6D1E"/>
    <w:rsid w:val="5E512226"/>
    <w:rsid w:val="5EB34C8F"/>
    <w:rsid w:val="5EDA221B"/>
    <w:rsid w:val="5EF62DCD"/>
    <w:rsid w:val="5F8C5385"/>
    <w:rsid w:val="60732927"/>
    <w:rsid w:val="61D32952"/>
    <w:rsid w:val="61DC62AA"/>
    <w:rsid w:val="624E43D9"/>
    <w:rsid w:val="63051831"/>
    <w:rsid w:val="63896C4F"/>
    <w:rsid w:val="63B401A2"/>
    <w:rsid w:val="63CF256B"/>
    <w:rsid w:val="644B3B1D"/>
    <w:rsid w:val="64A46C3F"/>
    <w:rsid w:val="65183A9D"/>
    <w:rsid w:val="652266CA"/>
    <w:rsid w:val="66173D55"/>
    <w:rsid w:val="66AC7883"/>
    <w:rsid w:val="671F1AAF"/>
    <w:rsid w:val="6779125D"/>
    <w:rsid w:val="67BB77DC"/>
    <w:rsid w:val="67E0431B"/>
    <w:rsid w:val="687E630D"/>
    <w:rsid w:val="690A7BA1"/>
    <w:rsid w:val="6A890F99"/>
    <w:rsid w:val="6AAC5C88"/>
    <w:rsid w:val="6AB2229E"/>
    <w:rsid w:val="6C101972"/>
    <w:rsid w:val="6C3A254B"/>
    <w:rsid w:val="6C5C4BB7"/>
    <w:rsid w:val="6CCD1611"/>
    <w:rsid w:val="6D1014FE"/>
    <w:rsid w:val="6D8A12B0"/>
    <w:rsid w:val="6DB6210A"/>
    <w:rsid w:val="6E9028F6"/>
    <w:rsid w:val="6F8A028E"/>
    <w:rsid w:val="6FD809F9"/>
    <w:rsid w:val="701A2DBF"/>
    <w:rsid w:val="70EB02B8"/>
    <w:rsid w:val="71A768D5"/>
    <w:rsid w:val="71DF4EDF"/>
    <w:rsid w:val="72367C59"/>
    <w:rsid w:val="724D5513"/>
    <w:rsid w:val="72897D89"/>
    <w:rsid w:val="73C4140D"/>
    <w:rsid w:val="748C3B60"/>
    <w:rsid w:val="74940F7C"/>
    <w:rsid w:val="74E76FE8"/>
    <w:rsid w:val="74F55BA9"/>
    <w:rsid w:val="75870269"/>
    <w:rsid w:val="75EF43A6"/>
    <w:rsid w:val="761148D5"/>
    <w:rsid w:val="76EB046F"/>
    <w:rsid w:val="776E1C43"/>
    <w:rsid w:val="77811976"/>
    <w:rsid w:val="78C80335"/>
    <w:rsid w:val="790A0743"/>
    <w:rsid w:val="790C1713"/>
    <w:rsid w:val="79F20909"/>
    <w:rsid w:val="79FA77BE"/>
    <w:rsid w:val="7A4B626B"/>
    <w:rsid w:val="7BFC23F6"/>
    <w:rsid w:val="7C1F350C"/>
    <w:rsid w:val="7C705B15"/>
    <w:rsid w:val="7C7F3FAA"/>
    <w:rsid w:val="7D0A7D18"/>
    <w:rsid w:val="7DC47E0B"/>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73ee3a7b-ef99-4ba6-be9e-23d7a8d8731f</errorID>
      <errorWord>法律、法规</errorWord>
      <group>L1_Word</group>
      <groupName>字词问题</groupName>
      <ability>L2_Typo</ability>
      <abilityName>字词错误</abilityName>
      <candidateList>
        <item>法律法规</item>
      </candidateList>
      <explain/>
      <paraID>5CBF8C7D</paraID>
      <start>186</start>
      <end>191</end>
      <status>ignored</status>
      <modifiedWord/>
      <trackRevisions>false</trackRevisions>
    </reviewItem>
    <reviewItem>
      <errorID>4a502ea9-5b73-4c91-8c22-1bcd798e7c54</errorID>
      <errorWord>法律、法规</errorWord>
      <group>L1_Word</group>
      <groupName>字词问题</groupName>
      <ability>L2_Typo</ability>
      <abilityName>字词错误</abilityName>
      <candidateList>
        <item>法律法规</item>
      </candidateList>
      <explain/>
      <paraID>2602205A</paraID>
      <start>3</start>
      <end>8</end>
      <status>ignored</status>
      <modifiedWord/>
      <trackRevisions>false</trackRevisions>
    </reviewItem>
    <reviewItem>
      <errorID>2ff024ce-8401-43e8-af44-33aba553346a</errorID>
      <errorWord>法律、法规</errorWord>
      <group>L1_Word</group>
      <groupName>字词问题</groupName>
      <ability>L2_Typo</ability>
      <abilityName>字词错误</abilityName>
      <candidateList>
        <item>法律法规</item>
      </candidateList>
      <explain/>
      <paraID>75F0980F</paraID>
      <start>40</start>
      <end>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37f49-f15d-4ca2-993d-2b2c899b6f1d}">
  <ds:schemaRefs/>
</ds:datastoreItem>
</file>

<file path=docProps/app.xml><?xml version="1.0" encoding="utf-8"?>
<Properties xmlns="http://schemas.openxmlformats.org/officeDocument/2006/extended-properties" xmlns:vt="http://schemas.openxmlformats.org/officeDocument/2006/docPropsVTypes">
  <Template>Normal</Template>
  <Pages>5</Pages>
  <Words>1978</Words>
  <Characters>1991</Characters>
  <Lines>14</Lines>
  <Paragraphs>4</Paragraphs>
  <TotalTime>0</TotalTime>
  <ScaleCrop>false</ScaleCrop>
  <LinksUpToDate>false</LinksUpToDate>
  <CharactersWithSpaces>2026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2025-12-04T02:50:00Z</dcterms:created>
  <dc:creator>liuminghao</dc:creator>
  <cp:lastModifiedBy>NTKO</cp:lastModifiedBy>
  <cp:lastPrinted>2026-01-05T00:03:00Z</cp:lastPrinted>
  <dcterms:modified xsi:type="dcterms:W3CDTF">2026-03-19T05:56:05Z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eyJoZGlkIjoiNzE0ZDYyNDEzOTA4NDNmOTZiYjdiMmJkODA1MmE5NmQiLCJ1c2VySWQiOiI2NDQyMjAzMzIifQ==</vt:lpwstr>
  </property>
  <property fmtid="{D5CDD505-2E9C-101B-9397-08002B2CF9AE}" pid="3" name="KSOProductBuildVer">
    <vt:lpwstr>2052-12.1.0.25225</vt:lpwstr>
  </property>
  <property fmtid="{D5CDD505-2E9C-101B-9397-08002B2CF9AE}" pid="4" name="ICV">
    <vt:lpwstr>DF6D44A82CD24FEA880BA8BC8EE7CC72_13</vt:lpwstr>
  </property>
</Properties>
</file>